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E953" w14:textId="77777777" w:rsidR="00642FD6" w:rsidRPr="003252B8" w:rsidRDefault="00642FD6" w:rsidP="00642FD6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Hlk26533159"/>
    </w:p>
    <w:p w14:paraId="2E00E954" w14:textId="54CD9FDE" w:rsidR="00642FD6" w:rsidRPr="003252B8" w:rsidRDefault="00642FD6" w:rsidP="00642FD6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252B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LTA4H </w:t>
      </w:r>
      <w:r w:rsidRPr="003252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association to montelukast response in </w:t>
      </w:r>
      <w:r w:rsidR="00D9188E">
        <w:rPr>
          <w:rFonts w:ascii="Times New Roman" w:hAnsi="Times New Roman" w:cs="Times New Roman"/>
          <w:b/>
          <w:color w:val="auto"/>
          <w:sz w:val="24"/>
          <w:szCs w:val="24"/>
        </w:rPr>
        <w:t>early</w:t>
      </w:r>
      <w:r w:rsidRPr="003252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and </w:t>
      </w:r>
      <w:r w:rsidR="00D9188E">
        <w:rPr>
          <w:rFonts w:ascii="Times New Roman" w:hAnsi="Times New Roman" w:cs="Times New Roman"/>
          <w:b/>
          <w:color w:val="auto"/>
          <w:sz w:val="24"/>
          <w:szCs w:val="24"/>
        </w:rPr>
        <w:t>late</w:t>
      </w:r>
      <w:r w:rsidRPr="003252B8">
        <w:rPr>
          <w:rFonts w:ascii="Times New Roman" w:hAnsi="Times New Roman" w:cs="Times New Roman"/>
          <w:b/>
          <w:color w:val="auto"/>
          <w:sz w:val="24"/>
          <w:szCs w:val="24"/>
        </w:rPr>
        <w:t>-onset asthma</w:t>
      </w:r>
    </w:p>
    <w:p w14:paraId="2E00E955" w14:textId="77777777" w:rsidR="00642FD6" w:rsidRPr="0076144A" w:rsidRDefault="00642FD6" w:rsidP="00642FD6">
      <w:pPr>
        <w:rPr>
          <w:sz w:val="24"/>
          <w:szCs w:val="24"/>
        </w:rPr>
      </w:pPr>
    </w:p>
    <w:p w14:paraId="45476EDD" w14:textId="77777777" w:rsidR="00BA5DCC" w:rsidRPr="00460072" w:rsidRDefault="00BA5DCC" w:rsidP="00BA5DCC">
      <w:pPr>
        <w:spacing w:line="480" w:lineRule="auto"/>
        <w:jc w:val="both"/>
        <w:rPr>
          <w:rFonts w:ascii="Times New Roman" w:hAnsi="Times New Roman" w:cs="Times New Roman"/>
          <w:color w:val="141413"/>
          <w:sz w:val="24"/>
          <w:szCs w:val="24"/>
        </w:rPr>
      </w:pPr>
      <w:proofErr w:type="spellStart"/>
      <w:r w:rsidRPr="00460072">
        <w:rPr>
          <w:rFonts w:ascii="Times New Roman" w:hAnsi="Times New Roman" w:cs="Times New Roman"/>
          <w:color w:val="141413"/>
          <w:sz w:val="24"/>
          <w:szCs w:val="24"/>
        </w:rPr>
        <w:t>Cyrielle</w:t>
      </w:r>
      <w:proofErr w:type="spellEnd"/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Maroteau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1,2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A</w:t>
      </w:r>
      <w:r>
        <w:rPr>
          <w:rFonts w:ascii="Times New Roman" w:hAnsi="Times New Roman" w:cs="Times New Roman"/>
          <w:color w:val="141413"/>
          <w:sz w:val="24"/>
          <w:szCs w:val="24"/>
        </w:rPr>
        <w:t>ntonio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Espuela-Ortiz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3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Esther Herrera-Luis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3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S</w:t>
      </w:r>
      <w:r>
        <w:rPr>
          <w:rFonts w:ascii="Times New Roman" w:hAnsi="Times New Roman" w:cs="Times New Roman"/>
          <w:color w:val="141413"/>
          <w:sz w:val="24"/>
          <w:szCs w:val="24"/>
        </w:rPr>
        <w:t>undararajan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Srinivasan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Fiona Carr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Roger Tavendale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Karen Wilson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N</w:t>
      </w:r>
      <w:r>
        <w:rPr>
          <w:rFonts w:ascii="Times New Roman" w:hAnsi="Times New Roman" w:cs="Times New Roman"/>
          <w:color w:val="141413"/>
          <w:sz w:val="24"/>
          <w:szCs w:val="24"/>
        </w:rPr>
        <w:t>atalia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Hernandez-Pacheco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2,4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J</w:t>
      </w:r>
      <w:r>
        <w:rPr>
          <w:rFonts w:ascii="Times New Roman" w:hAnsi="Times New Roman" w:cs="Times New Roman"/>
          <w:color w:val="141413"/>
          <w:sz w:val="24"/>
          <w:szCs w:val="24"/>
        </w:rPr>
        <w:t>ames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Chalmers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5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S</w:t>
      </w:r>
      <w:r>
        <w:rPr>
          <w:rFonts w:ascii="Times New Roman" w:hAnsi="Times New Roman" w:cs="Times New Roman"/>
          <w:color w:val="141413"/>
          <w:sz w:val="24"/>
          <w:szCs w:val="24"/>
        </w:rPr>
        <w:t>teve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Turner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6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S</w:t>
      </w:r>
      <w:r>
        <w:rPr>
          <w:rFonts w:ascii="Times New Roman" w:hAnsi="Times New Roman" w:cs="Times New Roman"/>
          <w:color w:val="141413"/>
          <w:sz w:val="24"/>
          <w:szCs w:val="24"/>
        </w:rPr>
        <w:t>omnath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Mukhopadhyay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7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, </w:t>
      </w:r>
      <w:proofErr w:type="spellStart"/>
      <w:r w:rsidRPr="00460072">
        <w:rPr>
          <w:rFonts w:ascii="Times New Roman" w:hAnsi="Times New Roman" w:cs="Times New Roman"/>
          <w:color w:val="141413"/>
          <w:sz w:val="24"/>
          <w:szCs w:val="24"/>
        </w:rPr>
        <w:t>A</w:t>
      </w:r>
      <w:r>
        <w:rPr>
          <w:rFonts w:ascii="Times New Roman" w:hAnsi="Times New Roman" w:cs="Times New Roman"/>
          <w:color w:val="141413"/>
          <w:sz w:val="24"/>
          <w:szCs w:val="24"/>
        </w:rPr>
        <w:t>nke</w:t>
      </w:r>
      <w:proofErr w:type="spellEnd"/>
      <w:r>
        <w:rPr>
          <w:rFonts w:ascii="Times New Roman" w:hAnsi="Times New Roman" w:cs="Times New Roman"/>
          <w:color w:val="141413"/>
          <w:sz w:val="24"/>
          <w:szCs w:val="24"/>
        </w:rPr>
        <w:t xml:space="preserve">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H</w:t>
      </w:r>
      <w:r>
        <w:rPr>
          <w:rFonts w:ascii="Times New Roman" w:hAnsi="Times New Roman" w:cs="Times New Roman"/>
          <w:color w:val="141413"/>
          <w:sz w:val="24"/>
          <w:szCs w:val="24"/>
        </w:rPr>
        <w:t xml:space="preserve">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Maitland-van der Zee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8,9</w:t>
      </w:r>
      <w:r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,10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E</w:t>
      </w:r>
      <w:r>
        <w:rPr>
          <w:rFonts w:ascii="Times New Roman" w:hAnsi="Times New Roman" w:cs="Times New Roman"/>
          <w:color w:val="141413"/>
          <w:sz w:val="24"/>
          <w:szCs w:val="24"/>
        </w:rPr>
        <w:t>steban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G. Burchard</w:t>
      </w:r>
      <w:r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11,12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 xml:space="preserve">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M</w:t>
      </w:r>
      <w:r>
        <w:rPr>
          <w:rFonts w:ascii="Times New Roman" w:hAnsi="Times New Roman" w:cs="Times New Roman"/>
          <w:color w:val="141413"/>
          <w:sz w:val="24"/>
          <w:szCs w:val="24"/>
        </w:rPr>
        <w:t xml:space="preserve">aria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Pino-Yanes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,13,14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S</w:t>
      </w:r>
      <w:r>
        <w:rPr>
          <w:rFonts w:ascii="Times New Roman" w:hAnsi="Times New Roman" w:cs="Times New Roman"/>
          <w:color w:val="141413"/>
          <w:sz w:val="24"/>
          <w:szCs w:val="24"/>
        </w:rPr>
        <w:t>imon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Young</w:t>
      </w:r>
      <w:r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14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G</w:t>
      </w:r>
      <w:r>
        <w:rPr>
          <w:rFonts w:ascii="Times New Roman" w:hAnsi="Times New Roman" w:cs="Times New Roman"/>
          <w:color w:val="141413"/>
          <w:sz w:val="24"/>
          <w:szCs w:val="24"/>
        </w:rPr>
        <w:t xml:space="preserve">lenda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Lassi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1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A</w:t>
      </w:r>
      <w:r>
        <w:rPr>
          <w:rFonts w:ascii="Times New Roman" w:hAnsi="Times New Roman" w:cs="Times New Roman"/>
          <w:color w:val="141413"/>
          <w:sz w:val="24"/>
          <w:szCs w:val="24"/>
        </w:rPr>
        <w:t>dam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Platt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6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, C</w:t>
      </w:r>
      <w:r>
        <w:rPr>
          <w:rFonts w:ascii="Times New Roman" w:hAnsi="Times New Roman" w:cs="Times New Roman"/>
          <w:color w:val="141413"/>
          <w:sz w:val="24"/>
          <w:szCs w:val="24"/>
        </w:rPr>
        <w:t xml:space="preserve">olin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N</w:t>
      </w:r>
      <w:r>
        <w:rPr>
          <w:rFonts w:ascii="Times New Roman" w:hAnsi="Times New Roman" w:cs="Times New Roman"/>
          <w:color w:val="141413"/>
          <w:sz w:val="24"/>
          <w:szCs w:val="24"/>
        </w:rPr>
        <w:t xml:space="preserve"> 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>A Palmer</w:t>
      </w:r>
      <w:r w:rsidRPr="00460072">
        <w:rPr>
          <w:rFonts w:ascii="Times New Roman" w:hAnsi="Times New Roman" w:cs="Times New Roman"/>
          <w:color w:val="141413"/>
          <w:sz w:val="24"/>
          <w:szCs w:val="24"/>
          <w:vertAlign w:val="superscript"/>
        </w:rPr>
        <w:t>2</w:t>
      </w:r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on behalf of the </w:t>
      </w:r>
      <w:proofErr w:type="spellStart"/>
      <w:r w:rsidRPr="00460072">
        <w:rPr>
          <w:rFonts w:ascii="Times New Roman" w:hAnsi="Times New Roman" w:cs="Times New Roman"/>
          <w:color w:val="141413"/>
          <w:sz w:val="24"/>
          <w:szCs w:val="24"/>
        </w:rPr>
        <w:t>PiCA</w:t>
      </w:r>
      <w:proofErr w:type="spellEnd"/>
      <w:r w:rsidRPr="00460072">
        <w:rPr>
          <w:rFonts w:ascii="Times New Roman" w:hAnsi="Times New Roman" w:cs="Times New Roman"/>
          <w:color w:val="141413"/>
          <w:sz w:val="24"/>
          <w:szCs w:val="24"/>
        </w:rPr>
        <w:t xml:space="preserve"> consortium</w:t>
      </w:r>
    </w:p>
    <w:p w14:paraId="2E00E957" w14:textId="77777777" w:rsidR="00642FD6" w:rsidRPr="00642FD6" w:rsidRDefault="00642FD6" w:rsidP="00642FD6">
      <w:pPr>
        <w:rPr>
          <w:rFonts w:ascii="Times New Roman" w:hAnsi="Times New Roman" w:cs="Times New Roman"/>
          <w:color w:val="141413"/>
          <w:sz w:val="24"/>
          <w:szCs w:val="24"/>
        </w:rPr>
      </w:pPr>
      <w:r>
        <w:rPr>
          <w:rFonts w:ascii="Times New Roman" w:hAnsi="Times New Roman" w:cs="Times New Roman"/>
          <w:color w:val="141413"/>
          <w:sz w:val="24"/>
          <w:szCs w:val="24"/>
        </w:rPr>
        <w:br w:type="page"/>
      </w:r>
      <w:r w:rsidRPr="00401CF5">
        <w:rPr>
          <w:rFonts w:ascii="Times New Roman" w:hAnsi="Times New Roman" w:cs="Times New Roman"/>
          <w:b/>
          <w:color w:val="141413"/>
          <w:sz w:val="24"/>
          <w:szCs w:val="24"/>
        </w:rPr>
        <w:lastRenderedPageBreak/>
        <w:t>Contents</w:t>
      </w:r>
    </w:p>
    <w:p w14:paraId="2E00E958" w14:textId="77777777" w:rsidR="00642FD6" w:rsidRDefault="00642FD6" w:rsidP="00642FD6">
      <w:pPr>
        <w:spacing w:line="480" w:lineRule="auto"/>
        <w:jc w:val="both"/>
        <w:rPr>
          <w:rFonts w:ascii="Times New Roman" w:hAnsi="Times New Roman" w:cs="Times New Roman"/>
          <w:b/>
          <w:color w:val="141413"/>
          <w:sz w:val="24"/>
          <w:szCs w:val="24"/>
        </w:rPr>
      </w:pPr>
    </w:p>
    <w:p w14:paraId="2E00E95A" w14:textId="77777777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23">
        <w:rPr>
          <w:rFonts w:ascii="Times New Roman" w:hAnsi="Times New Roman" w:cs="Times New Roman"/>
          <w:sz w:val="24"/>
          <w:szCs w:val="24"/>
        </w:rPr>
        <w:t>Association between rs2660845 and asthma exacerbation in non-montelukast users</w:t>
      </w:r>
    </w:p>
    <w:p w14:paraId="53846A68" w14:textId="14AAD64D" w:rsidR="00C307BA" w:rsidRDefault="00C307BA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E00E95B" w14:textId="101FFC32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 w:rsidR="00C307BA">
        <w:rPr>
          <w:rFonts w:ascii="Times New Roman" w:hAnsi="Times New Roman" w:cs="Times New Roman"/>
          <w:sz w:val="24"/>
          <w:szCs w:val="24"/>
        </w:rPr>
        <w:t>2</w:t>
      </w:r>
    </w:p>
    <w:p w14:paraId="2E00E95C" w14:textId="399C9D41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 w:rsidR="00C307BA">
        <w:rPr>
          <w:rFonts w:ascii="Times New Roman" w:hAnsi="Times New Roman" w:cs="Times New Roman"/>
          <w:sz w:val="24"/>
          <w:szCs w:val="24"/>
        </w:rPr>
        <w:t>3</w:t>
      </w:r>
    </w:p>
    <w:p w14:paraId="2E00E95D" w14:textId="4872B848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 w:rsidR="00C307BA">
        <w:rPr>
          <w:rFonts w:ascii="Times New Roman" w:hAnsi="Times New Roman" w:cs="Times New Roman"/>
          <w:sz w:val="24"/>
          <w:szCs w:val="24"/>
        </w:rPr>
        <w:t>4</w:t>
      </w:r>
    </w:p>
    <w:p w14:paraId="2E00E95E" w14:textId="5283A4AF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 w:rsidR="00C307BA">
        <w:rPr>
          <w:rFonts w:ascii="Times New Roman" w:hAnsi="Times New Roman" w:cs="Times New Roman"/>
          <w:sz w:val="24"/>
          <w:szCs w:val="24"/>
        </w:rPr>
        <w:t>5</w:t>
      </w:r>
    </w:p>
    <w:p w14:paraId="2E00E95F" w14:textId="1D92BC86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 w:rsidR="00C307BA">
        <w:rPr>
          <w:rFonts w:ascii="Times New Roman" w:hAnsi="Times New Roman" w:cs="Times New Roman"/>
          <w:sz w:val="24"/>
          <w:szCs w:val="24"/>
        </w:rPr>
        <w:t>6</w:t>
      </w:r>
    </w:p>
    <w:p w14:paraId="2E00E961" w14:textId="51FFD510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CE172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E00E963" w14:textId="61B5A67E" w:rsidR="00364EA0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 w:rsidR="00CE172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E00E964" w14:textId="77777777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82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eferences</w:t>
      </w:r>
    </w:p>
    <w:p w14:paraId="2E00E965" w14:textId="77777777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E966" w14:textId="77777777" w:rsidR="00642FD6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E967" w14:textId="77777777" w:rsidR="00642FD6" w:rsidRPr="00D11823" w:rsidRDefault="00642FD6" w:rsidP="00642F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00E968" w14:textId="77777777" w:rsidR="00642FD6" w:rsidRPr="00D11823" w:rsidRDefault="00642FD6" w:rsidP="00642FD6"/>
    <w:p w14:paraId="2E00E969" w14:textId="77777777" w:rsidR="00642FD6" w:rsidRPr="00D11823" w:rsidRDefault="00642FD6" w:rsidP="00642FD6"/>
    <w:p w14:paraId="2E00E96B" w14:textId="4000B7C5" w:rsidR="00642FD6" w:rsidRPr="00FC0F93" w:rsidRDefault="00642FD6" w:rsidP="00642FD6">
      <w:pPr>
        <w:spacing w:after="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sectPr w:rsidR="00642FD6" w:rsidRPr="00FC0F93" w:rsidSect="005F3194"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</w:p>
    <w:p w14:paraId="2E00E970" w14:textId="129F0C78" w:rsidR="00642FD6" w:rsidRPr="00082660" w:rsidRDefault="00642FD6" w:rsidP="00082660">
      <w:pPr>
        <w:rPr>
          <w:rFonts w:ascii="Times New Roman" w:hAnsi="Times New Roman" w:cs="Times New Roman"/>
          <w:sz w:val="24"/>
        </w:rPr>
      </w:pPr>
      <w:r w:rsidRPr="00CE7AF9">
        <w:rPr>
          <w:rFonts w:ascii="Times New Roman" w:hAnsi="Times New Roman" w:cs="Times New Roman"/>
          <w:b/>
          <w:sz w:val="24"/>
          <w:szCs w:val="24"/>
        </w:rPr>
        <w:lastRenderedPageBreak/>
        <w:t>Association between rs2660845 and asthma exacerbation in non-montelukast users</w:t>
      </w:r>
    </w:p>
    <w:p w14:paraId="2E00E971" w14:textId="77777777" w:rsidR="00642FD6" w:rsidRPr="00430826" w:rsidRDefault="00642FD6" w:rsidP="008B010B">
      <w:pPr>
        <w:spacing w:after="0"/>
        <w:rPr>
          <w:rFonts w:ascii="Times New Roman" w:hAnsi="Times New Roman" w:cs="Times New Roman"/>
        </w:rPr>
      </w:pPr>
    </w:p>
    <w:p w14:paraId="319993E9" w14:textId="33D0AC8C" w:rsidR="00FA20F5" w:rsidRPr="00430826" w:rsidRDefault="00FA20F5" w:rsidP="008B01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30826">
        <w:rPr>
          <w:rFonts w:ascii="Times New Roman" w:hAnsi="Times New Roman" w:cs="Times New Roman"/>
          <w:sz w:val="24"/>
        </w:rPr>
        <w:t xml:space="preserve">To verify the effect of rs2660845 on </w:t>
      </w:r>
      <w:r>
        <w:rPr>
          <w:rFonts w:ascii="Times New Roman" w:hAnsi="Times New Roman" w:cs="Times New Roman"/>
          <w:sz w:val="24"/>
        </w:rPr>
        <w:t>m</w:t>
      </w:r>
      <w:r w:rsidRPr="00430826">
        <w:rPr>
          <w:rFonts w:ascii="Times New Roman" w:hAnsi="Times New Roman" w:cs="Times New Roman"/>
          <w:sz w:val="24"/>
        </w:rPr>
        <w:t xml:space="preserve">ontelukast response and not just on exacerbation, we tested the association between rs2660845 and exacerbation in non-montelukast users. In </w:t>
      </w:r>
      <w:r w:rsidR="00D9188E">
        <w:rPr>
          <w:rFonts w:ascii="Times New Roman" w:hAnsi="Times New Roman" w:cs="Times New Roman"/>
          <w:sz w:val="24"/>
        </w:rPr>
        <w:t>late</w:t>
      </w:r>
      <w:r w:rsidRPr="00430826">
        <w:rPr>
          <w:rFonts w:ascii="Times New Roman" w:hAnsi="Times New Roman" w:cs="Times New Roman"/>
          <w:sz w:val="24"/>
        </w:rPr>
        <w:t xml:space="preserve">-onset, as we have longitudinal data for </w:t>
      </w:r>
      <w:proofErr w:type="spellStart"/>
      <w:r w:rsidRPr="00430826">
        <w:rPr>
          <w:rFonts w:ascii="Times New Roman" w:hAnsi="Times New Roman" w:cs="Times New Roman"/>
          <w:sz w:val="24"/>
        </w:rPr>
        <w:t>GoSHARE</w:t>
      </w:r>
      <w:proofErr w:type="spellEnd"/>
      <w:r w:rsidRPr="00430826">
        <w:rPr>
          <w:rFonts w:ascii="Times New Roman" w:hAnsi="Times New Roman" w:cs="Times New Roman"/>
          <w:sz w:val="24"/>
        </w:rPr>
        <w:t xml:space="preserve">(a) cohort, individuals previously selected as being under montelukast treatment where used. The binary effect of experiencing an exacerbation was defined a year before start of therapy. In </w:t>
      </w:r>
      <w:r w:rsidR="00D9188E">
        <w:rPr>
          <w:rFonts w:ascii="Times New Roman" w:hAnsi="Times New Roman" w:cs="Times New Roman"/>
          <w:sz w:val="24"/>
        </w:rPr>
        <w:t>early</w:t>
      </w:r>
      <w:r w:rsidRPr="00430826">
        <w:rPr>
          <w:rFonts w:ascii="Times New Roman" w:hAnsi="Times New Roman" w:cs="Times New Roman"/>
          <w:sz w:val="24"/>
        </w:rPr>
        <w:t>-onset</w:t>
      </w:r>
      <w:r>
        <w:rPr>
          <w:rFonts w:ascii="Times New Roman" w:hAnsi="Times New Roman" w:cs="Times New Roman"/>
          <w:sz w:val="24"/>
        </w:rPr>
        <w:t xml:space="preserve"> asthma</w:t>
      </w:r>
      <w:r w:rsidRPr="00430826">
        <w:rPr>
          <w:rFonts w:ascii="Times New Roman" w:hAnsi="Times New Roman" w:cs="Times New Roman"/>
          <w:sz w:val="24"/>
        </w:rPr>
        <w:t>, genetic data from non-montelukast users were only available from PAGES</w:t>
      </w:r>
      <w:r w:rsidR="00AF675C">
        <w:rPr>
          <w:rFonts w:ascii="Times New Roman" w:hAnsi="Times New Roman" w:cs="Times New Roman"/>
          <w:sz w:val="24"/>
        </w:rPr>
        <w:t xml:space="preserve">, </w:t>
      </w:r>
      <w:r w:rsidRPr="00430826">
        <w:rPr>
          <w:rFonts w:ascii="Times New Roman" w:hAnsi="Times New Roman" w:cs="Times New Roman"/>
          <w:sz w:val="24"/>
        </w:rPr>
        <w:t>BREATHE</w:t>
      </w:r>
      <w:r w:rsidR="00AF675C">
        <w:rPr>
          <w:rFonts w:ascii="Times New Roman" w:hAnsi="Times New Roman" w:cs="Times New Roman"/>
          <w:sz w:val="24"/>
        </w:rPr>
        <w:t xml:space="preserve"> GALA and SAGE</w:t>
      </w:r>
      <w:r w:rsidRPr="00430826">
        <w:rPr>
          <w:rFonts w:ascii="Times New Roman" w:hAnsi="Times New Roman" w:cs="Times New Roman"/>
          <w:sz w:val="24"/>
        </w:rPr>
        <w:t xml:space="preserve"> cohorts. Individuals were selected as not being under </w:t>
      </w:r>
      <w:r>
        <w:rPr>
          <w:rFonts w:ascii="Times New Roman" w:hAnsi="Times New Roman" w:cs="Times New Roman"/>
          <w:sz w:val="24"/>
        </w:rPr>
        <w:t>m</w:t>
      </w:r>
      <w:r w:rsidRPr="00430826">
        <w:rPr>
          <w:rFonts w:ascii="Times New Roman" w:hAnsi="Times New Roman" w:cs="Times New Roman"/>
          <w:sz w:val="24"/>
        </w:rPr>
        <w:t>ontelukast treatment at enrolment. The binary risk of having an asthma exacerbation was defined as 0 = no exacerbation, 1 = at least one exacerbation event, in a time frame of 6 to 12 months. An asthma exacerbation was defined as:</w:t>
      </w:r>
    </w:p>
    <w:p w14:paraId="2E00E973" w14:textId="77777777" w:rsidR="00642FD6" w:rsidRPr="00430826" w:rsidRDefault="00642FD6" w:rsidP="008B01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826">
        <w:rPr>
          <w:rFonts w:ascii="Times New Roman" w:hAnsi="Times New Roman" w:cs="Times New Roman"/>
          <w:sz w:val="24"/>
        </w:rPr>
        <w:t>For PAGES and BREATHE, at least one of the following in the previous 6 months: hospital admission, course of oral corticosteroids (OCS) and absence from school due to asthma symptoms.</w:t>
      </w:r>
    </w:p>
    <w:p w14:paraId="2E00E974" w14:textId="3851DC48" w:rsidR="00642FD6" w:rsidRPr="00430826" w:rsidRDefault="00642FD6" w:rsidP="008B01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826">
        <w:rPr>
          <w:rFonts w:ascii="Times New Roman" w:hAnsi="Times New Roman" w:cs="Times New Roman"/>
          <w:sz w:val="24"/>
        </w:rPr>
        <w:t xml:space="preserve">For </w:t>
      </w:r>
      <w:proofErr w:type="spellStart"/>
      <w:r w:rsidRPr="00430826">
        <w:rPr>
          <w:rFonts w:ascii="Times New Roman" w:hAnsi="Times New Roman" w:cs="Times New Roman"/>
          <w:sz w:val="24"/>
        </w:rPr>
        <w:t>GoSHARE</w:t>
      </w:r>
      <w:proofErr w:type="spellEnd"/>
      <w:r w:rsidRPr="00430826">
        <w:rPr>
          <w:rFonts w:ascii="Times New Roman" w:hAnsi="Times New Roman" w:cs="Times New Roman"/>
          <w:sz w:val="24"/>
        </w:rPr>
        <w:t xml:space="preserve"> (a), at least one of the following within a year before first montelukast prescription date: hospital admission, emergency room visit, course of OCS and discontinuation of the drug. Study details are presented in </w:t>
      </w:r>
      <w:r w:rsidRPr="00430826">
        <w:rPr>
          <w:rFonts w:ascii="Times New Roman" w:hAnsi="Times New Roman" w:cs="Times New Roman"/>
          <w:i/>
          <w:sz w:val="24"/>
        </w:rPr>
        <w:t xml:space="preserve">Table </w:t>
      </w:r>
      <w:r w:rsidR="00246076">
        <w:rPr>
          <w:rFonts w:ascii="Times New Roman" w:hAnsi="Times New Roman" w:cs="Times New Roman"/>
          <w:i/>
          <w:sz w:val="24"/>
        </w:rPr>
        <w:t>E</w:t>
      </w:r>
      <w:r w:rsidRPr="00430826">
        <w:rPr>
          <w:rFonts w:ascii="Times New Roman" w:hAnsi="Times New Roman" w:cs="Times New Roman"/>
          <w:i/>
          <w:sz w:val="24"/>
        </w:rPr>
        <w:t>3</w:t>
      </w:r>
      <w:r w:rsidRPr="00430826">
        <w:rPr>
          <w:rFonts w:ascii="Times New Roman" w:hAnsi="Times New Roman" w:cs="Times New Roman"/>
          <w:sz w:val="24"/>
        </w:rPr>
        <w:t>.</w:t>
      </w:r>
    </w:p>
    <w:p w14:paraId="2E00E975" w14:textId="008CD4C1" w:rsidR="00642FD6" w:rsidRPr="00430826" w:rsidRDefault="00642FD6" w:rsidP="008B010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30826">
        <w:rPr>
          <w:rFonts w:ascii="Times New Roman" w:hAnsi="Times New Roman" w:cs="Times New Roman"/>
          <w:sz w:val="24"/>
        </w:rPr>
        <w:t xml:space="preserve">Statistical analyses were performed in SAS 9.3 (SAS Institute, Cary, NC, USA). Binary logistic regression </w:t>
      </w:r>
      <w:r w:rsidR="00883DF3">
        <w:rPr>
          <w:rFonts w:ascii="Times New Roman" w:hAnsi="Times New Roman" w:cs="Times New Roman"/>
          <w:sz w:val="24"/>
        </w:rPr>
        <w:t xml:space="preserve">model </w:t>
      </w:r>
      <w:r w:rsidRPr="00430826">
        <w:rPr>
          <w:rFonts w:ascii="Times New Roman" w:hAnsi="Times New Roman" w:cs="Times New Roman"/>
          <w:sz w:val="24"/>
        </w:rPr>
        <w:t xml:space="preserve">was used to test the association between rs2660845 and the binary risk of having an exacerbation. LTA4H variant effect was considered dominant and p value (P) less than 0.05 was considered significant. Results for </w:t>
      </w:r>
      <w:r w:rsidR="00D9188E">
        <w:rPr>
          <w:rFonts w:ascii="Times New Roman" w:hAnsi="Times New Roman" w:cs="Times New Roman"/>
          <w:sz w:val="24"/>
        </w:rPr>
        <w:t>late</w:t>
      </w:r>
      <w:r w:rsidRPr="00430826">
        <w:rPr>
          <w:rFonts w:ascii="Times New Roman" w:hAnsi="Times New Roman" w:cs="Times New Roman"/>
          <w:sz w:val="24"/>
        </w:rPr>
        <w:t xml:space="preserve">-onset and </w:t>
      </w:r>
      <w:r w:rsidR="00D9188E">
        <w:rPr>
          <w:rFonts w:ascii="Times New Roman" w:hAnsi="Times New Roman" w:cs="Times New Roman"/>
          <w:sz w:val="24"/>
        </w:rPr>
        <w:t>early</w:t>
      </w:r>
      <w:r w:rsidRPr="00430826">
        <w:rPr>
          <w:rFonts w:ascii="Times New Roman" w:hAnsi="Times New Roman" w:cs="Times New Roman"/>
          <w:sz w:val="24"/>
        </w:rPr>
        <w:t xml:space="preserve">-onset are presented in respectively </w:t>
      </w:r>
      <w:r w:rsidRPr="00430826">
        <w:rPr>
          <w:rFonts w:ascii="Times New Roman" w:hAnsi="Times New Roman" w:cs="Times New Roman"/>
          <w:i/>
          <w:sz w:val="24"/>
        </w:rPr>
        <w:t xml:space="preserve">Table </w:t>
      </w:r>
      <w:r w:rsidR="00246076">
        <w:rPr>
          <w:rFonts w:ascii="Times New Roman" w:hAnsi="Times New Roman" w:cs="Times New Roman"/>
          <w:i/>
          <w:sz w:val="24"/>
        </w:rPr>
        <w:t>E</w:t>
      </w:r>
      <w:r w:rsidRPr="00430826">
        <w:rPr>
          <w:rFonts w:ascii="Times New Roman" w:hAnsi="Times New Roman" w:cs="Times New Roman"/>
          <w:i/>
          <w:sz w:val="24"/>
        </w:rPr>
        <w:t xml:space="preserve">4 and </w:t>
      </w:r>
      <w:r w:rsidR="00246076">
        <w:rPr>
          <w:rFonts w:ascii="Times New Roman" w:hAnsi="Times New Roman" w:cs="Times New Roman"/>
          <w:i/>
          <w:sz w:val="24"/>
        </w:rPr>
        <w:t>E</w:t>
      </w:r>
      <w:r w:rsidRPr="00430826">
        <w:rPr>
          <w:rFonts w:ascii="Times New Roman" w:hAnsi="Times New Roman" w:cs="Times New Roman"/>
          <w:i/>
          <w:sz w:val="24"/>
        </w:rPr>
        <w:t>5</w:t>
      </w:r>
      <w:r w:rsidRPr="00430826">
        <w:rPr>
          <w:rFonts w:ascii="Times New Roman" w:hAnsi="Times New Roman" w:cs="Times New Roman"/>
          <w:sz w:val="24"/>
        </w:rPr>
        <w:t>.</w:t>
      </w:r>
    </w:p>
    <w:p w14:paraId="2E00E976" w14:textId="77777777" w:rsidR="00642FD6" w:rsidRPr="00430826" w:rsidRDefault="00642FD6" w:rsidP="00642FD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30826">
        <w:rPr>
          <w:rFonts w:ascii="Times New Roman" w:hAnsi="Times New Roman" w:cs="Times New Roman"/>
          <w:b/>
          <w:color w:val="141413"/>
          <w:sz w:val="24"/>
          <w:szCs w:val="24"/>
        </w:rPr>
        <w:br w:type="page"/>
      </w:r>
    </w:p>
    <w:p w14:paraId="78FB44E9" w14:textId="598C12D8" w:rsidR="00813A7D" w:rsidRPr="00EB28AA" w:rsidRDefault="00C307BA" w:rsidP="00EB28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E0DC7">
        <w:rPr>
          <w:rFonts w:ascii="Times New Roman" w:hAnsi="Times New Roman" w:cs="Times New Roman"/>
          <w:b/>
        </w:rPr>
        <w:lastRenderedPageBreak/>
        <w:t xml:space="preserve">Table </w:t>
      </w:r>
      <w:r w:rsidR="00CE1720">
        <w:rPr>
          <w:rFonts w:ascii="Times New Roman" w:hAnsi="Times New Roman" w:cs="Times New Roman"/>
          <w:b/>
        </w:rPr>
        <w:t>S</w:t>
      </w:r>
      <w:r w:rsidRPr="008E0DC7">
        <w:rPr>
          <w:rFonts w:ascii="Times New Roman" w:hAnsi="Times New Roman" w:cs="Times New Roman"/>
          <w:b/>
        </w:rPr>
        <w:t xml:space="preserve">1.  </w:t>
      </w:r>
      <w:r w:rsidR="005004E2">
        <w:rPr>
          <w:rFonts w:ascii="Times New Roman" w:hAnsi="Times New Roman" w:cs="Times New Roman"/>
          <w:b/>
        </w:rPr>
        <w:t>Power of the sample size for combined cohorts to detect increases in OR for asthma exacerbation</w:t>
      </w:r>
      <w:r w:rsidRPr="008E0DC7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38"/>
        <w:gridCol w:w="1805"/>
        <w:gridCol w:w="1784"/>
        <w:gridCol w:w="1595"/>
        <w:gridCol w:w="1353"/>
        <w:gridCol w:w="1241"/>
      </w:tblGrid>
      <w:tr w:rsidR="005004E2" w:rsidRPr="00430826" w14:paraId="1E8B7E1A" w14:textId="77777777" w:rsidTr="00EB28AA">
        <w:tc>
          <w:tcPr>
            <w:tcW w:w="1238" w:type="dxa"/>
            <w:shd w:val="clear" w:color="auto" w:fill="auto"/>
          </w:tcPr>
          <w:p w14:paraId="3E8FB4B2" w14:textId="414B17B2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 onset</w:t>
            </w:r>
          </w:p>
        </w:tc>
        <w:tc>
          <w:tcPr>
            <w:tcW w:w="1805" w:type="dxa"/>
          </w:tcPr>
          <w:p w14:paraId="2B9E4F75" w14:textId="63FDF0DA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784" w:type="dxa"/>
          </w:tcPr>
          <w:p w14:paraId="4E733ECB" w14:textId="648A6053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1595" w:type="dxa"/>
            <w:shd w:val="clear" w:color="auto" w:fill="auto"/>
          </w:tcPr>
          <w:p w14:paraId="2A13EC9A" w14:textId="724B511A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OR=1.2</w:t>
            </w:r>
          </w:p>
        </w:tc>
        <w:tc>
          <w:tcPr>
            <w:tcW w:w="1353" w:type="dxa"/>
          </w:tcPr>
          <w:p w14:paraId="1A940EAF" w14:textId="37B6DEDF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OR=1.5</w:t>
            </w:r>
          </w:p>
        </w:tc>
        <w:tc>
          <w:tcPr>
            <w:tcW w:w="1241" w:type="dxa"/>
            <w:shd w:val="clear" w:color="auto" w:fill="auto"/>
          </w:tcPr>
          <w:p w14:paraId="5968A4EA" w14:textId="33A4B0F0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OR=3</w:t>
            </w:r>
          </w:p>
        </w:tc>
      </w:tr>
      <w:tr w:rsidR="005004E2" w:rsidRPr="00430826" w14:paraId="0D97C32C" w14:textId="77777777" w:rsidTr="00EB28AA">
        <w:tc>
          <w:tcPr>
            <w:tcW w:w="1238" w:type="dxa"/>
            <w:shd w:val="clear" w:color="auto" w:fill="auto"/>
          </w:tcPr>
          <w:p w14:paraId="68715DCC" w14:textId="30E5DF57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Late </w:t>
            </w:r>
          </w:p>
        </w:tc>
        <w:tc>
          <w:tcPr>
            <w:tcW w:w="1805" w:type="dxa"/>
          </w:tcPr>
          <w:p w14:paraId="060CDCA4" w14:textId="409BBF71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Europeans</w:t>
            </w:r>
          </w:p>
        </w:tc>
        <w:tc>
          <w:tcPr>
            <w:tcW w:w="1784" w:type="dxa"/>
          </w:tcPr>
          <w:p w14:paraId="536121ED" w14:textId="29A530C1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UKBiobank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GoSHARE</w:t>
            </w:r>
            <w:proofErr w:type="spellEnd"/>
            <w:r w:rsidR="00813A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(a)</w:t>
            </w:r>
          </w:p>
        </w:tc>
        <w:tc>
          <w:tcPr>
            <w:tcW w:w="1595" w:type="dxa"/>
            <w:shd w:val="clear" w:color="auto" w:fill="auto"/>
          </w:tcPr>
          <w:p w14:paraId="60283758" w14:textId="363CBE66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53" w:type="dxa"/>
          </w:tcPr>
          <w:p w14:paraId="618AD223" w14:textId="37EC32E4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241" w:type="dxa"/>
            <w:shd w:val="clear" w:color="auto" w:fill="auto"/>
          </w:tcPr>
          <w:p w14:paraId="01E01BD1" w14:textId="4BB6A69B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004E2" w:rsidRPr="00430826" w14:paraId="020DA55C" w14:textId="77777777" w:rsidTr="00EB28AA">
        <w:tc>
          <w:tcPr>
            <w:tcW w:w="1238" w:type="dxa"/>
            <w:shd w:val="clear" w:color="auto" w:fill="auto"/>
          </w:tcPr>
          <w:p w14:paraId="122722D7" w14:textId="46D4EF65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Early </w:t>
            </w:r>
          </w:p>
        </w:tc>
        <w:tc>
          <w:tcPr>
            <w:tcW w:w="1805" w:type="dxa"/>
          </w:tcPr>
          <w:p w14:paraId="60414D6F" w14:textId="203F1F0B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Europeans</w:t>
            </w:r>
          </w:p>
        </w:tc>
        <w:tc>
          <w:tcPr>
            <w:tcW w:w="1784" w:type="dxa"/>
          </w:tcPr>
          <w:p w14:paraId="749541D7" w14:textId="36792305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GoSHARE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(b), BREATHE, Tayside RCT, PAGES</w:t>
            </w:r>
          </w:p>
        </w:tc>
        <w:tc>
          <w:tcPr>
            <w:tcW w:w="1595" w:type="dxa"/>
            <w:shd w:val="clear" w:color="auto" w:fill="auto"/>
          </w:tcPr>
          <w:p w14:paraId="027050E6" w14:textId="505F56E4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31%</w:t>
            </w:r>
          </w:p>
        </w:tc>
        <w:tc>
          <w:tcPr>
            <w:tcW w:w="1353" w:type="dxa"/>
          </w:tcPr>
          <w:p w14:paraId="65726389" w14:textId="69121BB6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1241" w:type="dxa"/>
            <w:shd w:val="clear" w:color="auto" w:fill="auto"/>
          </w:tcPr>
          <w:p w14:paraId="29DC4346" w14:textId="00DC3315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5004E2" w:rsidRPr="00430826" w14:paraId="3C293DA8" w14:textId="77777777" w:rsidTr="00EB28AA">
        <w:tc>
          <w:tcPr>
            <w:tcW w:w="1238" w:type="dxa"/>
            <w:shd w:val="clear" w:color="auto" w:fill="auto"/>
          </w:tcPr>
          <w:p w14:paraId="39A18D9C" w14:textId="3FDD547D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Early</w:t>
            </w:r>
          </w:p>
        </w:tc>
        <w:tc>
          <w:tcPr>
            <w:tcW w:w="1805" w:type="dxa"/>
          </w:tcPr>
          <w:p w14:paraId="112D1F7C" w14:textId="4931ABB6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Europeans, African Americans, </w:t>
            </w:r>
            <w:r w:rsidR="008A1C4B">
              <w:rPr>
                <w:rFonts w:ascii="Times New Roman" w:hAnsi="Times New Roman" w:cs="Times New Roman"/>
              </w:rPr>
              <w:t>Hispanics</w:t>
            </w:r>
            <w:r>
              <w:rPr>
                <w:rFonts w:ascii="Times New Roman" w:hAnsi="Times New Roman" w:cs="Times New Roman"/>
              </w:rPr>
              <w:t>/Latinos</w:t>
            </w:r>
          </w:p>
        </w:tc>
        <w:tc>
          <w:tcPr>
            <w:tcW w:w="1784" w:type="dxa"/>
          </w:tcPr>
          <w:p w14:paraId="68CC9769" w14:textId="3300614E" w:rsidR="005004E2" w:rsidRDefault="00573E3F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GoSHARE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(b), BREATHE, Tayside RCT, PAGES, SAGE, GALA II</w:t>
            </w:r>
          </w:p>
        </w:tc>
        <w:tc>
          <w:tcPr>
            <w:tcW w:w="1595" w:type="dxa"/>
            <w:shd w:val="clear" w:color="auto" w:fill="auto"/>
          </w:tcPr>
          <w:p w14:paraId="05C270BE" w14:textId="1D0BCD38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353" w:type="dxa"/>
          </w:tcPr>
          <w:p w14:paraId="0F6BDF0D" w14:textId="008541B6" w:rsidR="005004E2" w:rsidRPr="00430826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1241" w:type="dxa"/>
            <w:shd w:val="clear" w:color="auto" w:fill="auto"/>
          </w:tcPr>
          <w:p w14:paraId="3858A7C7" w14:textId="6ED6FE3A" w:rsidR="005004E2" w:rsidRDefault="005004E2" w:rsidP="00CA2BCD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EEDE302" w14:textId="77777777" w:rsidR="00EB28AA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GoSHARE</w:t>
      </w:r>
      <w:proofErr w:type="spellEnd"/>
      <w:r>
        <w:rPr>
          <w:rFonts w:ascii="Times New Roman" w:hAnsi="Times New Roman" w:cs="Times New Roman"/>
          <w:sz w:val="20"/>
        </w:rPr>
        <w:t xml:space="preserve"> (a) is the late-onset population (&gt;18 years-old)</w:t>
      </w:r>
    </w:p>
    <w:p w14:paraId="5728B20A" w14:textId="072AB852" w:rsidR="00C307BA" w:rsidRDefault="00EB28AA" w:rsidP="00EB28A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0"/>
        </w:rPr>
        <w:t>GoSHARE</w:t>
      </w:r>
      <w:proofErr w:type="spellEnd"/>
      <w:r>
        <w:rPr>
          <w:rFonts w:ascii="Times New Roman" w:hAnsi="Times New Roman" w:cs="Times New Roman"/>
          <w:sz w:val="20"/>
        </w:rPr>
        <w:t xml:space="preserve"> (b) is the early-onset population (&lt;= 18 years-old)</w:t>
      </w:r>
      <w:r w:rsidR="00C307BA">
        <w:rPr>
          <w:rFonts w:ascii="Times New Roman" w:hAnsi="Times New Roman" w:cs="Times New Roman"/>
          <w:b/>
        </w:rPr>
        <w:br w:type="page"/>
      </w:r>
    </w:p>
    <w:p w14:paraId="2E00E979" w14:textId="56E664B3" w:rsidR="00642FD6" w:rsidRPr="008E0DC7" w:rsidRDefault="00642FD6" w:rsidP="00642FD6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E0DC7">
        <w:rPr>
          <w:rFonts w:ascii="Times New Roman" w:hAnsi="Times New Roman" w:cs="Times New Roman"/>
          <w:b/>
        </w:rPr>
        <w:lastRenderedPageBreak/>
        <w:t xml:space="preserve">Table </w:t>
      </w:r>
      <w:r w:rsidR="00CE1720">
        <w:rPr>
          <w:rFonts w:ascii="Times New Roman" w:hAnsi="Times New Roman" w:cs="Times New Roman"/>
          <w:b/>
        </w:rPr>
        <w:t>S</w:t>
      </w:r>
      <w:r w:rsidR="00C307BA">
        <w:rPr>
          <w:rFonts w:ascii="Times New Roman" w:hAnsi="Times New Roman" w:cs="Times New Roman"/>
          <w:b/>
        </w:rPr>
        <w:t>2</w:t>
      </w:r>
      <w:r w:rsidRPr="008E0DC7">
        <w:rPr>
          <w:rFonts w:ascii="Times New Roman" w:hAnsi="Times New Roman" w:cs="Times New Roman"/>
          <w:b/>
        </w:rPr>
        <w:t xml:space="preserve">.  Selection of asthmatic patients in </w:t>
      </w:r>
      <w:proofErr w:type="spellStart"/>
      <w:r w:rsidRPr="008E0DC7">
        <w:rPr>
          <w:rFonts w:ascii="Times New Roman" w:hAnsi="Times New Roman" w:cs="Times New Roman"/>
          <w:b/>
        </w:rPr>
        <w:t>GoSHARE</w:t>
      </w:r>
      <w:proofErr w:type="spellEnd"/>
      <w:r w:rsidRPr="008E0DC7">
        <w:rPr>
          <w:rFonts w:ascii="Times New Roman" w:hAnsi="Times New Roman" w:cs="Times New Roman"/>
          <w:b/>
        </w:rPr>
        <w:t xml:space="preserve"> by treatment steps.</w:t>
      </w:r>
    </w:p>
    <w:tbl>
      <w:tblPr>
        <w:tblStyle w:val="TableGrid"/>
        <w:tblW w:w="6762" w:type="dxa"/>
        <w:tblLook w:val="04A0" w:firstRow="1" w:lastRow="0" w:firstColumn="1" w:lastColumn="0" w:noHBand="0" w:noVBand="1"/>
      </w:tblPr>
      <w:tblGrid>
        <w:gridCol w:w="844"/>
        <w:gridCol w:w="3664"/>
        <w:gridCol w:w="2254"/>
      </w:tblGrid>
      <w:tr w:rsidR="00A00CFE" w:rsidRPr="00430826" w14:paraId="2E00E97E" w14:textId="77777777" w:rsidTr="00A00CFE">
        <w:tc>
          <w:tcPr>
            <w:tcW w:w="844" w:type="dxa"/>
            <w:shd w:val="clear" w:color="auto" w:fill="auto"/>
          </w:tcPr>
          <w:p w14:paraId="2E00E97A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Steps</w:t>
            </w:r>
          </w:p>
        </w:tc>
        <w:tc>
          <w:tcPr>
            <w:tcW w:w="3664" w:type="dxa"/>
            <w:shd w:val="clear" w:color="auto" w:fill="auto"/>
          </w:tcPr>
          <w:p w14:paraId="2E00E97B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Medication</w:t>
            </w:r>
          </w:p>
        </w:tc>
        <w:tc>
          <w:tcPr>
            <w:tcW w:w="2254" w:type="dxa"/>
            <w:shd w:val="clear" w:color="auto" w:fill="auto"/>
          </w:tcPr>
          <w:p w14:paraId="2E00E97C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 xml:space="preserve">Number of </w:t>
            </w:r>
            <w:proofErr w:type="spellStart"/>
            <w:r w:rsidRPr="00430826">
              <w:rPr>
                <w:rFonts w:ascii="Times New Roman" w:hAnsi="Times New Roman" w:cs="Times New Roman"/>
              </w:rPr>
              <w:t>GoSHARE</w:t>
            </w:r>
            <w:proofErr w:type="spellEnd"/>
            <w:r w:rsidRPr="00430826">
              <w:rPr>
                <w:rFonts w:ascii="Times New Roman" w:hAnsi="Times New Roman" w:cs="Times New Roman"/>
              </w:rPr>
              <w:t xml:space="preserve"> patients (n)</w:t>
            </w:r>
          </w:p>
        </w:tc>
      </w:tr>
      <w:tr w:rsidR="00A00CFE" w:rsidRPr="00430826" w14:paraId="2E00E983" w14:textId="77777777" w:rsidTr="00A00CFE">
        <w:tc>
          <w:tcPr>
            <w:tcW w:w="844" w:type="dxa"/>
            <w:shd w:val="clear" w:color="auto" w:fill="auto"/>
          </w:tcPr>
          <w:p w14:paraId="2E00E97F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  <w:shd w:val="clear" w:color="auto" w:fill="auto"/>
          </w:tcPr>
          <w:p w14:paraId="2E00E980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SABA as needed</w:t>
            </w:r>
          </w:p>
        </w:tc>
        <w:tc>
          <w:tcPr>
            <w:tcW w:w="2254" w:type="dxa"/>
            <w:shd w:val="clear" w:color="auto" w:fill="auto"/>
          </w:tcPr>
          <w:p w14:paraId="2E00E981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10,218</w:t>
            </w:r>
          </w:p>
        </w:tc>
      </w:tr>
      <w:tr w:rsidR="00A00CFE" w:rsidRPr="00430826" w14:paraId="2E00E988" w14:textId="77777777" w:rsidTr="00A00CFE">
        <w:tc>
          <w:tcPr>
            <w:tcW w:w="844" w:type="dxa"/>
            <w:shd w:val="clear" w:color="auto" w:fill="auto"/>
          </w:tcPr>
          <w:p w14:paraId="2E00E984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  <w:shd w:val="clear" w:color="auto" w:fill="auto"/>
          </w:tcPr>
          <w:p w14:paraId="2E00E985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SABA as needed +ICS</w:t>
            </w:r>
          </w:p>
        </w:tc>
        <w:tc>
          <w:tcPr>
            <w:tcW w:w="2254" w:type="dxa"/>
            <w:shd w:val="clear" w:color="auto" w:fill="auto"/>
          </w:tcPr>
          <w:p w14:paraId="2E00E986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5,388</w:t>
            </w:r>
          </w:p>
        </w:tc>
      </w:tr>
      <w:tr w:rsidR="00A00CFE" w:rsidRPr="00430826" w14:paraId="2E00E98D" w14:textId="77777777" w:rsidTr="00A00CFE">
        <w:tc>
          <w:tcPr>
            <w:tcW w:w="844" w:type="dxa"/>
            <w:shd w:val="clear" w:color="auto" w:fill="auto"/>
          </w:tcPr>
          <w:p w14:paraId="2E00E989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  <w:shd w:val="clear" w:color="auto" w:fill="auto"/>
          </w:tcPr>
          <w:p w14:paraId="2E00E98A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SABA as needed + ICS + LABA</w:t>
            </w:r>
          </w:p>
        </w:tc>
        <w:tc>
          <w:tcPr>
            <w:tcW w:w="2254" w:type="dxa"/>
            <w:shd w:val="clear" w:color="auto" w:fill="auto"/>
          </w:tcPr>
          <w:p w14:paraId="2E00E98B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4,551</w:t>
            </w:r>
          </w:p>
        </w:tc>
      </w:tr>
      <w:tr w:rsidR="00A00CFE" w:rsidRPr="00430826" w14:paraId="2E00E992" w14:textId="77777777" w:rsidTr="00A00CFE">
        <w:tc>
          <w:tcPr>
            <w:tcW w:w="844" w:type="dxa"/>
            <w:shd w:val="clear" w:color="auto" w:fill="auto"/>
          </w:tcPr>
          <w:p w14:paraId="2E00E98E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  <w:shd w:val="clear" w:color="auto" w:fill="auto"/>
          </w:tcPr>
          <w:p w14:paraId="2E00E98F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SABA as needed + LTRA (+ICS +LABA)</w:t>
            </w:r>
          </w:p>
        </w:tc>
        <w:tc>
          <w:tcPr>
            <w:tcW w:w="2254" w:type="dxa"/>
            <w:shd w:val="clear" w:color="auto" w:fill="auto"/>
          </w:tcPr>
          <w:p w14:paraId="2E00E990" w14:textId="77777777" w:rsidR="00A00CFE" w:rsidRPr="00430826" w:rsidRDefault="00A00CFE" w:rsidP="005320AC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1,070</w:t>
            </w:r>
          </w:p>
        </w:tc>
      </w:tr>
    </w:tbl>
    <w:p w14:paraId="2E00E993" w14:textId="77777777" w:rsidR="00642FD6" w:rsidRPr="00430826" w:rsidRDefault="00642FD6" w:rsidP="00642FD6">
      <w:pPr>
        <w:pStyle w:val="NormalWeb"/>
        <w:spacing w:beforeAutospacing="0" w:after="120" w:afterAutospacing="0" w:line="252" w:lineRule="auto"/>
        <w:rPr>
          <w:sz w:val="22"/>
        </w:rPr>
      </w:pPr>
      <w:r w:rsidRPr="00430826">
        <w:rPr>
          <w:rFonts w:eastAsia="Calibri"/>
          <w:bCs/>
          <w:color w:val="000000" w:themeColor="text1"/>
          <w:kern w:val="2"/>
          <w:sz w:val="20"/>
          <w:szCs w:val="21"/>
        </w:rPr>
        <w:t xml:space="preserve">Step 1: inhaled short-acting β2-agonists (SABA) on demand; </w:t>
      </w:r>
    </w:p>
    <w:p w14:paraId="2E00E994" w14:textId="77777777" w:rsidR="00642FD6" w:rsidRPr="00430826" w:rsidRDefault="00642FD6" w:rsidP="00642FD6">
      <w:pPr>
        <w:pStyle w:val="NormalWeb"/>
        <w:spacing w:beforeAutospacing="0" w:after="120" w:afterAutospacing="0" w:line="252" w:lineRule="auto"/>
        <w:rPr>
          <w:sz w:val="22"/>
        </w:rPr>
      </w:pPr>
      <w:r w:rsidRPr="00430826">
        <w:rPr>
          <w:rFonts w:eastAsia="Calibri"/>
          <w:bCs/>
          <w:color w:val="000000" w:themeColor="text1"/>
          <w:kern w:val="2"/>
          <w:sz w:val="20"/>
          <w:szCs w:val="21"/>
        </w:rPr>
        <w:t xml:space="preserve">Step 2: regular inhaled steroids (ICS) plus SABA on demand; </w:t>
      </w:r>
    </w:p>
    <w:p w14:paraId="2E00E995" w14:textId="77777777" w:rsidR="00642FD6" w:rsidRPr="00430826" w:rsidRDefault="00642FD6" w:rsidP="00642FD6">
      <w:pPr>
        <w:pStyle w:val="NormalWeb"/>
        <w:spacing w:beforeAutospacing="0" w:after="120" w:afterAutospacing="0" w:line="252" w:lineRule="auto"/>
        <w:rPr>
          <w:sz w:val="22"/>
        </w:rPr>
      </w:pPr>
      <w:r w:rsidRPr="00430826">
        <w:rPr>
          <w:rFonts w:eastAsia="Calibri"/>
          <w:bCs/>
          <w:color w:val="000000" w:themeColor="text1"/>
          <w:kern w:val="2"/>
          <w:sz w:val="20"/>
          <w:szCs w:val="21"/>
        </w:rPr>
        <w:t xml:space="preserve">Step 3: regular inhaled long-acting β2-agonists (LABA) (salmeterol or formoterol) plus ICS with SABA on demand; </w:t>
      </w:r>
    </w:p>
    <w:p w14:paraId="2E00E996" w14:textId="77777777" w:rsidR="00642FD6" w:rsidRPr="00430826" w:rsidRDefault="00642FD6" w:rsidP="00642FD6">
      <w:pPr>
        <w:pStyle w:val="NormalWeb"/>
        <w:spacing w:beforeAutospacing="0" w:after="120" w:afterAutospacing="0" w:line="252" w:lineRule="auto"/>
        <w:rPr>
          <w:rFonts w:eastAsia="Calibri"/>
          <w:bCs/>
          <w:color w:val="000000" w:themeColor="text1"/>
          <w:kern w:val="2"/>
          <w:szCs w:val="27"/>
        </w:rPr>
        <w:sectPr w:rsidR="00642FD6" w:rsidRPr="00430826" w:rsidSect="003806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  <w:r w:rsidRPr="00430826">
        <w:rPr>
          <w:rFonts w:eastAsia="Calibri"/>
          <w:bCs/>
          <w:color w:val="000000" w:themeColor="text1"/>
          <w:kern w:val="2"/>
          <w:sz w:val="20"/>
          <w:szCs w:val="21"/>
        </w:rPr>
        <w:t>Step 4: oral montelukast with SABA on demand (plus ICS plus/or regular LABA)</w:t>
      </w:r>
      <w:r w:rsidRPr="00430826">
        <w:rPr>
          <w:rFonts w:eastAsia="Calibri"/>
          <w:bCs/>
          <w:color w:val="000000" w:themeColor="text1"/>
          <w:kern w:val="2"/>
          <w:szCs w:val="27"/>
        </w:rPr>
        <w:t>.</w:t>
      </w:r>
    </w:p>
    <w:tbl>
      <w:tblPr>
        <w:tblStyle w:val="PlainTable2"/>
        <w:tblpPr w:leftFromText="180" w:rightFromText="180" w:vertAnchor="page" w:horzAnchor="margin" w:tblpXSpec="center" w:tblpY="319"/>
        <w:tblW w:w="16302" w:type="dxa"/>
        <w:tblLook w:val="04A0" w:firstRow="1" w:lastRow="0" w:firstColumn="1" w:lastColumn="0" w:noHBand="0" w:noVBand="1"/>
      </w:tblPr>
      <w:tblGrid>
        <w:gridCol w:w="1674"/>
        <w:gridCol w:w="1728"/>
        <w:gridCol w:w="1739"/>
        <w:gridCol w:w="1739"/>
        <w:gridCol w:w="1728"/>
        <w:gridCol w:w="1747"/>
        <w:gridCol w:w="1694"/>
        <w:gridCol w:w="67"/>
        <w:gridCol w:w="1776"/>
        <w:gridCol w:w="2410"/>
      </w:tblGrid>
      <w:tr w:rsidR="00740320" w:rsidRPr="00430826" w14:paraId="22128C05" w14:textId="77777777" w:rsidTr="007403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02" w:type="dxa"/>
            <w:gridSpan w:val="10"/>
            <w:shd w:val="clear" w:color="auto" w:fill="auto"/>
          </w:tcPr>
          <w:p w14:paraId="4BA35791" w14:textId="4A651B7E" w:rsidR="00740320" w:rsidRPr="00430826" w:rsidRDefault="00740320" w:rsidP="00740320">
            <w:pPr>
              <w:pStyle w:val="NormalWeb"/>
              <w:spacing w:beforeAutospacing="0" w:after="12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3082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Table </w:t>
            </w:r>
            <w:r w:rsidR="00CE1720">
              <w:rPr>
                <w:rFonts w:eastAsiaTheme="minorHAnsi"/>
                <w:sz w:val="22"/>
                <w:szCs w:val="22"/>
                <w:lang w:eastAsia="en-US"/>
              </w:rPr>
              <w:t>S</w:t>
            </w:r>
            <w:r w:rsidR="00C307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430826">
              <w:rPr>
                <w:rFonts w:eastAsiaTheme="minorHAnsi"/>
                <w:sz w:val="22"/>
                <w:szCs w:val="22"/>
                <w:lang w:eastAsia="en-US"/>
              </w:rPr>
              <w:t>.  Covariates association with asthma exacerbation binary trait.</w:t>
            </w:r>
          </w:p>
          <w:p w14:paraId="546331E9" w14:textId="77777777" w:rsidR="00740320" w:rsidRPr="00430826" w:rsidRDefault="00740320" w:rsidP="00740320">
            <w:pPr>
              <w:pStyle w:val="NormalWeb"/>
              <w:spacing w:beforeAutospacing="0" w:after="120" w:afterAutospacing="0" w:line="252" w:lineRule="auto"/>
              <w:rPr>
                <w:rFonts w:eastAsiaTheme="minorHAnsi"/>
                <w:b w:val="0"/>
                <w:sz w:val="20"/>
                <w:szCs w:val="22"/>
                <w:lang w:eastAsia="en-US"/>
              </w:rPr>
            </w:pPr>
            <w:r w:rsidRPr="00430826">
              <w:rPr>
                <w:rFonts w:eastAsiaTheme="minorHAnsi"/>
                <w:b w:val="0"/>
                <w:sz w:val="20"/>
                <w:szCs w:val="22"/>
                <w:lang w:eastAsia="en-US"/>
              </w:rPr>
              <w:t xml:space="preserve">*Traits with a P &lt;0.05 were used as covariates in the logistic regression. </w:t>
            </w:r>
          </w:p>
          <w:p w14:paraId="7C7EA87C" w14:textId="77777777" w:rsidR="00740320" w:rsidRPr="00430826" w:rsidRDefault="00740320" w:rsidP="00740320">
            <w:pPr>
              <w:pStyle w:val="NormalWeb"/>
              <w:spacing w:beforeAutospacing="0" w:after="120" w:afterAutospacing="0" w:line="252" w:lineRule="auto"/>
            </w:pPr>
            <w:r w:rsidRPr="00430826">
              <w:rPr>
                <w:b w:val="0"/>
                <w:sz w:val="20"/>
              </w:rPr>
              <w:t>For GALA II and SAGE, betas 95%(CI) are reported for quantitative variables</w:t>
            </w:r>
          </w:p>
        </w:tc>
      </w:tr>
      <w:tr w:rsidR="00740320" w:rsidRPr="00430826" w14:paraId="30534425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shd w:val="clear" w:color="auto" w:fill="auto"/>
          </w:tcPr>
          <w:p w14:paraId="3C924FBE" w14:textId="77777777" w:rsidR="00740320" w:rsidRPr="00430826" w:rsidRDefault="00740320" w:rsidP="0074032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 </w:t>
            </w:r>
          </w:p>
        </w:tc>
        <w:tc>
          <w:tcPr>
            <w:tcW w:w="1728" w:type="dxa"/>
            <w:shd w:val="clear" w:color="auto" w:fill="auto"/>
          </w:tcPr>
          <w:p w14:paraId="540A0124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8647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1EDAA91B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Odds ratio (95%CI) for exacerbation; P-value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964148" w14:textId="77777777" w:rsidR="00740320" w:rsidRPr="00431DAA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</w:pPr>
            <w:r w:rsidRPr="00431DAA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Betas (95%CI) for exacerbation; P-value</w:t>
            </w:r>
          </w:p>
        </w:tc>
      </w:tr>
      <w:tr w:rsidR="00740320" w:rsidRPr="00430826" w14:paraId="5F59C3B3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</w:tcPr>
          <w:p w14:paraId="056A02E1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4EFD377F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UKBiobank</w:t>
            </w:r>
            <w:proofErr w:type="spellEnd"/>
          </w:p>
          <w:p w14:paraId="6346E118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=1,561</w:t>
            </w:r>
          </w:p>
        </w:tc>
        <w:tc>
          <w:tcPr>
            <w:tcW w:w="1739" w:type="dxa"/>
            <w:shd w:val="clear" w:color="auto" w:fill="auto"/>
          </w:tcPr>
          <w:p w14:paraId="31364D61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(a)</w:t>
            </w:r>
          </w:p>
          <w:p w14:paraId="0B435F2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N=953</w:t>
            </w:r>
          </w:p>
        </w:tc>
        <w:tc>
          <w:tcPr>
            <w:tcW w:w="1739" w:type="dxa"/>
            <w:shd w:val="clear" w:color="auto" w:fill="auto"/>
          </w:tcPr>
          <w:p w14:paraId="32A617A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(b)</w:t>
            </w:r>
          </w:p>
          <w:p w14:paraId="28E5921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N=88</w:t>
            </w:r>
          </w:p>
        </w:tc>
        <w:tc>
          <w:tcPr>
            <w:tcW w:w="1728" w:type="dxa"/>
            <w:shd w:val="clear" w:color="auto" w:fill="auto"/>
          </w:tcPr>
          <w:p w14:paraId="0A22804F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BREATHE</w:t>
            </w:r>
          </w:p>
          <w:p w14:paraId="68A1052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N=210</w:t>
            </w:r>
          </w:p>
        </w:tc>
        <w:tc>
          <w:tcPr>
            <w:tcW w:w="1747" w:type="dxa"/>
            <w:shd w:val="clear" w:color="auto" w:fill="auto"/>
          </w:tcPr>
          <w:p w14:paraId="044F9AB0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Tayside RCT</w:t>
            </w:r>
          </w:p>
          <w:p w14:paraId="7CEE0C8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N=62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536398E5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PAGES</w:t>
            </w:r>
          </w:p>
          <w:p w14:paraId="2EED5ACA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N=163</w:t>
            </w:r>
          </w:p>
        </w:tc>
        <w:tc>
          <w:tcPr>
            <w:tcW w:w="1776" w:type="dxa"/>
            <w:shd w:val="clear" w:color="auto" w:fill="auto"/>
          </w:tcPr>
          <w:p w14:paraId="62C0C9CD" w14:textId="77777777" w:rsidR="00740320" w:rsidRPr="00431DAA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1DA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 II</w:t>
            </w:r>
          </w:p>
          <w:p w14:paraId="190AB62F" w14:textId="77777777" w:rsidR="00740320" w:rsidRPr="00431DAA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1DA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N=486</w:t>
            </w:r>
          </w:p>
        </w:tc>
        <w:tc>
          <w:tcPr>
            <w:tcW w:w="2410" w:type="dxa"/>
            <w:shd w:val="clear" w:color="auto" w:fill="auto"/>
          </w:tcPr>
          <w:p w14:paraId="4AFBF474" w14:textId="77777777" w:rsidR="00740320" w:rsidRPr="00431DAA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1DA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SAGE</w:t>
            </w:r>
          </w:p>
          <w:p w14:paraId="3EDDD5A4" w14:textId="77777777" w:rsidR="00740320" w:rsidRPr="00431DAA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1DA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N=71</w:t>
            </w:r>
          </w:p>
        </w:tc>
      </w:tr>
      <w:tr w:rsidR="00740320" w:rsidRPr="00430826" w14:paraId="38EB964E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B5A30A" w14:textId="77777777" w:rsidR="00740320" w:rsidRDefault="00740320" w:rsidP="00740320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Gender </w:t>
            </w:r>
          </w:p>
          <w:p w14:paraId="003C7786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 vs F)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2AC20EB2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07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71BA9349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 (0.7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-1.82)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1DB150D5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12.9(2.10-79)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676B1DA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 (0.81-1.34)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0291D410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(0.31-2.71)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81117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1.99 (1.02-3.9);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058745FF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 (0.75-1.81)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194EA41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2.39 (0.74-7.76)</w:t>
            </w:r>
          </w:p>
        </w:tc>
      </w:tr>
      <w:tr w:rsidR="00740320" w:rsidRPr="00430826" w14:paraId="75AE0D5B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40F20E3F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21194D8C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739" w:type="dxa"/>
            <w:shd w:val="clear" w:color="auto" w:fill="auto"/>
          </w:tcPr>
          <w:p w14:paraId="62C0B25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P=0.44</w:t>
            </w:r>
          </w:p>
        </w:tc>
        <w:tc>
          <w:tcPr>
            <w:tcW w:w="1739" w:type="dxa"/>
            <w:shd w:val="clear" w:color="auto" w:fill="auto"/>
          </w:tcPr>
          <w:p w14:paraId="1586ECE8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P=0.006*</w:t>
            </w:r>
          </w:p>
        </w:tc>
        <w:tc>
          <w:tcPr>
            <w:tcW w:w="1728" w:type="dxa"/>
            <w:shd w:val="clear" w:color="auto" w:fill="auto"/>
          </w:tcPr>
          <w:p w14:paraId="743B3B52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P=0.74</w:t>
            </w:r>
          </w:p>
        </w:tc>
        <w:tc>
          <w:tcPr>
            <w:tcW w:w="1747" w:type="dxa"/>
            <w:shd w:val="clear" w:color="auto" w:fill="auto"/>
          </w:tcPr>
          <w:p w14:paraId="1F5FBE1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P=0.89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370C313A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P=0.04*</w:t>
            </w:r>
          </w:p>
        </w:tc>
        <w:tc>
          <w:tcPr>
            <w:tcW w:w="1776" w:type="dxa"/>
            <w:shd w:val="clear" w:color="auto" w:fill="auto"/>
          </w:tcPr>
          <w:p w14:paraId="69C952BD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P=0.494</w:t>
            </w:r>
          </w:p>
        </w:tc>
        <w:tc>
          <w:tcPr>
            <w:tcW w:w="2410" w:type="dxa"/>
            <w:shd w:val="clear" w:color="auto" w:fill="auto"/>
          </w:tcPr>
          <w:p w14:paraId="6B78003D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30826">
              <w:rPr>
                <w:rFonts w:ascii="Times New Roman" w:hAnsi="Times New Roman" w:cs="Times New Roman"/>
                <w:color w:val="000000"/>
              </w:rPr>
              <w:t>P=0.1465</w:t>
            </w:r>
          </w:p>
        </w:tc>
      </w:tr>
      <w:tr w:rsidR="00740320" w:rsidRPr="00430826" w14:paraId="51D6781F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35D29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at 1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st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LTRA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0059C68A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0F224B0B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 (1.003-1.03)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1A58D3C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1.14(0.89-1.45)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7280D65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1696BC80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FCA480D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7E3AF47C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6C22A1D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5F1A6863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2BCB1215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28817AC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0A502B9E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P=0.013*</w:t>
            </w:r>
          </w:p>
        </w:tc>
        <w:tc>
          <w:tcPr>
            <w:tcW w:w="1739" w:type="dxa"/>
            <w:shd w:val="clear" w:color="auto" w:fill="auto"/>
          </w:tcPr>
          <w:p w14:paraId="40A6018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P=0.29</w:t>
            </w:r>
          </w:p>
        </w:tc>
        <w:tc>
          <w:tcPr>
            <w:tcW w:w="1728" w:type="dxa"/>
            <w:shd w:val="clear" w:color="auto" w:fill="auto"/>
          </w:tcPr>
          <w:p w14:paraId="3B95433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14:paraId="683FED5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77811F6F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14:paraId="2F9FD6B1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21FC176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04688401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2390FC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at 1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st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SABA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567DC00E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313DAEE1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 (0.99-1.02)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266AC6C1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(0.56-1.09)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6957ABDC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6368F74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CE34F4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47648978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6FA890C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56B119E4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389CCA8B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7213087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5F38B27E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P=0.18</w:t>
            </w:r>
          </w:p>
        </w:tc>
        <w:tc>
          <w:tcPr>
            <w:tcW w:w="1739" w:type="dxa"/>
            <w:shd w:val="clear" w:color="auto" w:fill="auto"/>
          </w:tcPr>
          <w:p w14:paraId="1D246FF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P=0.15</w:t>
            </w:r>
          </w:p>
        </w:tc>
        <w:tc>
          <w:tcPr>
            <w:tcW w:w="1728" w:type="dxa"/>
            <w:shd w:val="clear" w:color="auto" w:fill="auto"/>
          </w:tcPr>
          <w:p w14:paraId="19E7B7DD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14:paraId="6985530D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3AD01BA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14:paraId="5CC187CB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07836472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10812068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3B2DAC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Exacerbation before 1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st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LTRA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054044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.92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23463F1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6.02 (3.91-9.26)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0EEAFA15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8.91 (5.99-13.2)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6788AFD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01CE145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9EEE32F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C8E67E8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E34F3FE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01BC6E5E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44C4F40C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52D3480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</w:p>
        </w:tc>
        <w:tc>
          <w:tcPr>
            <w:tcW w:w="1739" w:type="dxa"/>
            <w:shd w:val="clear" w:color="auto" w:fill="auto"/>
          </w:tcPr>
          <w:p w14:paraId="0E7EFBF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1739" w:type="dxa"/>
            <w:shd w:val="clear" w:color="auto" w:fill="auto"/>
          </w:tcPr>
          <w:p w14:paraId="38947717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1728" w:type="dxa"/>
            <w:shd w:val="clear" w:color="auto" w:fill="auto"/>
          </w:tcPr>
          <w:p w14:paraId="32A970B8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47" w:type="dxa"/>
            <w:shd w:val="clear" w:color="auto" w:fill="auto"/>
          </w:tcPr>
          <w:p w14:paraId="295601A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638985EE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76" w:type="dxa"/>
            <w:shd w:val="clear" w:color="auto" w:fill="auto"/>
          </w:tcPr>
          <w:p w14:paraId="2DE3F2C0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CE469D2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5A1AAC5A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E2ADCB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at recruitment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7320D9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563FC68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7AFE1E9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617AA2AD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(0.83-0.89)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38BFAA6E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 (0.96-1.29)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BFA00CC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(0.84-1.02)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0FD6CD9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 (-0.01-0.07)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545996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 ((-0.02) – (-0.18))</w:t>
            </w:r>
          </w:p>
        </w:tc>
      </w:tr>
      <w:tr w:rsidR="00740320" w:rsidRPr="00430826" w14:paraId="7F8D9BC2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shd w:val="clear" w:color="auto" w:fill="auto"/>
            <w:vAlign w:val="center"/>
          </w:tcPr>
          <w:p w14:paraId="4C52F1C7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shd w:val="clear" w:color="auto" w:fill="auto"/>
          </w:tcPr>
          <w:p w14:paraId="25124D8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4A347BD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shd w:val="clear" w:color="auto" w:fill="auto"/>
          </w:tcPr>
          <w:p w14:paraId="5A8004D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14:paraId="7C46206A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1747" w:type="dxa"/>
            <w:shd w:val="clear" w:color="auto" w:fill="auto"/>
          </w:tcPr>
          <w:p w14:paraId="295675D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P=0.14</w:t>
            </w:r>
          </w:p>
        </w:tc>
        <w:tc>
          <w:tcPr>
            <w:tcW w:w="1761" w:type="dxa"/>
            <w:gridSpan w:val="2"/>
            <w:shd w:val="clear" w:color="auto" w:fill="auto"/>
          </w:tcPr>
          <w:p w14:paraId="74F2E81B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P=0.16</w:t>
            </w:r>
          </w:p>
        </w:tc>
        <w:tc>
          <w:tcPr>
            <w:tcW w:w="1776" w:type="dxa"/>
            <w:shd w:val="clear" w:color="auto" w:fill="auto"/>
          </w:tcPr>
          <w:p w14:paraId="25BF467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P=0.453</w:t>
            </w:r>
          </w:p>
        </w:tc>
        <w:tc>
          <w:tcPr>
            <w:tcW w:w="2410" w:type="dxa"/>
            <w:shd w:val="clear" w:color="auto" w:fill="auto"/>
          </w:tcPr>
          <w:p w14:paraId="35FE8052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740320" w:rsidRPr="00430826" w14:paraId="2E024BF3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9D56BD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0D1574D8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0B30306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52BDA028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4FB5F5F9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(0.92-0.98)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12AA2A5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 (0.94-1.22)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52675F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(0.91-1.05)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4F8846F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3A17617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4EF93618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9287495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100D40AA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auto"/>
          </w:tcPr>
          <w:p w14:paraId="677666A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bottom w:val="nil"/>
            </w:tcBorders>
            <w:shd w:val="clear" w:color="auto" w:fill="auto"/>
          </w:tcPr>
          <w:p w14:paraId="444C73D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28" w:type="dxa"/>
            <w:tcBorders>
              <w:bottom w:val="nil"/>
            </w:tcBorders>
            <w:shd w:val="clear" w:color="auto" w:fill="auto"/>
          </w:tcPr>
          <w:p w14:paraId="4405369B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P=0.0035*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auto"/>
          </w:tcPr>
          <w:p w14:paraId="170CABEE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P=0.24</w:t>
            </w:r>
          </w:p>
        </w:tc>
        <w:tc>
          <w:tcPr>
            <w:tcW w:w="1761" w:type="dxa"/>
            <w:gridSpan w:val="2"/>
            <w:tcBorders>
              <w:bottom w:val="nil"/>
            </w:tcBorders>
            <w:shd w:val="clear" w:color="auto" w:fill="auto"/>
          </w:tcPr>
          <w:p w14:paraId="5C2C983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P=0.54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auto"/>
          </w:tcPr>
          <w:p w14:paraId="35D825C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402E658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</w:tr>
      <w:tr w:rsidR="00740320" w:rsidRPr="00430826" w14:paraId="0A32C7C0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9D18F3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 of asthma onset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2AD3012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 (1.02-1.09)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7BDF73E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466E5D1A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12F695C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18DC92EA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0FCE782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614A518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-0.07 [-0.10- (-0.03)]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B265FB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-0.06 ((-0.25)-0.14)</w:t>
            </w:r>
          </w:p>
        </w:tc>
      </w:tr>
      <w:tr w:rsidR="00740320" w:rsidRPr="00430826" w14:paraId="77C1FF4A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25C353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18C3384C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P=0.0003*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145379BA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1719E4C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5ED2BF9F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560E13D2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51B500E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3DB111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P=0.052*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762B575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</w:t>
            </w:r>
            <w:r w:rsidRPr="00430826">
              <w:rPr>
                <w:rFonts w:ascii="Times New Roman" w:hAnsi="Times New Roman" w:cs="Times New Roman"/>
              </w:rPr>
              <w:t>0.575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40320" w:rsidRPr="00430826" w14:paraId="2FD2D8EC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BA8B3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PC1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0533CDBF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2F68CF6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2E8C8E0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176F3742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20A79873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890337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2F134535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47.87 [-55.85-(-39.89)]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1152C81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19.24 ((-6.85)-45.32)</w:t>
            </w:r>
          </w:p>
        </w:tc>
      </w:tr>
      <w:tr w:rsidR="00740320" w:rsidRPr="00430826" w14:paraId="0FF0BDB8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8A2E9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7FEEA1ED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00C706C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6E5B8F3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49919D5A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724E5471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20A6F95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25677CC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P&lt;0.0001*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0E2A8303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</w:t>
            </w:r>
            <w:r w:rsidRPr="00430826">
              <w:rPr>
                <w:rFonts w:ascii="Times New Roman" w:hAnsi="Times New Roman" w:cs="Times New Roman"/>
              </w:rPr>
              <w:t>0.148</w:t>
            </w:r>
          </w:p>
        </w:tc>
      </w:tr>
      <w:tr w:rsidR="00740320" w:rsidRPr="00430826" w14:paraId="6DD06052" w14:textId="77777777" w:rsidTr="00740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AAF517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PC2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36894481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4B15D7D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nil"/>
            </w:tcBorders>
            <w:shd w:val="clear" w:color="auto" w:fill="auto"/>
          </w:tcPr>
          <w:p w14:paraId="200617D1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nil"/>
            </w:tcBorders>
            <w:shd w:val="clear" w:color="auto" w:fill="auto"/>
          </w:tcPr>
          <w:p w14:paraId="24CC760F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nil"/>
            </w:tcBorders>
            <w:shd w:val="clear" w:color="auto" w:fill="auto"/>
          </w:tcPr>
          <w:p w14:paraId="52D9DBB7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ACED32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nil"/>
            </w:tcBorders>
            <w:shd w:val="clear" w:color="auto" w:fill="auto"/>
          </w:tcPr>
          <w:p w14:paraId="3B872036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5.28 (-2.14-12.71)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14:paraId="49EB956D" w14:textId="77777777" w:rsidR="00740320" w:rsidRPr="00430826" w:rsidRDefault="00740320" w:rsidP="007403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hAnsi="Times New Roman" w:cs="Times New Roman"/>
              </w:rPr>
              <w:t>-0.60 ((-29.23)- 28.03)</w:t>
            </w:r>
          </w:p>
        </w:tc>
      </w:tr>
      <w:tr w:rsidR="00740320" w:rsidRPr="00430826" w14:paraId="5E5E7E0D" w14:textId="77777777" w:rsidTr="0074032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C0EF1" w14:textId="77777777" w:rsidR="00740320" w:rsidRPr="00430826" w:rsidRDefault="00740320" w:rsidP="00740320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A615C8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19E7898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</w:t>
            </w:r>
          </w:p>
        </w:tc>
        <w:tc>
          <w:tcPr>
            <w:tcW w:w="17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851804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F71F29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E730E56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9B3B1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6F347E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P=0.476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13D792C" w14:textId="77777777" w:rsidR="00740320" w:rsidRPr="00430826" w:rsidRDefault="00740320" w:rsidP="00740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P=</w:t>
            </w:r>
            <w:r w:rsidRPr="00430826">
              <w:rPr>
                <w:rFonts w:ascii="Times New Roman" w:hAnsi="Times New Roman" w:cs="Times New Roman"/>
              </w:rPr>
              <w:t>0.967</w:t>
            </w:r>
          </w:p>
        </w:tc>
      </w:tr>
    </w:tbl>
    <w:p w14:paraId="2E00E997" w14:textId="77777777" w:rsidR="00642FD6" w:rsidRPr="00430826" w:rsidRDefault="00642FD6" w:rsidP="00642FD6">
      <w:pPr>
        <w:pStyle w:val="Heading2"/>
        <w:spacing w:line="360" w:lineRule="auto"/>
        <w:rPr>
          <w:rFonts w:ascii="Times New Roman" w:hAnsi="Times New Roman" w:cs="Times New Roman"/>
        </w:rPr>
      </w:pPr>
    </w:p>
    <w:p w14:paraId="2E00EA66" w14:textId="77777777" w:rsidR="00642FD6" w:rsidRPr="00430826" w:rsidRDefault="00642FD6" w:rsidP="00642FD6">
      <w:pPr>
        <w:rPr>
          <w:rFonts w:ascii="Times New Roman" w:hAnsi="Times New Roman" w:cs="Times New Roman"/>
        </w:rPr>
      </w:pPr>
    </w:p>
    <w:p w14:paraId="2E00EA67" w14:textId="77777777" w:rsidR="00642FD6" w:rsidRPr="00430826" w:rsidRDefault="00642FD6" w:rsidP="00642FD6">
      <w:pPr>
        <w:spacing w:after="0" w:line="240" w:lineRule="auto"/>
        <w:rPr>
          <w:rFonts w:ascii="Times New Roman" w:eastAsiaTheme="majorEastAsia" w:hAnsi="Times New Roman" w:cs="Times New Roman"/>
          <w:color w:val="2F5496" w:themeColor="accent1" w:themeShade="BF"/>
          <w:sz w:val="26"/>
          <w:szCs w:val="26"/>
        </w:rPr>
        <w:sectPr w:rsidR="00642FD6" w:rsidRPr="00430826" w:rsidSect="00560E3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E00EA6D" w14:textId="606227D3" w:rsidR="00642FD6" w:rsidRPr="00EB28AA" w:rsidRDefault="00642FD6" w:rsidP="00642FD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E0DC7">
        <w:rPr>
          <w:rFonts w:ascii="Times New Roman" w:hAnsi="Times New Roman" w:cs="Times New Roman"/>
          <w:b/>
        </w:rPr>
        <w:lastRenderedPageBreak/>
        <w:t xml:space="preserve">Table </w:t>
      </w:r>
      <w:r w:rsidR="00CE1720">
        <w:rPr>
          <w:rFonts w:ascii="Times New Roman" w:hAnsi="Times New Roman" w:cs="Times New Roman"/>
          <w:b/>
        </w:rPr>
        <w:t>S</w:t>
      </w:r>
      <w:r w:rsidR="00C307BA">
        <w:rPr>
          <w:rFonts w:ascii="Times New Roman" w:hAnsi="Times New Roman" w:cs="Times New Roman"/>
          <w:b/>
        </w:rPr>
        <w:t>4</w:t>
      </w:r>
      <w:r w:rsidRPr="008E0DC7">
        <w:rPr>
          <w:rFonts w:ascii="Times New Roman" w:hAnsi="Times New Roman" w:cs="Times New Roman"/>
          <w:b/>
        </w:rPr>
        <w:t xml:space="preserve">. </w:t>
      </w:r>
      <w:r w:rsidR="00626B33">
        <w:rPr>
          <w:rFonts w:ascii="Times New Roman" w:hAnsi="Times New Roman" w:cs="Times New Roman"/>
          <w:b/>
        </w:rPr>
        <w:t>D</w:t>
      </w:r>
      <w:r w:rsidRPr="008E0DC7">
        <w:rPr>
          <w:rFonts w:ascii="Times New Roman" w:hAnsi="Times New Roman" w:cs="Times New Roman"/>
          <w:b/>
        </w:rPr>
        <w:t xml:space="preserve">etails of </w:t>
      </w:r>
      <w:r w:rsidR="00D9188E">
        <w:rPr>
          <w:rFonts w:ascii="Times New Roman" w:hAnsi="Times New Roman" w:cs="Times New Roman"/>
          <w:b/>
        </w:rPr>
        <w:t>late</w:t>
      </w:r>
      <w:r w:rsidRPr="008E0DC7">
        <w:rPr>
          <w:rFonts w:ascii="Times New Roman" w:hAnsi="Times New Roman" w:cs="Times New Roman"/>
          <w:b/>
        </w:rPr>
        <w:t xml:space="preserve">-onset and </w:t>
      </w:r>
      <w:r w:rsidR="00D9188E">
        <w:rPr>
          <w:rFonts w:ascii="Times New Roman" w:hAnsi="Times New Roman" w:cs="Times New Roman"/>
          <w:b/>
        </w:rPr>
        <w:t>early</w:t>
      </w:r>
      <w:r w:rsidRPr="008E0DC7">
        <w:rPr>
          <w:rFonts w:ascii="Times New Roman" w:hAnsi="Times New Roman" w:cs="Times New Roman"/>
          <w:b/>
        </w:rPr>
        <w:t xml:space="preserve">-onset in </w:t>
      </w:r>
      <w:r w:rsidR="00FA4361">
        <w:rPr>
          <w:rFonts w:ascii="Times New Roman" w:hAnsi="Times New Roman" w:cs="Times New Roman"/>
          <w:b/>
        </w:rPr>
        <w:t>three</w:t>
      </w:r>
      <w:r w:rsidRPr="008E0DC7">
        <w:rPr>
          <w:rFonts w:ascii="Times New Roman" w:hAnsi="Times New Roman" w:cs="Times New Roman"/>
          <w:b/>
        </w:rPr>
        <w:t xml:space="preserve"> </w:t>
      </w:r>
      <w:r w:rsidR="00A57745">
        <w:rPr>
          <w:rFonts w:ascii="Times New Roman" w:hAnsi="Times New Roman" w:cs="Times New Roman"/>
          <w:b/>
        </w:rPr>
        <w:t xml:space="preserve">non-montelukast user </w:t>
      </w:r>
      <w:r w:rsidRPr="008E0DC7">
        <w:rPr>
          <w:rFonts w:ascii="Times New Roman" w:hAnsi="Times New Roman" w:cs="Times New Roman"/>
          <w:b/>
        </w:rPr>
        <w:t>populations</w:t>
      </w:r>
      <w:r>
        <w:rPr>
          <w:rFonts w:ascii="Times New Roman" w:hAnsi="Times New Roman" w:cs="Times New Roman"/>
          <w:b/>
        </w:rPr>
        <w:t>.</w:t>
      </w:r>
    </w:p>
    <w:tbl>
      <w:tblPr>
        <w:tblStyle w:val="PlainTable2"/>
        <w:tblW w:w="4633" w:type="pct"/>
        <w:tblInd w:w="-580" w:type="dxa"/>
        <w:tblLayout w:type="fixed"/>
        <w:tblLook w:val="04A0" w:firstRow="1" w:lastRow="0" w:firstColumn="1" w:lastColumn="0" w:noHBand="0" w:noVBand="1"/>
      </w:tblPr>
      <w:tblGrid>
        <w:gridCol w:w="1424"/>
        <w:gridCol w:w="1843"/>
        <w:gridCol w:w="1699"/>
        <w:gridCol w:w="1699"/>
        <w:gridCol w:w="1698"/>
      </w:tblGrid>
      <w:tr w:rsidR="007331DD" w:rsidRPr="00430826" w14:paraId="2E00EA74" w14:textId="77777777" w:rsidTr="00EB2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6E" w14:textId="77777777" w:rsidR="007331DD" w:rsidRPr="00430826" w:rsidRDefault="007331DD" w:rsidP="005320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02" w:type="pct"/>
            <w:noWrap/>
            <w:hideMark/>
          </w:tcPr>
          <w:p w14:paraId="2E00EA70" w14:textId="77777777" w:rsidR="007331DD" w:rsidRPr="00430826" w:rsidRDefault="007331DD" w:rsidP="00532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(a)</w:t>
            </w:r>
          </w:p>
        </w:tc>
        <w:tc>
          <w:tcPr>
            <w:tcW w:w="1016" w:type="pct"/>
          </w:tcPr>
          <w:p w14:paraId="2E00EA71" w14:textId="77777777" w:rsidR="007331DD" w:rsidRPr="00430826" w:rsidRDefault="007331DD" w:rsidP="00532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(b)</w:t>
            </w:r>
          </w:p>
        </w:tc>
        <w:tc>
          <w:tcPr>
            <w:tcW w:w="1016" w:type="pct"/>
            <w:noWrap/>
            <w:hideMark/>
          </w:tcPr>
          <w:p w14:paraId="2E00EA72" w14:textId="77777777" w:rsidR="007331DD" w:rsidRPr="00430826" w:rsidRDefault="007331DD" w:rsidP="00532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BREATHE</w:t>
            </w:r>
          </w:p>
        </w:tc>
        <w:tc>
          <w:tcPr>
            <w:tcW w:w="1015" w:type="pct"/>
            <w:noWrap/>
            <w:hideMark/>
          </w:tcPr>
          <w:p w14:paraId="2E00EA73" w14:textId="77777777" w:rsidR="007331DD" w:rsidRPr="00430826" w:rsidRDefault="007331DD" w:rsidP="00532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PAGES</w:t>
            </w:r>
          </w:p>
        </w:tc>
      </w:tr>
      <w:tr w:rsidR="007331DD" w:rsidRPr="00430826" w14:paraId="2E00EA7B" w14:textId="77777777" w:rsidTr="00EB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75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</w:t>
            </w:r>
          </w:p>
        </w:tc>
        <w:tc>
          <w:tcPr>
            <w:tcW w:w="1102" w:type="pct"/>
            <w:noWrap/>
            <w:hideMark/>
          </w:tcPr>
          <w:p w14:paraId="2E00EA77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1016" w:type="pct"/>
          </w:tcPr>
          <w:p w14:paraId="2E00EA78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1016" w:type="pct"/>
            <w:noWrap/>
            <w:hideMark/>
          </w:tcPr>
          <w:p w14:paraId="2E00EA79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1015" w:type="pct"/>
            <w:noWrap/>
            <w:hideMark/>
          </w:tcPr>
          <w:p w14:paraId="2E00EA7A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</w:tr>
      <w:tr w:rsidR="007331DD" w:rsidRPr="00430826" w14:paraId="2E00EA82" w14:textId="77777777" w:rsidTr="00EB28A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7C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% male (n)</w:t>
            </w:r>
          </w:p>
        </w:tc>
        <w:tc>
          <w:tcPr>
            <w:tcW w:w="1102" w:type="pct"/>
            <w:noWrap/>
            <w:hideMark/>
          </w:tcPr>
          <w:p w14:paraId="2E00EA7E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016" w:type="pct"/>
          </w:tcPr>
          <w:p w14:paraId="2E00EA7F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16" w:type="pct"/>
            <w:noWrap/>
            <w:hideMark/>
          </w:tcPr>
          <w:p w14:paraId="2E00EA80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015" w:type="pct"/>
            <w:noWrap/>
            <w:hideMark/>
          </w:tcPr>
          <w:p w14:paraId="2E00EA81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</w:tr>
      <w:tr w:rsidR="007331DD" w:rsidRPr="00430826" w14:paraId="2E00EA89" w14:textId="77777777" w:rsidTr="00EB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83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Mean age (SD) years</w:t>
            </w:r>
          </w:p>
        </w:tc>
        <w:tc>
          <w:tcPr>
            <w:tcW w:w="1102" w:type="pct"/>
            <w:noWrap/>
            <w:hideMark/>
          </w:tcPr>
          <w:p w14:paraId="2E00EA85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 (16)</w:t>
            </w:r>
          </w:p>
        </w:tc>
        <w:tc>
          <w:tcPr>
            <w:tcW w:w="1016" w:type="pct"/>
          </w:tcPr>
          <w:p w14:paraId="2E00EA86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 (5)</w:t>
            </w:r>
          </w:p>
        </w:tc>
        <w:tc>
          <w:tcPr>
            <w:tcW w:w="1016" w:type="pct"/>
            <w:noWrap/>
            <w:hideMark/>
          </w:tcPr>
          <w:p w14:paraId="2E00EA87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(3.6)</w:t>
            </w:r>
          </w:p>
        </w:tc>
        <w:tc>
          <w:tcPr>
            <w:tcW w:w="1015" w:type="pct"/>
            <w:noWrap/>
            <w:hideMark/>
          </w:tcPr>
          <w:p w14:paraId="2E00EA88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(3.5)</w:t>
            </w:r>
          </w:p>
        </w:tc>
      </w:tr>
      <w:tr w:rsidR="007331DD" w:rsidRPr="00430826" w14:paraId="2E00EA90" w14:textId="77777777" w:rsidTr="00EB28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8A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Study type</w:t>
            </w:r>
          </w:p>
        </w:tc>
        <w:tc>
          <w:tcPr>
            <w:tcW w:w="1102" w:type="pct"/>
            <w:noWrap/>
            <w:hideMark/>
          </w:tcPr>
          <w:p w14:paraId="2E00EA8C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longitudinal</w:t>
            </w:r>
          </w:p>
        </w:tc>
        <w:tc>
          <w:tcPr>
            <w:tcW w:w="1016" w:type="pct"/>
          </w:tcPr>
          <w:p w14:paraId="2E00EA8D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longitudinal</w:t>
            </w:r>
          </w:p>
        </w:tc>
        <w:tc>
          <w:tcPr>
            <w:tcW w:w="1016" w:type="pct"/>
            <w:noWrap/>
            <w:hideMark/>
          </w:tcPr>
          <w:p w14:paraId="2E00EA8E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Cross-sectional</w:t>
            </w:r>
          </w:p>
        </w:tc>
        <w:tc>
          <w:tcPr>
            <w:tcW w:w="1015" w:type="pct"/>
            <w:noWrap/>
            <w:hideMark/>
          </w:tcPr>
          <w:p w14:paraId="2E00EA8F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Cross-sectional</w:t>
            </w:r>
          </w:p>
        </w:tc>
      </w:tr>
      <w:tr w:rsidR="007331DD" w:rsidRPr="00430826" w14:paraId="2E00EA97" w14:textId="77777777" w:rsidTr="00EB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91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in 6-12 month</w:t>
            </w:r>
          </w:p>
        </w:tc>
        <w:tc>
          <w:tcPr>
            <w:tcW w:w="1102" w:type="pct"/>
            <w:noWrap/>
            <w:hideMark/>
          </w:tcPr>
          <w:p w14:paraId="2E00EA93" w14:textId="3E2F1EFC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ER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16" w:type="pct"/>
          </w:tcPr>
          <w:p w14:paraId="2E00EA94" w14:textId="5DE5538C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ER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16" w:type="pct"/>
            <w:noWrap/>
            <w:hideMark/>
          </w:tcPr>
          <w:p w14:paraId="2E00EA95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school absence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015" w:type="pct"/>
            <w:noWrap/>
            <w:hideMark/>
          </w:tcPr>
          <w:p w14:paraId="2E00EA96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school absence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7331DD" w:rsidRPr="00430826" w14:paraId="2E00EA9E" w14:textId="77777777" w:rsidTr="00EB28A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98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(%)</w:t>
            </w:r>
          </w:p>
        </w:tc>
        <w:tc>
          <w:tcPr>
            <w:tcW w:w="1102" w:type="pct"/>
            <w:noWrap/>
            <w:hideMark/>
          </w:tcPr>
          <w:p w14:paraId="2E00EA9A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16" w:type="pct"/>
          </w:tcPr>
          <w:p w14:paraId="2E00EA9B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16" w:type="pct"/>
            <w:noWrap/>
            <w:hideMark/>
          </w:tcPr>
          <w:p w14:paraId="2E00EA9C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15" w:type="pct"/>
            <w:noWrap/>
            <w:hideMark/>
          </w:tcPr>
          <w:p w14:paraId="2E00EA9D" w14:textId="77777777" w:rsidR="007331DD" w:rsidRPr="00430826" w:rsidRDefault="007331DD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</w:tr>
      <w:tr w:rsidR="007331DD" w:rsidRPr="00430826" w14:paraId="2E00EAA5" w14:textId="77777777" w:rsidTr="00EB28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2E00EA9F" w14:textId="77777777" w:rsidR="007331DD" w:rsidRPr="00430826" w:rsidRDefault="007331DD" w:rsidP="005320AC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rs2660845 G variant frequency</w:t>
            </w:r>
          </w:p>
        </w:tc>
        <w:tc>
          <w:tcPr>
            <w:tcW w:w="1102" w:type="pct"/>
            <w:noWrap/>
            <w:hideMark/>
          </w:tcPr>
          <w:p w14:paraId="2E00EAA1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016" w:type="pct"/>
          </w:tcPr>
          <w:p w14:paraId="2E00EAA2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016" w:type="pct"/>
            <w:noWrap/>
            <w:hideMark/>
          </w:tcPr>
          <w:p w14:paraId="2E00EAA3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015" w:type="pct"/>
            <w:noWrap/>
            <w:hideMark/>
          </w:tcPr>
          <w:p w14:paraId="2E00EAA4" w14:textId="77777777" w:rsidR="007331DD" w:rsidRPr="00430826" w:rsidRDefault="007331DD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</w:tr>
    </w:tbl>
    <w:p w14:paraId="3B46D267" w14:textId="77777777" w:rsidR="00EB28AA" w:rsidRPr="00430826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30826">
        <w:rPr>
          <w:rFonts w:ascii="Times New Roman" w:hAnsi="Times New Roman" w:cs="Times New Roman"/>
          <w:sz w:val="20"/>
          <w:vertAlign w:val="superscript"/>
        </w:rPr>
        <w:t>1</w:t>
      </w:r>
      <w:r w:rsidRPr="00430826">
        <w:rPr>
          <w:rFonts w:ascii="Times New Roman" w:hAnsi="Times New Roman" w:cs="Times New Roman"/>
          <w:sz w:val="20"/>
        </w:rPr>
        <w:t xml:space="preserve">Exacerbation within 6 months; </w:t>
      </w:r>
      <w:r w:rsidRPr="00430826">
        <w:rPr>
          <w:rFonts w:ascii="Times New Roman" w:hAnsi="Times New Roman" w:cs="Times New Roman"/>
          <w:sz w:val="20"/>
          <w:vertAlign w:val="superscript"/>
        </w:rPr>
        <w:t>2</w:t>
      </w:r>
      <w:r w:rsidRPr="00430826">
        <w:rPr>
          <w:rFonts w:ascii="Times New Roman" w:hAnsi="Times New Roman" w:cs="Times New Roman"/>
          <w:sz w:val="20"/>
        </w:rPr>
        <w:t>Exacerbation within 12 months</w:t>
      </w:r>
    </w:p>
    <w:p w14:paraId="270284DF" w14:textId="77777777" w:rsidR="00EB28AA" w:rsidRPr="00430826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30826">
        <w:rPr>
          <w:rFonts w:ascii="Times New Roman" w:hAnsi="Times New Roman" w:cs="Times New Roman"/>
          <w:sz w:val="20"/>
        </w:rPr>
        <w:t>OCS: Oral Corticosteroids</w:t>
      </w:r>
    </w:p>
    <w:p w14:paraId="26B0357B" w14:textId="77777777" w:rsidR="00EB28AA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30826">
        <w:rPr>
          <w:rFonts w:ascii="Times New Roman" w:hAnsi="Times New Roman" w:cs="Times New Roman"/>
          <w:sz w:val="20"/>
        </w:rPr>
        <w:t>ER: Emergency Room visit</w:t>
      </w:r>
    </w:p>
    <w:p w14:paraId="51007AB0" w14:textId="77777777" w:rsidR="00EB28AA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GoSHARE</w:t>
      </w:r>
      <w:proofErr w:type="spellEnd"/>
      <w:r>
        <w:rPr>
          <w:rFonts w:ascii="Times New Roman" w:hAnsi="Times New Roman" w:cs="Times New Roman"/>
          <w:sz w:val="20"/>
        </w:rPr>
        <w:t xml:space="preserve"> (a) is the late-onset population (&gt;18 years-old)</w:t>
      </w:r>
    </w:p>
    <w:p w14:paraId="2E00EAA6" w14:textId="1A6F84F6" w:rsidR="00642FD6" w:rsidRPr="00430826" w:rsidRDefault="00EB28AA" w:rsidP="00EB28AA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  <w:proofErr w:type="spellStart"/>
      <w:r>
        <w:rPr>
          <w:sz w:val="20"/>
        </w:rPr>
        <w:t>GoSHARE</w:t>
      </w:r>
      <w:proofErr w:type="spellEnd"/>
      <w:r>
        <w:rPr>
          <w:sz w:val="20"/>
        </w:rPr>
        <w:t xml:space="preserve"> (b) is the early-onset population (&lt;= 18 years-old)</w:t>
      </w:r>
    </w:p>
    <w:p w14:paraId="2E00EAA7" w14:textId="4029B79A" w:rsidR="00642FD6" w:rsidRDefault="00642FD6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1B756D35" w14:textId="02EB5111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18919F3E" w14:textId="2596CB7E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25097392" w14:textId="76A376DC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7813D96B" w14:textId="2C88D5AF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187A5F23" w14:textId="29A07CE9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0CE4BD28" w14:textId="3E395816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38F51271" w14:textId="2CD159B6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766B5ABA" w14:textId="0F8499F1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6D127C81" w14:textId="793F456A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0B56EAB9" w14:textId="20776E63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20D281C4" w14:textId="46C8FFB7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2806DC35" w14:textId="2A3AB718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298EE564" w14:textId="6A0306B7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11258F12" w14:textId="41C3043E" w:rsidR="006837BE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718684F4" w14:textId="77777777" w:rsidR="002A7786" w:rsidRDefault="002A7786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1E7D163A" w14:textId="77777777" w:rsidR="006837BE" w:rsidRPr="00430826" w:rsidRDefault="006837BE" w:rsidP="00642FD6">
      <w:pPr>
        <w:pStyle w:val="NormalWeb"/>
        <w:spacing w:beforeAutospacing="0" w:after="120" w:afterAutospacing="0" w:line="252" w:lineRule="auto"/>
        <w:rPr>
          <w:sz w:val="22"/>
        </w:rPr>
      </w:pPr>
    </w:p>
    <w:p w14:paraId="2E00EAA8" w14:textId="77777777" w:rsidR="00642FD6" w:rsidRPr="00430826" w:rsidRDefault="00642FD6" w:rsidP="00642FD6">
      <w:pPr>
        <w:spacing w:after="0" w:line="240" w:lineRule="auto"/>
        <w:rPr>
          <w:rFonts w:ascii="Times New Roman" w:hAnsi="Times New Roman" w:cs="Times New Roman"/>
          <w:b/>
        </w:rPr>
      </w:pPr>
    </w:p>
    <w:p w14:paraId="2E00EAC8" w14:textId="7D2CF0E6" w:rsidR="00642FD6" w:rsidRDefault="00642FD6" w:rsidP="00642FD6">
      <w:pPr>
        <w:pStyle w:val="NormalWeb"/>
        <w:spacing w:beforeAutospacing="0" w:after="120" w:afterAutospacing="0" w:line="252" w:lineRule="auto"/>
        <w:rPr>
          <w:rFonts w:eastAsiaTheme="minorHAnsi"/>
          <w:sz w:val="22"/>
          <w:szCs w:val="22"/>
          <w:lang w:eastAsia="en-US"/>
        </w:rPr>
      </w:pPr>
    </w:p>
    <w:p w14:paraId="6B0C9311" w14:textId="77777777" w:rsidR="00EB28AA" w:rsidRDefault="00EB2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3CFAD491" w14:textId="52B35645" w:rsidR="002F2A4F" w:rsidRPr="00EB28AA" w:rsidRDefault="002F2A4F" w:rsidP="00EB28A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E0DC7">
        <w:rPr>
          <w:rFonts w:ascii="Times New Roman" w:hAnsi="Times New Roman" w:cs="Times New Roman"/>
          <w:b/>
        </w:rPr>
        <w:lastRenderedPageBreak/>
        <w:t xml:space="preserve">Table </w:t>
      </w:r>
      <w:r w:rsidR="00CE172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5</w:t>
      </w:r>
      <w:r w:rsidRPr="008E0DC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D</w:t>
      </w:r>
      <w:r w:rsidRPr="008E0DC7">
        <w:rPr>
          <w:rFonts w:ascii="Times New Roman" w:hAnsi="Times New Roman" w:cs="Times New Roman"/>
          <w:b/>
        </w:rPr>
        <w:t xml:space="preserve">etails of </w:t>
      </w:r>
      <w:r>
        <w:rPr>
          <w:rFonts w:ascii="Times New Roman" w:hAnsi="Times New Roman" w:cs="Times New Roman"/>
          <w:b/>
        </w:rPr>
        <w:t>early</w:t>
      </w:r>
      <w:r w:rsidRPr="008E0DC7">
        <w:rPr>
          <w:rFonts w:ascii="Times New Roman" w:hAnsi="Times New Roman" w:cs="Times New Roman"/>
          <w:b/>
        </w:rPr>
        <w:t xml:space="preserve">-onset </w:t>
      </w:r>
      <w:r>
        <w:rPr>
          <w:rFonts w:ascii="Times New Roman" w:hAnsi="Times New Roman" w:cs="Times New Roman"/>
          <w:b/>
        </w:rPr>
        <w:t xml:space="preserve">asthma adult montelukast user from the </w:t>
      </w:r>
      <w:proofErr w:type="spellStart"/>
      <w:r>
        <w:rPr>
          <w:rFonts w:ascii="Times New Roman" w:hAnsi="Times New Roman" w:cs="Times New Roman"/>
          <w:b/>
        </w:rPr>
        <w:t>UKBiobank</w:t>
      </w:r>
      <w:proofErr w:type="spellEnd"/>
      <w:r>
        <w:rPr>
          <w:rFonts w:ascii="Times New Roman" w:hAnsi="Times New Roman" w:cs="Times New Roman"/>
          <w:b/>
        </w:rPr>
        <w:t>.</w:t>
      </w:r>
      <w:r>
        <w:t xml:space="preserve"> </w:t>
      </w:r>
    </w:p>
    <w:tbl>
      <w:tblPr>
        <w:tblStyle w:val="PlainTable2"/>
        <w:tblW w:w="4162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3527"/>
        <w:gridCol w:w="3986"/>
      </w:tblGrid>
      <w:tr w:rsidR="002F2A4F" w:rsidRPr="00430826" w14:paraId="34D10900" w14:textId="77777777" w:rsidTr="00C32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509BB9F5" w14:textId="77777777" w:rsidR="002F2A4F" w:rsidRPr="00430826" w:rsidRDefault="002F2A4F" w:rsidP="00A820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53" w:type="pct"/>
            <w:noWrap/>
            <w:hideMark/>
          </w:tcPr>
          <w:p w14:paraId="0139CE50" w14:textId="5B893D23" w:rsidR="002F2A4F" w:rsidRPr="00430826" w:rsidRDefault="002F2A4F" w:rsidP="00A8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UKBiobank</w:t>
            </w:r>
            <w:proofErr w:type="spellEnd"/>
          </w:p>
        </w:tc>
      </w:tr>
      <w:tr w:rsidR="002F2A4F" w:rsidRPr="00430826" w14:paraId="5C91120D" w14:textId="77777777" w:rsidTr="00C3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5253146C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</w:t>
            </w:r>
          </w:p>
        </w:tc>
        <w:tc>
          <w:tcPr>
            <w:tcW w:w="2653" w:type="pct"/>
            <w:noWrap/>
            <w:hideMark/>
          </w:tcPr>
          <w:p w14:paraId="584361C1" w14:textId="55C47034" w:rsidR="002F2A4F" w:rsidRPr="00430826" w:rsidRDefault="002F2A4F" w:rsidP="00A82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</w:tr>
      <w:tr w:rsidR="002F2A4F" w:rsidRPr="00430826" w14:paraId="0E0AE654" w14:textId="77777777" w:rsidTr="00C32AB6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446E65C6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% male (n)</w:t>
            </w:r>
          </w:p>
        </w:tc>
        <w:tc>
          <w:tcPr>
            <w:tcW w:w="2653" w:type="pct"/>
            <w:noWrap/>
            <w:hideMark/>
          </w:tcPr>
          <w:p w14:paraId="5A4329BB" w14:textId="55002373" w:rsidR="002F2A4F" w:rsidRPr="00430826" w:rsidRDefault="00CE5114" w:rsidP="00A82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  <w:r w:rsidR="002F2A4F"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2F2A4F" w:rsidRPr="00430826" w14:paraId="62434191" w14:textId="77777777" w:rsidTr="00C3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5332DBA9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Mean age (SD) years</w:t>
            </w:r>
          </w:p>
        </w:tc>
        <w:tc>
          <w:tcPr>
            <w:tcW w:w="2653" w:type="pct"/>
            <w:noWrap/>
            <w:hideMark/>
          </w:tcPr>
          <w:p w14:paraId="6121D69B" w14:textId="252C62DC" w:rsidR="002F2A4F" w:rsidRPr="00430826" w:rsidRDefault="00CE5114" w:rsidP="00CE51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E511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(4)</w:t>
            </w:r>
          </w:p>
        </w:tc>
      </w:tr>
      <w:tr w:rsidR="002F2A4F" w:rsidRPr="00430826" w14:paraId="4760D59C" w14:textId="77777777" w:rsidTr="00C32A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4937479E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Study type</w:t>
            </w:r>
          </w:p>
        </w:tc>
        <w:tc>
          <w:tcPr>
            <w:tcW w:w="2653" w:type="pct"/>
            <w:noWrap/>
            <w:hideMark/>
          </w:tcPr>
          <w:p w14:paraId="68C36079" w14:textId="77777777" w:rsidR="002F2A4F" w:rsidRPr="00430826" w:rsidRDefault="002F2A4F" w:rsidP="00A82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longitudinal</w:t>
            </w:r>
          </w:p>
        </w:tc>
      </w:tr>
      <w:tr w:rsidR="002F2A4F" w:rsidRPr="00430826" w14:paraId="4323FC06" w14:textId="77777777" w:rsidTr="00C3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68EF8BB3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in 6-12 month</w:t>
            </w:r>
          </w:p>
        </w:tc>
        <w:tc>
          <w:tcPr>
            <w:tcW w:w="2653" w:type="pct"/>
            <w:noWrap/>
            <w:hideMark/>
          </w:tcPr>
          <w:p w14:paraId="48CF3D8D" w14:textId="77777777" w:rsidR="002F2A4F" w:rsidRPr="00430826" w:rsidRDefault="002F2A4F" w:rsidP="00A82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ER</w:t>
            </w:r>
            <w:r w:rsidRPr="0043082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</w:tr>
      <w:tr w:rsidR="002F2A4F" w:rsidRPr="00430826" w14:paraId="4168F036" w14:textId="77777777" w:rsidTr="00C32AB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56884772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(%)</w:t>
            </w:r>
          </w:p>
        </w:tc>
        <w:tc>
          <w:tcPr>
            <w:tcW w:w="2653" w:type="pct"/>
            <w:noWrap/>
            <w:hideMark/>
          </w:tcPr>
          <w:p w14:paraId="4529D561" w14:textId="2A5CE1EA" w:rsidR="002F2A4F" w:rsidRPr="00430826" w:rsidRDefault="00CE5114" w:rsidP="00A820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</w:tr>
      <w:tr w:rsidR="002F2A4F" w:rsidRPr="00430826" w14:paraId="0244EC06" w14:textId="77777777" w:rsidTr="00C32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7" w:type="pct"/>
            <w:noWrap/>
            <w:hideMark/>
          </w:tcPr>
          <w:p w14:paraId="71D42534" w14:textId="77777777" w:rsidR="002F2A4F" w:rsidRPr="00430826" w:rsidRDefault="002F2A4F" w:rsidP="00A82084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rs2660845 G variant frequency</w:t>
            </w:r>
          </w:p>
        </w:tc>
        <w:tc>
          <w:tcPr>
            <w:tcW w:w="2653" w:type="pct"/>
            <w:noWrap/>
            <w:hideMark/>
          </w:tcPr>
          <w:p w14:paraId="72A427B6" w14:textId="77777777" w:rsidR="002F2A4F" w:rsidRPr="00430826" w:rsidRDefault="002F2A4F" w:rsidP="00A820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30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</w:tr>
    </w:tbl>
    <w:p w14:paraId="62E8612A" w14:textId="77777777" w:rsidR="00EB28AA" w:rsidRPr="00430826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30826">
        <w:rPr>
          <w:rFonts w:ascii="Times New Roman" w:hAnsi="Times New Roman" w:cs="Times New Roman"/>
          <w:sz w:val="20"/>
          <w:vertAlign w:val="superscript"/>
        </w:rPr>
        <w:t>1</w:t>
      </w:r>
      <w:r w:rsidRPr="00430826">
        <w:rPr>
          <w:rFonts w:ascii="Times New Roman" w:hAnsi="Times New Roman" w:cs="Times New Roman"/>
          <w:sz w:val="20"/>
        </w:rPr>
        <w:t xml:space="preserve">Exacerbation within 6 months; </w:t>
      </w:r>
      <w:r w:rsidRPr="00430826">
        <w:rPr>
          <w:rFonts w:ascii="Times New Roman" w:hAnsi="Times New Roman" w:cs="Times New Roman"/>
          <w:sz w:val="20"/>
          <w:vertAlign w:val="superscript"/>
        </w:rPr>
        <w:t>2</w:t>
      </w:r>
      <w:r w:rsidRPr="00430826">
        <w:rPr>
          <w:rFonts w:ascii="Times New Roman" w:hAnsi="Times New Roman" w:cs="Times New Roman"/>
          <w:sz w:val="20"/>
        </w:rPr>
        <w:t>Exacerbation within 12 months</w:t>
      </w:r>
    </w:p>
    <w:p w14:paraId="07E46DB7" w14:textId="77777777" w:rsidR="00EB28AA" w:rsidRPr="00430826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30826">
        <w:rPr>
          <w:rFonts w:ascii="Times New Roman" w:hAnsi="Times New Roman" w:cs="Times New Roman"/>
          <w:sz w:val="20"/>
        </w:rPr>
        <w:t>OCS: Oral Corticosteroids</w:t>
      </w:r>
    </w:p>
    <w:p w14:paraId="6151B6B5" w14:textId="77777777" w:rsidR="00EB28AA" w:rsidRDefault="00EB28AA" w:rsidP="00EB28AA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430826">
        <w:rPr>
          <w:rFonts w:ascii="Times New Roman" w:hAnsi="Times New Roman" w:cs="Times New Roman"/>
          <w:sz w:val="20"/>
        </w:rPr>
        <w:t>ER: Emergency Room visit</w:t>
      </w:r>
    </w:p>
    <w:p w14:paraId="16DB248F" w14:textId="77777777" w:rsidR="00EB28AA" w:rsidRDefault="00EB28AA" w:rsidP="00EB28AA">
      <w:pPr>
        <w:pStyle w:val="NormalWeb"/>
        <w:spacing w:beforeAutospacing="0" w:after="120" w:afterAutospacing="0" w:line="252" w:lineRule="auto"/>
        <w:rPr>
          <w:sz w:val="22"/>
        </w:rPr>
      </w:pPr>
      <w:r>
        <w:rPr>
          <w:sz w:val="22"/>
        </w:rPr>
        <w:t>Patients were diagnosed as having early-onset asthma.</w:t>
      </w:r>
    </w:p>
    <w:p w14:paraId="3679421A" w14:textId="70163D84" w:rsidR="002F2A4F" w:rsidRDefault="00EB28AA" w:rsidP="00EB28AA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  <w:r>
        <w:rPr>
          <w:sz w:val="22"/>
        </w:rPr>
        <w:t>Montelukast prescription records were only available as adults.</w:t>
      </w:r>
    </w:p>
    <w:p w14:paraId="7533E5A1" w14:textId="77777777" w:rsidR="002F2A4F" w:rsidRDefault="002F2A4F" w:rsidP="00016B07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</w:p>
    <w:p w14:paraId="26E3F6B6" w14:textId="77777777" w:rsidR="002F2A4F" w:rsidRDefault="002F2A4F" w:rsidP="00016B07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</w:p>
    <w:p w14:paraId="49A33816" w14:textId="77777777" w:rsidR="002F2A4F" w:rsidRDefault="002F2A4F" w:rsidP="00016B07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</w:p>
    <w:p w14:paraId="6CC54A4C" w14:textId="645BBCB1" w:rsidR="00C328BB" w:rsidRPr="00EB28AA" w:rsidRDefault="00016B07" w:rsidP="00016B07">
      <w:pPr>
        <w:pStyle w:val="NormalWeb"/>
        <w:spacing w:beforeAutospacing="0" w:after="120" w:afterAutospacing="0" w:line="252" w:lineRule="auto"/>
        <w:rPr>
          <w:rFonts w:eastAsiaTheme="minorHAnsi"/>
          <w:sz w:val="22"/>
          <w:szCs w:val="22"/>
          <w:lang w:eastAsia="en-US"/>
        </w:rPr>
      </w:pPr>
      <w:r w:rsidRPr="00430826">
        <w:rPr>
          <w:rFonts w:eastAsiaTheme="minorHAnsi"/>
          <w:b/>
          <w:sz w:val="22"/>
          <w:szCs w:val="22"/>
          <w:lang w:eastAsia="en-US"/>
        </w:rPr>
        <w:t xml:space="preserve">Table </w:t>
      </w:r>
      <w:r w:rsidR="00CE1720">
        <w:rPr>
          <w:rFonts w:eastAsiaTheme="minorHAnsi"/>
          <w:b/>
          <w:sz w:val="22"/>
          <w:szCs w:val="22"/>
          <w:lang w:eastAsia="en-US"/>
        </w:rPr>
        <w:t>S</w:t>
      </w:r>
      <w:r w:rsidR="002F2A4F">
        <w:rPr>
          <w:rFonts w:eastAsiaTheme="minorHAnsi"/>
          <w:b/>
          <w:sz w:val="22"/>
          <w:szCs w:val="22"/>
          <w:lang w:eastAsia="en-US"/>
        </w:rPr>
        <w:t>6</w:t>
      </w:r>
      <w:r w:rsidRPr="00430826">
        <w:rPr>
          <w:rFonts w:eastAsiaTheme="minorHAnsi"/>
          <w:b/>
          <w:sz w:val="22"/>
          <w:szCs w:val="22"/>
          <w:lang w:eastAsia="en-US"/>
        </w:rPr>
        <w:t>.</w:t>
      </w:r>
      <w:r w:rsidRPr="00430826">
        <w:rPr>
          <w:rFonts w:eastAsiaTheme="minorHAnsi"/>
          <w:sz w:val="22"/>
          <w:szCs w:val="22"/>
          <w:lang w:eastAsia="en-US"/>
        </w:rPr>
        <w:t xml:space="preserve">  </w:t>
      </w:r>
      <w:r w:rsidRPr="008E0DC7">
        <w:rPr>
          <w:rFonts w:eastAsiaTheme="minorHAnsi"/>
          <w:b/>
          <w:sz w:val="22"/>
          <w:szCs w:val="22"/>
          <w:lang w:eastAsia="en-US"/>
        </w:rPr>
        <w:t xml:space="preserve">Association between rs2660845 and asthma exacerbation in </w:t>
      </w:r>
      <w:r>
        <w:rPr>
          <w:rFonts w:eastAsiaTheme="minorHAnsi"/>
          <w:b/>
          <w:sz w:val="22"/>
          <w:szCs w:val="22"/>
          <w:lang w:eastAsia="en-US"/>
        </w:rPr>
        <w:t>early</w:t>
      </w:r>
      <w:r w:rsidRPr="008E0DC7">
        <w:rPr>
          <w:rFonts w:eastAsiaTheme="minorHAnsi"/>
          <w:b/>
          <w:sz w:val="22"/>
          <w:szCs w:val="22"/>
          <w:lang w:eastAsia="en-US"/>
        </w:rPr>
        <w:t xml:space="preserve">-onset </w:t>
      </w:r>
      <w:proofErr w:type="spellStart"/>
      <w:r>
        <w:rPr>
          <w:rFonts w:eastAsiaTheme="minorHAnsi"/>
          <w:b/>
          <w:sz w:val="22"/>
          <w:szCs w:val="22"/>
          <w:lang w:eastAsia="en-US"/>
        </w:rPr>
        <w:t>UKBiobank</w:t>
      </w:r>
      <w:proofErr w:type="spellEnd"/>
      <w:r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8E0DC7">
        <w:rPr>
          <w:rFonts w:eastAsiaTheme="minorHAnsi"/>
          <w:b/>
          <w:sz w:val="22"/>
          <w:szCs w:val="22"/>
          <w:lang w:eastAsia="en-US"/>
        </w:rPr>
        <w:t>individuals</w:t>
      </w:r>
      <w:r>
        <w:rPr>
          <w:rFonts w:eastAsiaTheme="minorHAnsi"/>
          <w:b/>
          <w:sz w:val="22"/>
          <w:szCs w:val="22"/>
          <w:lang w:eastAsia="en-US"/>
        </w:rPr>
        <w:t xml:space="preserve"> a year after taking montelukast prescription as adults</w:t>
      </w:r>
      <w:r w:rsidRPr="008E0DC7">
        <w:rPr>
          <w:rFonts w:eastAsiaTheme="minorHAnsi"/>
          <w:b/>
          <w:sz w:val="22"/>
          <w:szCs w:val="22"/>
          <w:lang w:eastAsia="en-US"/>
        </w:rPr>
        <w:t>.</w:t>
      </w:r>
      <w:r w:rsidRPr="00430826">
        <w:rPr>
          <w:rFonts w:eastAsiaTheme="minorHAnsi"/>
          <w:sz w:val="22"/>
          <w:szCs w:val="22"/>
          <w:lang w:eastAsia="en-US"/>
        </w:rPr>
        <w:t xml:space="preserve"> </w:t>
      </w:r>
      <w:r w:rsidR="00C328BB">
        <w:rPr>
          <w:sz w:val="22"/>
        </w:rPr>
        <w:t xml:space="preserve"> </w:t>
      </w:r>
    </w:p>
    <w:tbl>
      <w:tblPr>
        <w:tblStyle w:val="PlainTable2"/>
        <w:tblW w:w="4731" w:type="dxa"/>
        <w:tblLook w:val="04A0" w:firstRow="1" w:lastRow="0" w:firstColumn="1" w:lastColumn="0" w:noHBand="0" w:noVBand="1"/>
      </w:tblPr>
      <w:tblGrid>
        <w:gridCol w:w="2425"/>
        <w:gridCol w:w="2306"/>
      </w:tblGrid>
      <w:tr w:rsidR="00016B07" w:rsidRPr="00430826" w14:paraId="319D6C35" w14:textId="77777777" w:rsidTr="00286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14:paraId="62A1010D" w14:textId="77777777" w:rsidR="00016B07" w:rsidRPr="00430826" w:rsidRDefault="00016B07" w:rsidP="0028686E">
            <w:pPr>
              <w:pStyle w:val="NormalWeb"/>
              <w:spacing w:beforeAutospacing="0" w:after="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30826">
              <w:rPr>
                <w:rFonts w:eastAsiaTheme="minorHAnsi"/>
                <w:sz w:val="22"/>
                <w:szCs w:val="22"/>
                <w:lang w:eastAsia="en-US"/>
              </w:rPr>
              <w:t>Study</w:t>
            </w:r>
          </w:p>
        </w:tc>
        <w:tc>
          <w:tcPr>
            <w:tcW w:w="2306" w:type="dxa"/>
            <w:shd w:val="clear" w:color="auto" w:fill="auto"/>
          </w:tcPr>
          <w:p w14:paraId="55B23B65" w14:textId="77777777" w:rsidR="00016B07" w:rsidRPr="00430826" w:rsidRDefault="00016B07" w:rsidP="0028686E">
            <w:pPr>
              <w:pStyle w:val="NormalWeb"/>
              <w:spacing w:beforeAutospacing="0" w:after="0" w:afterAutospacing="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UKBiobank</w:t>
            </w:r>
            <w:proofErr w:type="spellEnd"/>
            <w:r w:rsidRPr="00430826">
              <w:rPr>
                <w:rFonts w:eastAsiaTheme="minorHAnsi"/>
                <w:sz w:val="22"/>
                <w:szCs w:val="22"/>
                <w:lang w:eastAsia="en-US"/>
              </w:rPr>
              <w:t xml:space="preserve"> (n=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511</w:t>
            </w:r>
            <w:r w:rsidRPr="00430826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</w:tr>
      <w:tr w:rsidR="00016B07" w:rsidRPr="00430826" w14:paraId="6909673B" w14:textId="77777777" w:rsidTr="0028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shd w:val="clear" w:color="auto" w:fill="auto"/>
          </w:tcPr>
          <w:p w14:paraId="7F4CF0E9" w14:textId="77777777" w:rsidR="00016B07" w:rsidRPr="00430826" w:rsidRDefault="00016B07" w:rsidP="0028686E">
            <w:pPr>
              <w:pStyle w:val="NormalWeb"/>
              <w:spacing w:beforeAutospacing="0" w:after="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30826">
              <w:rPr>
                <w:rFonts w:eastAsiaTheme="minorHAnsi"/>
                <w:sz w:val="22"/>
                <w:szCs w:val="22"/>
                <w:lang w:eastAsia="en-US"/>
              </w:rPr>
              <w:t>OR (95% CI)</w:t>
            </w:r>
          </w:p>
        </w:tc>
        <w:tc>
          <w:tcPr>
            <w:tcW w:w="2306" w:type="dxa"/>
            <w:shd w:val="clear" w:color="auto" w:fill="auto"/>
          </w:tcPr>
          <w:p w14:paraId="45C31BAC" w14:textId="57F7B4D8" w:rsidR="00016B07" w:rsidRPr="008E7172" w:rsidRDefault="00016B07" w:rsidP="0028686E">
            <w:pPr>
              <w:pStyle w:val="NormalWeb"/>
              <w:spacing w:beforeAutospacing="0" w:after="0" w:afterAutospacing="0"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1.</w:t>
            </w:r>
            <w:r w:rsidR="00117D5E"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18</w:t>
            </w:r>
            <w:r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 xml:space="preserve"> (0.8</w:t>
            </w:r>
            <w:r w:rsidR="00117D5E"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6</w:t>
            </w:r>
            <w:r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-</w:t>
            </w:r>
            <w:r w:rsidR="00117D5E"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1.61</w:t>
            </w:r>
            <w:r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)</w:t>
            </w:r>
          </w:p>
        </w:tc>
      </w:tr>
      <w:tr w:rsidR="00016B07" w:rsidRPr="00430826" w14:paraId="038C6A54" w14:textId="77777777" w:rsidTr="002868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nil"/>
            </w:tcBorders>
            <w:shd w:val="clear" w:color="auto" w:fill="auto"/>
          </w:tcPr>
          <w:p w14:paraId="28CA22CB" w14:textId="77777777" w:rsidR="00016B07" w:rsidRPr="00430826" w:rsidRDefault="00016B07" w:rsidP="0028686E">
            <w:pPr>
              <w:pStyle w:val="NormalWeb"/>
              <w:spacing w:beforeAutospacing="0" w:after="0" w:afterAutospacing="0" w:line="252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430826">
              <w:rPr>
                <w:rFonts w:eastAsiaTheme="minorHAnsi"/>
                <w:sz w:val="22"/>
                <w:szCs w:val="22"/>
                <w:lang w:eastAsia="en-US"/>
              </w:rPr>
              <w:t>P-value</w:t>
            </w:r>
          </w:p>
        </w:tc>
        <w:tc>
          <w:tcPr>
            <w:tcW w:w="2306" w:type="dxa"/>
            <w:tcBorders>
              <w:top w:val="nil"/>
            </w:tcBorders>
            <w:shd w:val="clear" w:color="auto" w:fill="auto"/>
          </w:tcPr>
          <w:p w14:paraId="6DA58FD9" w14:textId="58E1E33A" w:rsidR="00016B07" w:rsidRPr="008E7172" w:rsidRDefault="00016B07" w:rsidP="0028686E">
            <w:pPr>
              <w:pStyle w:val="NormalWeb"/>
              <w:spacing w:beforeAutospacing="0" w:after="0" w:afterAutospacing="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0.2</w:t>
            </w:r>
            <w:r w:rsidR="00117D5E" w:rsidRPr="008E7172">
              <w:rPr>
                <w:rFonts w:eastAsiaTheme="minorHAnsi"/>
                <w:sz w:val="22"/>
                <w:szCs w:val="22"/>
                <w:highlight w:val="yellow"/>
                <w:lang w:eastAsia="en-US"/>
              </w:rPr>
              <w:t>83</w:t>
            </w:r>
          </w:p>
        </w:tc>
      </w:tr>
    </w:tbl>
    <w:p w14:paraId="410A8F4F" w14:textId="77777777" w:rsidR="00EB28AA" w:rsidRDefault="00EB28AA" w:rsidP="00EB28AA">
      <w:pPr>
        <w:pStyle w:val="NormalWeb"/>
        <w:spacing w:beforeAutospacing="0" w:after="120" w:afterAutospacing="0" w:line="252" w:lineRule="auto"/>
        <w:rPr>
          <w:sz w:val="22"/>
        </w:rPr>
      </w:pPr>
      <w:r>
        <w:rPr>
          <w:sz w:val="22"/>
        </w:rPr>
        <w:t>Patients were diagnosed as having early-onset asthma.</w:t>
      </w:r>
    </w:p>
    <w:p w14:paraId="40228FC8" w14:textId="4D28ABEE" w:rsidR="00016B07" w:rsidRPr="00430826" w:rsidRDefault="00EB28AA" w:rsidP="00EB28AA">
      <w:pPr>
        <w:pStyle w:val="NormalWeb"/>
        <w:spacing w:beforeAutospacing="0" w:after="120" w:afterAutospacing="0" w:line="252" w:lineRule="auto"/>
        <w:rPr>
          <w:rFonts w:eastAsiaTheme="minorHAnsi"/>
          <w:sz w:val="22"/>
          <w:szCs w:val="22"/>
          <w:lang w:eastAsia="en-US"/>
        </w:rPr>
      </w:pPr>
      <w:r>
        <w:rPr>
          <w:sz w:val="22"/>
        </w:rPr>
        <w:t>Montelukast prescription records were only available as adults.</w:t>
      </w:r>
    </w:p>
    <w:p w14:paraId="2E00EAC9" w14:textId="77777777" w:rsidR="00642FD6" w:rsidRPr="00430826" w:rsidRDefault="00642FD6" w:rsidP="00642FD6">
      <w:pPr>
        <w:pStyle w:val="NormalWeb"/>
        <w:spacing w:beforeAutospacing="0" w:after="120" w:afterAutospacing="0" w:line="252" w:lineRule="auto"/>
        <w:rPr>
          <w:rFonts w:eastAsiaTheme="minorHAnsi"/>
          <w:sz w:val="22"/>
          <w:szCs w:val="22"/>
          <w:lang w:eastAsia="en-US"/>
        </w:rPr>
      </w:pPr>
    </w:p>
    <w:p w14:paraId="2E00EACA" w14:textId="77777777" w:rsidR="00D32E0E" w:rsidRPr="00364EA0" w:rsidRDefault="00642FD6" w:rsidP="00642FD6">
      <w:pPr>
        <w:rPr>
          <w:rFonts w:ascii="Times New Roman" w:eastAsia="Times New Roman" w:hAnsi="Times New Roman" w:cs="Times New Roman"/>
          <w:szCs w:val="24"/>
          <w:lang w:eastAsia="en-GB"/>
        </w:rPr>
        <w:sectPr w:rsidR="00D32E0E" w:rsidRPr="00364EA0" w:rsidSect="00651508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430826">
        <w:rPr>
          <w:rFonts w:ascii="Times New Roman" w:hAnsi="Times New Roman" w:cs="Times New Roman"/>
        </w:rPr>
        <w:br w:type="page"/>
      </w:r>
    </w:p>
    <w:p w14:paraId="2E00EACD" w14:textId="1C3E9E0F" w:rsidR="00642FD6" w:rsidRPr="00AE7D83" w:rsidRDefault="00642FD6" w:rsidP="00642FD6">
      <w:pPr>
        <w:rPr>
          <w:rFonts w:ascii="Times New Roman" w:hAnsi="Times New Roman" w:cs="Times New Roman"/>
          <w:b/>
          <w:szCs w:val="24"/>
        </w:rPr>
      </w:pPr>
      <w:r w:rsidRPr="00502BAE">
        <w:rPr>
          <w:rFonts w:ascii="Times New Roman" w:hAnsi="Times New Roman" w:cs="Times New Roman"/>
          <w:b/>
          <w:szCs w:val="24"/>
        </w:rPr>
        <w:lastRenderedPageBreak/>
        <w:t xml:space="preserve">Table </w:t>
      </w:r>
      <w:r w:rsidR="00CE1720">
        <w:rPr>
          <w:rFonts w:ascii="Times New Roman" w:hAnsi="Times New Roman" w:cs="Times New Roman"/>
          <w:b/>
          <w:szCs w:val="24"/>
        </w:rPr>
        <w:t>S</w:t>
      </w:r>
      <w:r w:rsidR="00C307BA">
        <w:rPr>
          <w:rFonts w:ascii="Times New Roman" w:hAnsi="Times New Roman" w:cs="Times New Roman"/>
          <w:b/>
          <w:szCs w:val="24"/>
        </w:rPr>
        <w:t>7</w:t>
      </w:r>
      <w:r w:rsidRPr="00502BAE">
        <w:rPr>
          <w:rFonts w:ascii="Times New Roman" w:hAnsi="Times New Roman" w:cs="Times New Roman"/>
          <w:b/>
          <w:szCs w:val="24"/>
        </w:rPr>
        <w:t xml:space="preserve">.  </w:t>
      </w:r>
      <w:r w:rsidRPr="00715C6B">
        <w:rPr>
          <w:rFonts w:ascii="Times New Roman" w:hAnsi="Times New Roman" w:cs="Times New Roman"/>
          <w:b/>
          <w:szCs w:val="24"/>
        </w:rPr>
        <w:t>Cis</w:t>
      </w:r>
      <w:r>
        <w:rPr>
          <w:rFonts w:ascii="Times New Roman" w:hAnsi="Times New Roman" w:cs="Times New Roman"/>
          <w:b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szCs w:val="24"/>
        </w:rPr>
        <w:t>eQTL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effect of rs2660845 on</w:t>
      </w:r>
      <w:r w:rsidRPr="00E31FCD">
        <w:rPr>
          <w:rFonts w:ascii="Times New Roman" w:hAnsi="Times New Roman" w:cs="Times New Roman"/>
          <w:b/>
          <w:i/>
          <w:szCs w:val="24"/>
        </w:rPr>
        <w:t xml:space="preserve"> LTA4H</w:t>
      </w:r>
      <w:r>
        <w:rPr>
          <w:rFonts w:ascii="Times New Roman" w:hAnsi="Times New Roman" w:cs="Times New Roman"/>
          <w:b/>
          <w:szCs w:val="24"/>
        </w:rPr>
        <w:t xml:space="preserve"> expression in whole blood from adult cohorts.</w:t>
      </w:r>
    </w:p>
    <w:tbl>
      <w:tblPr>
        <w:tblStyle w:val="PlainTable2"/>
        <w:tblpPr w:leftFromText="180" w:rightFromText="180" w:vertAnchor="text" w:horzAnchor="page" w:tblpX="577" w:tblpY="126"/>
        <w:tblW w:w="14559" w:type="dxa"/>
        <w:tblLayout w:type="fixed"/>
        <w:tblLook w:val="04A0" w:firstRow="1" w:lastRow="0" w:firstColumn="1" w:lastColumn="0" w:noHBand="0" w:noVBand="1"/>
      </w:tblPr>
      <w:tblGrid>
        <w:gridCol w:w="1209"/>
        <w:gridCol w:w="1030"/>
        <w:gridCol w:w="877"/>
        <w:gridCol w:w="617"/>
        <w:gridCol w:w="1550"/>
        <w:gridCol w:w="2286"/>
        <w:gridCol w:w="1081"/>
        <w:gridCol w:w="721"/>
        <w:gridCol w:w="1035"/>
        <w:gridCol w:w="827"/>
        <w:gridCol w:w="1168"/>
        <w:gridCol w:w="1512"/>
        <w:gridCol w:w="646"/>
      </w:tblGrid>
      <w:tr w:rsidR="00E853C0" w:rsidRPr="004A0204" w14:paraId="2E00EADB" w14:textId="77777777" w:rsidTr="00AD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noWrap/>
            <w:hideMark/>
          </w:tcPr>
          <w:p w14:paraId="2E00EACE" w14:textId="171A287B" w:rsidR="003223F2" w:rsidRPr="003223F2" w:rsidRDefault="003223F2" w:rsidP="003223F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3223F2">
              <w:rPr>
                <w:rFonts w:eastAsia="Times New Roman"/>
                <w:bCs w:val="0"/>
                <w:color w:val="000000"/>
                <w:sz w:val="20"/>
                <w:lang w:eastAsia="en-GB"/>
              </w:rPr>
              <w:t>Consortium</w:t>
            </w:r>
          </w:p>
        </w:tc>
        <w:tc>
          <w:tcPr>
            <w:tcW w:w="1030" w:type="dxa"/>
            <w:noWrap/>
            <w:hideMark/>
          </w:tcPr>
          <w:p w14:paraId="2E00EACF" w14:textId="5FEA13C8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P-value</w:t>
            </w:r>
          </w:p>
        </w:tc>
        <w:tc>
          <w:tcPr>
            <w:tcW w:w="877" w:type="dxa"/>
            <w:noWrap/>
            <w:hideMark/>
          </w:tcPr>
          <w:p w14:paraId="2E00EAD0" w14:textId="7D4CF2D8" w:rsidR="003223F2" w:rsidRPr="003223F2" w:rsidRDefault="00C45579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rs</w:t>
            </w:r>
            <w:r w:rsidR="003223F2"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ID</w:t>
            </w:r>
            <w:proofErr w:type="spellEnd"/>
          </w:p>
        </w:tc>
        <w:tc>
          <w:tcPr>
            <w:tcW w:w="617" w:type="dxa"/>
            <w:noWrap/>
            <w:hideMark/>
          </w:tcPr>
          <w:p w14:paraId="2E00EAD1" w14:textId="37F84480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proofErr w:type="spellStart"/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Chr</w:t>
            </w:r>
            <w:proofErr w:type="spellEnd"/>
          </w:p>
        </w:tc>
        <w:tc>
          <w:tcPr>
            <w:tcW w:w="1550" w:type="dxa"/>
            <w:noWrap/>
            <w:hideMark/>
          </w:tcPr>
          <w:p w14:paraId="2E00EAD2" w14:textId="2EFFC7ED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Position(hg19)</w:t>
            </w:r>
          </w:p>
        </w:tc>
        <w:tc>
          <w:tcPr>
            <w:tcW w:w="2286" w:type="dxa"/>
            <w:noWrap/>
            <w:hideMark/>
          </w:tcPr>
          <w:p w14:paraId="2E00EAD3" w14:textId="0603FA1E" w:rsidR="003223F2" w:rsidRPr="003223F2" w:rsidRDefault="003853E6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ID</w:t>
            </w:r>
          </w:p>
        </w:tc>
        <w:tc>
          <w:tcPr>
            <w:tcW w:w="1081" w:type="dxa"/>
            <w:noWrap/>
            <w:hideMark/>
          </w:tcPr>
          <w:p w14:paraId="2E00EAD4" w14:textId="594AFE46" w:rsidR="003223F2" w:rsidRPr="003223F2" w:rsidRDefault="003853E6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Gene s</w:t>
            </w:r>
            <w:r w:rsidR="003223F2"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ymbol</w:t>
            </w:r>
          </w:p>
        </w:tc>
        <w:tc>
          <w:tcPr>
            <w:tcW w:w="721" w:type="dxa"/>
            <w:noWrap/>
            <w:hideMark/>
          </w:tcPr>
          <w:p w14:paraId="2E00EAD5" w14:textId="69D818ED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Z-score</w:t>
            </w:r>
          </w:p>
        </w:tc>
        <w:tc>
          <w:tcPr>
            <w:tcW w:w="1035" w:type="dxa"/>
            <w:noWrap/>
            <w:hideMark/>
          </w:tcPr>
          <w:p w14:paraId="2E00EAD6" w14:textId="37C7F4C8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Assessed</w:t>
            </w:r>
          </w:p>
        </w:tc>
        <w:tc>
          <w:tcPr>
            <w:tcW w:w="827" w:type="dxa"/>
            <w:noWrap/>
            <w:hideMark/>
          </w:tcPr>
          <w:p w14:paraId="2E00EAD7" w14:textId="48FD3A57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Other</w:t>
            </w:r>
          </w:p>
        </w:tc>
        <w:tc>
          <w:tcPr>
            <w:tcW w:w="1168" w:type="dxa"/>
            <w:noWrap/>
            <w:hideMark/>
          </w:tcPr>
          <w:p w14:paraId="2E00EAD8" w14:textId="08F7DA26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Number</w:t>
            </w:r>
            <w:r w:rsidR="00E853C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 xml:space="preserve"> </w:t>
            </w: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 xml:space="preserve">of </w:t>
            </w:r>
            <w:r w:rsidR="00E853C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c</w:t>
            </w: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ohorts</w:t>
            </w:r>
          </w:p>
        </w:tc>
        <w:tc>
          <w:tcPr>
            <w:tcW w:w="1512" w:type="dxa"/>
            <w:noWrap/>
            <w:hideMark/>
          </w:tcPr>
          <w:p w14:paraId="2E00EAD9" w14:textId="59EE6434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 xml:space="preserve">Number of </w:t>
            </w:r>
            <w:r w:rsidR="00E853C0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s</w:t>
            </w: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amples</w:t>
            </w:r>
          </w:p>
        </w:tc>
        <w:tc>
          <w:tcPr>
            <w:tcW w:w="646" w:type="dxa"/>
            <w:noWrap/>
            <w:hideMark/>
          </w:tcPr>
          <w:p w14:paraId="2E00EADA" w14:textId="372FBC82" w:rsidR="003223F2" w:rsidRPr="003223F2" w:rsidRDefault="003223F2" w:rsidP="003223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3223F2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lang w:eastAsia="en-GB"/>
              </w:rPr>
              <w:t>FDR</w:t>
            </w:r>
          </w:p>
        </w:tc>
      </w:tr>
      <w:tr w:rsidR="00E853C0" w:rsidRPr="004A0204" w14:paraId="2E00EAE9" w14:textId="77777777" w:rsidTr="00AD53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noWrap/>
            <w:hideMark/>
          </w:tcPr>
          <w:p w14:paraId="2E00EADC" w14:textId="77777777" w:rsidR="00642FD6" w:rsidRPr="004A0204" w:rsidRDefault="00642FD6" w:rsidP="005320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r w:rsidRPr="004A020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BIOSQTL</w:t>
            </w:r>
          </w:p>
        </w:tc>
        <w:tc>
          <w:tcPr>
            <w:tcW w:w="1030" w:type="dxa"/>
            <w:hideMark/>
          </w:tcPr>
          <w:p w14:paraId="2E00EADD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6.27E-08</w:t>
            </w:r>
          </w:p>
        </w:tc>
        <w:tc>
          <w:tcPr>
            <w:tcW w:w="877" w:type="dxa"/>
            <w:hideMark/>
          </w:tcPr>
          <w:p w14:paraId="2E00EADE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rs2660845</w:t>
            </w:r>
          </w:p>
        </w:tc>
        <w:tc>
          <w:tcPr>
            <w:tcW w:w="617" w:type="dxa"/>
            <w:hideMark/>
          </w:tcPr>
          <w:p w14:paraId="2E00EADF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550" w:type="dxa"/>
            <w:hideMark/>
          </w:tcPr>
          <w:p w14:paraId="2E00EAE0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96438553</w:t>
            </w:r>
          </w:p>
        </w:tc>
        <w:tc>
          <w:tcPr>
            <w:tcW w:w="2286" w:type="dxa"/>
            <w:hideMark/>
          </w:tcPr>
          <w:p w14:paraId="2E00EAE1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ENSG00000111144,ENSG00000257878</w:t>
            </w:r>
          </w:p>
        </w:tc>
        <w:tc>
          <w:tcPr>
            <w:tcW w:w="1081" w:type="dxa"/>
            <w:noWrap/>
            <w:hideMark/>
          </w:tcPr>
          <w:p w14:paraId="2E00EAE2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LTA4H</w:t>
            </w:r>
          </w:p>
        </w:tc>
        <w:tc>
          <w:tcPr>
            <w:tcW w:w="721" w:type="dxa"/>
            <w:hideMark/>
          </w:tcPr>
          <w:p w14:paraId="2E00EAE3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-5.41</w:t>
            </w:r>
          </w:p>
        </w:tc>
        <w:tc>
          <w:tcPr>
            <w:tcW w:w="1035" w:type="dxa"/>
            <w:noWrap/>
            <w:hideMark/>
          </w:tcPr>
          <w:p w14:paraId="2E00EAE4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G</w:t>
            </w:r>
          </w:p>
        </w:tc>
        <w:tc>
          <w:tcPr>
            <w:tcW w:w="827" w:type="dxa"/>
            <w:noWrap/>
            <w:hideMark/>
          </w:tcPr>
          <w:p w14:paraId="2E00EAE5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1168" w:type="dxa"/>
            <w:hideMark/>
          </w:tcPr>
          <w:p w14:paraId="2E00EAE6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502BAE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</w:t>
            </w:r>
          </w:p>
        </w:tc>
        <w:tc>
          <w:tcPr>
            <w:tcW w:w="1512" w:type="dxa"/>
            <w:noWrap/>
            <w:hideMark/>
          </w:tcPr>
          <w:p w14:paraId="2E00EAE7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502BAE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2116</w:t>
            </w:r>
          </w:p>
        </w:tc>
        <w:tc>
          <w:tcPr>
            <w:tcW w:w="646" w:type="dxa"/>
            <w:hideMark/>
          </w:tcPr>
          <w:p w14:paraId="2E00EAE8" w14:textId="77777777" w:rsidR="00642FD6" w:rsidRPr="004A0204" w:rsidRDefault="00642FD6" w:rsidP="00532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</w:t>
            </w:r>
          </w:p>
        </w:tc>
      </w:tr>
      <w:tr w:rsidR="00E853C0" w:rsidRPr="004A0204" w14:paraId="2E00EAF7" w14:textId="77777777" w:rsidTr="00AD539B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" w:type="dxa"/>
            <w:noWrap/>
            <w:hideMark/>
          </w:tcPr>
          <w:p w14:paraId="2E00EAEA" w14:textId="77777777" w:rsidR="00642FD6" w:rsidRPr="004A0204" w:rsidRDefault="00D32E0E" w:rsidP="005320AC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</w:t>
            </w:r>
            <w:r w:rsidR="00642FD6" w:rsidRPr="004A020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QTL</w:t>
            </w:r>
            <w:r w:rsidR="00642FD6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G</w:t>
            </w:r>
            <w:r w:rsidR="00642FD6" w:rsidRPr="004A0204">
              <w:rPr>
                <w:rFonts w:ascii="Calibri" w:eastAsia="Times New Roman" w:hAnsi="Calibri" w:cs="Calibri"/>
                <w:color w:val="000000"/>
                <w:sz w:val="20"/>
                <w:lang w:eastAsia="en-GB"/>
              </w:rPr>
              <w:t>en</w:t>
            </w:r>
            <w:proofErr w:type="spellEnd"/>
          </w:p>
        </w:tc>
        <w:tc>
          <w:tcPr>
            <w:tcW w:w="1030" w:type="dxa"/>
            <w:noWrap/>
            <w:hideMark/>
          </w:tcPr>
          <w:p w14:paraId="2E00EAEB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4.89E-07</w:t>
            </w:r>
          </w:p>
        </w:tc>
        <w:tc>
          <w:tcPr>
            <w:tcW w:w="877" w:type="dxa"/>
            <w:noWrap/>
            <w:hideMark/>
          </w:tcPr>
          <w:p w14:paraId="2E00EAEC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rs2660845</w:t>
            </w:r>
          </w:p>
        </w:tc>
        <w:tc>
          <w:tcPr>
            <w:tcW w:w="617" w:type="dxa"/>
            <w:noWrap/>
            <w:hideMark/>
          </w:tcPr>
          <w:p w14:paraId="2E00EAED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1550" w:type="dxa"/>
            <w:noWrap/>
            <w:hideMark/>
          </w:tcPr>
          <w:p w14:paraId="2E00EAEE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96438553</w:t>
            </w:r>
          </w:p>
        </w:tc>
        <w:tc>
          <w:tcPr>
            <w:tcW w:w="2286" w:type="dxa"/>
            <w:noWrap/>
            <w:hideMark/>
          </w:tcPr>
          <w:p w14:paraId="2E00EAEF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ENSG00000111144</w:t>
            </w:r>
          </w:p>
        </w:tc>
        <w:tc>
          <w:tcPr>
            <w:tcW w:w="1081" w:type="dxa"/>
            <w:noWrap/>
            <w:hideMark/>
          </w:tcPr>
          <w:p w14:paraId="2E00EAF0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LTA4H</w:t>
            </w:r>
          </w:p>
        </w:tc>
        <w:tc>
          <w:tcPr>
            <w:tcW w:w="721" w:type="dxa"/>
            <w:noWrap/>
            <w:hideMark/>
          </w:tcPr>
          <w:p w14:paraId="2E00EAF1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-5.03</w:t>
            </w:r>
          </w:p>
        </w:tc>
        <w:tc>
          <w:tcPr>
            <w:tcW w:w="1035" w:type="dxa"/>
            <w:noWrap/>
            <w:hideMark/>
          </w:tcPr>
          <w:p w14:paraId="2E00EAF2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G</w:t>
            </w:r>
          </w:p>
        </w:tc>
        <w:tc>
          <w:tcPr>
            <w:tcW w:w="827" w:type="dxa"/>
            <w:noWrap/>
            <w:hideMark/>
          </w:tcPr>
          <w:p w14:paraId="2E00EAF3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A</w:t>
            </w:r>
          </w:p>
        </w:tc>
        <w:tc>
          <w:tcPr>
            <w:tcW w:w="1168" w:type="dxa"/>
            <w:noWrap/>
            <w:hideMark/>
          </w:tcPr>
          <w:p w14:paraId="2E00EAF4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1512" w:type="dxa"/>
            <w:noWrap/>
            <w:hideMark/>
          </w:tcPr>
          <w:p w14:paraId="2E00EAF5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31683</w:t>
            </w:r>
          </w:p>
        </w:tc>
        <w:tc>
          <w:tcPr>
            <w:tcW w:w="646" w:type="dxa"/>
            <w:noWrap/>
            <w:hideMark/>
          </w:tcPr>
          <w:p w14:paraId="2E00EAF6" w14:textId="77777777" w:rsidR="00642FD6" w:rsidRPr="004A0204" w:rsidRDefault="00642FD6" w:rsidP="00532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</w:pPr>
            <w:r w:rsidRPr="004A0204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0.001</w:t>
            </w:r>
            <w:r w:rsidRPr="00502BAE">
              <w:rPr>
                <w:rFonts w:ascii="Times New Roman" w:eastAsia="Times New Roman" w:hAnsi="Times New Roman" w:cs="Times New Roman"/>
                <w:color w:val="000000"/>
                <w:sz w:val="20"/>
                <w:lang w:eastAsia="en-GB"/>
              </w:rPr>
              <w:t>6</w:t>
            </w:r>
          </w:p>
        </w:tc>
      </w:tr>
    </w:tbl>
    <w:p w14:paraId="029DF94A" w14:textId="029CB515" w:rsidR="00EB28AA" w:rsidRPr="00D32E0E" w:rsidRDefault="00EB28AA" w:rsidP="00EB28AA">
      <w:pPr>
        <w:rPr>
          <w:rFonts w:ascii="Times New Roman" w:hAnsi="Times New Roman" w:cs="Times New Roman"/>
          <w:szCs w:val="24"/>
        </w:rPr>
      </w:pPr>
      <w:r w:rsidRPr="00D32E0E">
        <w:rPr>
          <w:rFonts w:ascii="Times New Roman" w:hAnsi="Times New Roman" w:cs="Times New Roman"/>
          <w:szCs w:val="24"/>
        </w:rPr>
        <w:t xml:space="preserve">BIOSQTL: The Biobank-Based Integrative Omics Study Quantitative Trait Locus </w:t>
      </w:r>
      <w:r w:rsidRPr="00D32E0E">
        <w:rPr>
          <w:rFonts w:ascii="Times New Roman" w:hAnsi="Times New Roman" w:cs="Times New Roman"/>
          <w:szCs w:val="24"/>
        </w:rPr>
        <w:fldChar w:fldCharType="begin"/>
      </w:r>
      <w:r w:rsidR="001E7CFA">
        <w:rPr>
          <w:rFonts w:ascii="Times New Roman" w:hAnsi="Times New Roman" w:cs="Times New Roman"/>
          <w:szCs w:val="24"/>
        </w:rPr>
        <w:instrText xml:space="preserve"> ADDIN EN.CITE &lt;EndNote&gt;&lt;Cite&gt;&lt;Author&gt;Zhernakova&lt;/Author&gt;&lt;Year&gt;2017&lt;/Year&gt;&lt;RecNum&gt;55&lt;/RecNum&gt;&lt;DisplayText&gt;[1]&lt;/DisplayText&gt;&lt;record&gt;&lt;rec-number&gt;55&lt;/rec-number&gt;&lt;foreign-keys&gt;&lt;key app="EN" db-id="a05vs5t0bfxrxfepadyxvtrdepsxpv2wzw99" timestamp="1575634977"&gt;55&lt;/key&gt;&lt;/foreign-keys&gt;&lt;ref-type name="Journal Article"&gt;17&lt;/ref-type&gt;&lt;contributors&gt;&lt;authors&gt;&lt;author&gt;Zhernakova, Daria V&lt;/author&gt;&lt;author&gt;Deelen, Patrick&lt;/author&gt;&lt;author&gt;Vermaat, Martijn&lt;/author&gt;&lt;author&gt;Van Iterson, Maarten&lt;/author&gt;&lt;author&gt;Van Galen, Michiel&lt;/author&gt;&lt;author&gt;Arindrarto, Wibowo&lt;/author&gt;&lt;author&gt;Van&amp;apos;t Hof, Peter&lt;/author&gt;&lt;author&gt;Mei, Hailiang&lt;/author&gt;&lt;author&gt;Van Dijk, Freerk&lt;/author&gt;&lt;author&gt;Westra, Harm-Jan %J Nature genetics&lt;/author&gt;&lt;/authors&gt;&lt;/contributors&gt;&lt;titles&gt;&lt;title&gt;Identification of context-dependent expression quantitative trait loci in whole blood&lt;/title&gt;&lt;/titles&gt;&lt;pages&gt;139&lt;/pages&gt;&lt;volume&gt;49&lt;/volume&gt;&lt;number&gt;1&lt;/number&gt;&lt;dates&gt;&lt;year&gt;2017&lt;/year&gt;&lt;/dates&gt;&lt;isbn&gt;1546-1718&lt;/isbn&gt;&lt;urls&gt;&lt;/urls&gt;&lt;/record&gt;&lt;/Cite&gt;&lt;/EndNote&gt;</w:instrText>
      </w:r>
      <w:r w:rsidRPr="00D32E0E">
        <w:rPr>
          <w:rFonts w:ascii="Times New Roman" w:hAnsi="Times New Roman" w:cs="Times New Roman"/>
          <w:szCs w:val="24"/>
        </w:rPr>
        <w:fldChar w:fldCharType="separate"/>
      </w:r>
      <w:r w:rsidR="001E7CFA">
        <w:rPr>
          <w:rFonts w:ascii="Times New Roman" w:hAnsi="Times New Roman" w:cs="Times New Roman"/>
          <w:noProof/>
          <w:szCs w:val="24"/>
        </w:rPr>
        <w:t>[1]</w:t>
      </w:r>
      <w:r w:rsidRPr="00D32E0E">
        <w:rPr>
          <w:rFonts w:ascii="Times New Roman" w:hAnsi="Times New Roman" w:cs="Times New Roman"/>
          <w:szCs w:val="24"/>
        </w:rPr>
        <w:fldChar w:fldCharType="end"/>
      </w:r>
    </w:p>
    <w:p w14:paraId="7834AE90" w14:textId="673BB3FE" w:rsidR="00EB28AA" w:rsidRDefault="00EB28AA" w:rsidP="00EB28AA">
      <w:pPr>
        <w:rPr>
          <w:rFonts w:ascii="Times New Roman" w:hAnsi="Times New Roman" w:cs="Times New Roman"/>
          <w:szCs w:val="24"/>
        </w:rPr>
      </w:pPr>
      <w:proofErr w:type="spellStart"/>
      <w:r w:rsidRPr="00D32E0E">
        <w:rPr>
          <w:rFonts w:ascii="Times New Roman" w:hAnsi="Times New Roman" w:cs="Times New Roman"/>
          <w:szCs w:val="24"/>
        </w:rPr>
        <w:t>eQTLGen</w:t>
      </w:r>
      <w:proofErr w:type="spellEnd"/>
      <w:r w:rsidRPr="00D32E0E">
        <w:rPr>
          <w:rFonts w:ascii="Times New Roman" w:hAnsi="Times New Roman" w:cs="Times New Roman"/>
          <w:szCs w:val="24"/>
        </w:rPr>
        <w:t xml:space="preserve">: expression Quantitative Trait Loci Genetic </w:t>
      </w:r>
      <w:r w:rsidRPr="00D32E0E">
        <w:rPr>
          <w:rFonts w:ascii="Times New Roman" w:hAnsi="Times New Roman" w:cs="Times New Roman"/>
          <w:szCs w:val="24"/>
        </w:rPr>
        <w:fldChar w:fldCharType="begin"/>
      </w:r>
      <w:r w:rsidR="001E7CFA">
        <w:rPr>
          <w:rFonts w:ascii="Times New Roman" w:hAnsi="Times New Roman" w:cs="Times New Roman"/>
          <w:szCs w:val="24"/>
        </w:rPr>
        <w:instrText xml:space="preserve"> ADDIN EN.CITE &lt;EndNote&gt;&lt;Cite&gt;&lt;Author&gt;Võsa&lt;/Author&gt;&lt;Year&gt;2018&lt;/Year&gt;&lt;RecNum&gt;56&lt;/RecNum&gt;&lt;DisplayText&gt;[2]&lt;/DisplayText&gt;&lt;record&gt;&lt;rec-number&gt;56&lt;/rec-number&gt;&lt;foreign-keys&gt;&lt;key app="EN" db-id="a05vs5t0bfxrxfepadyxvtrdepsxpv2wzw99" timestamp="1575635050"&gt;56&lt;/key&gt;&lt;/foreign-keys&gt;&lt;ref-type name="Journal Article"&gt;17&lt;/ref-type&gt;&lt;contributors&gt;&lt;authors&gt;&lt;author&gt;Võsa, Urmo&lt;/author&gt;&lt;author&gt;Claringbould, Annique&lt;/author&gt;&lt;author&gt;Westra, Harm-Jan&lt;/author&gt;&lt;author&gt;Bonder, Marc Jan&lt;/author&gt;&lt;author&gt;Deelen, Patrick&lt;/author&gt;&lt;author&gt;Zeng, Biao&lt;/author&gt;&lt;author&gt;Kirsten, Holger&lt;/author&gt;&lt;author&gt;Saha, Ashis&lt;/author&gt;&lt;author&gt;Kreuzhuber, Roman&lt;/author&gt;&lt;author&gt;Kasela, Silva %J bioRxiv&lt;/author&gt;&lt;/authors&gt;&lt;/contributors&gt;&lt;titles&gt;&lt;title&gt;Unraveling the polygenic architecture of complex traits using blood eQTL meta-analysis&lt;/title&gt;&lt;/titles&gt;&lt;pages&gt;447367&lt;/pages&gt;&lt;dates&gt;&lt;year&gt;2018&lt;/year&gt;&lt;/dates&gt;&lt;urls&gt;&lt;/urls&gt;&lt;/record&gt;&lt;/Cite&gt;&lt;/EndNote&gt;</w:instrText>
      </w:r>
      <w:r w:rsidRPr="00D32E0E">
        <w:rPr>
          <w:rFonts w:ascii="Times New Roman" w:hAnsi="Times New Roman" w:cs="Times New Roman"/>
          <w:szCs w:val="24"/>
        </w:rPr>
        <w:fldChar w:fldCharType="separate"/>
      </w:r>
      <w:r w:rsidR="001E7CFA">
        <w:rPr>
          <w:rFonts w:ascii="Times New Roman" w:hAnsi="Times New Roman" w:cs="Times New Roman"/>
          <w:noProof/>
          <w:szCs w:val="24"/>
        </w:rPr>
        <w:t>[2]</w:t>
      </w:r>
      <w:r w:rsidRPr="00D32E0E">
        <w:rPr>
          <w:rFonts w:ascii="Times New Roman" w:hAnsi="Times New Roman" w:cs="Times New Roman"/>
          <w:szCs w:val="24"/>
        </w:rPr>
        <w:fldChar w:fldCharType="end"/>
      </w:r>
    </w:p>
    <w:p w14:paraId="515A34BF" w14:textId="6E98D51D" w:rsidR="000B5AF0" w:rsidRPr="00343545" w:rsidRDefault="000B5AF0" w:rsidP="00EB28AA">
      <w:pPr>
        <w:rPr>
          <w:rFonts w:ascii="Times New Roman" w:hAnsi="Times New Roman" w:cs="Times New Roman"/>
          <w:szCs w:val="24"/>
        </w:rPr>
      </w:pPr>
      <w:r w:rsidRPr="00343545">
        <w:rPr>
          <w:rFonts w:ascii="Times New Roman" w:hAnsi="Times New Roman" w:cs="Times New Roman"/>
          <w:szCs w:val="24"/>
        </w:rPr>
        <w:t>FDR:</w:t>
      </w:r>
      <w:r w:rsidR="00F552C3" w:rsidRPr="00343545">
        <w:rPr>
          <w:rFonts w:ascii="Times New Roman" w:hAnsi="Times New Roman" w:cs="Times New Roman"/>
          <w:szCs w:val="24"/>
        </w:rPr>
        <w:t xml:space="preserve"> False Discovery Rate</w:t>
      </w:r>
    </w:p>
    <w:p w14:paraId="0FE2E804" w14:textId="0EF2E79E" w:rsidR="000B5AF0" w:rsidRPr="00343545" w:rsidRDefault="000B5AF0" w:rsidP="000B5AF0">
      <w:pPr>
        <w:rPr>
          <w:rFonts w:ascii="Times New Roman" w:hAnsi="Times New Roman" w:cs="Times New Roman"/>
          <w:szCs w:val="24"/>
        </w:rPr>
      </w:pPr>
      <w:r w:rsidRPr="00343545">
        <w:rPr>
          <w:rFonts w:ascii="Times New Roman" w:hAnsi="Times New Roman" w:cs="Times New Roman"/>
          <w:szCs w:val="24"/>
        </w:rPr>
        <w:t xml:space="preserve">ID: </w:t>
      </w:r>
      <w:proofErr w:type="spellStart"/>
      <w:r w:rsidR="00BE29AF" w:rsidRPr="00343545">
        <w:rPr>
          <w:rFonts w:ascii="Times New Roman" w:hAnsi="Times New Roman" w:cs="Times New Roman"/>
          <w:szCs w:val="24"/>
        </w:rPr>
        <w:t>Gencode</w:t>
      </w:r>
      <w:proofErr w:type="spellEnd"/>
      <w:r w:rsidR="00BE29AF" w:rsidRPr="00343545">
        <w:rPr>
          <w:rFonts w:ascii="Times New Roman" w:hAnsi="Times New Roman" w:cs="Times New Roman"/>
          <w:szCs w:val="24"/>
        </w:rPr>
        <w:t xml:space="preserve"> Identifier</w:t>
      </w:r>
    </w:p>
    <w:p w14:paraId="6741B57F" w14:textId="77777777" w:rsidR="000B5AF0" w:rsidRDefault="000B5AF0" w:rsidP="000B5AF0">
      <w:pPr>
        <w:rPr>
          <w:b/>
        </w:rPr>
      </w:pPr>
    </w:p>
    <w:p w14:paraId="2E00EAF8" w14:textId="0CA66A1E" w:rsidR="000B5AF0" w:rsidRPr="000B5AF0" w:rsidRDefault="000B5AF0" w:rsidP="000B5AF0">
      <w:pPr>
        <w:sectPr w:rsidR="000B5AF0" w:rsidRPr="000B5AF0" w:rsidSect="00D32E0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E00EAF9" w14:textId="77777777" w:rsidR="00364EA0" w:rsidRDefault="00364EA0" w:rsidP="00364EA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noProof/>
        </w:rPr>
        <w:lastRenderedPageBreak/>
        <w:t>a</w:t>
      </w:r>
      <w:r w:rsidRPr="00591F70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00EB0D" wp14:editId="2E00EB0E">
            <wp:extent cx="2082800" cy="1399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97012" cy="140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801">
        <w:rPr>
          <w:noProof/>
        </w:rPr>
        <w:t xml:space="preserve"> </w:t>
      </w:r>
      <w:r>
        <w:rPr>
          <w:noProof/>
        </w:rPr>
        <w:t>b</w:t>
      </w:r>
      <w:r>
        <w:rPr>
          <w:noProof/>
        </w:rPr>
        <w:drawing>
          <wp:inline distT="0" distB="0" distL="0" distR="0" wp14:anchorId="2E00EB0F" wp14:editId="2E00EB10">
            <wp:extent cx="2101850" cy="133166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26791" cy="13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EAFA" w14:textId="75F4D8BE" w:rsidR="00364EA0" w:rsidRPr="00120076" w:rsidRDefault="00364EA0" w:rsidP="00364EA0">
      <w:p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30826">
        <w:rPr>
          <w:rFonts w:ascii="Times New Roman" w:hAnsi="Times New Roman" w:cs="Times New Roman"/>
          <w:b/>
        </w:rPr>
        <w:t xml:space="preserve">Figure </w:t>
      </w:r>
      <w:r w:rsidR="00CE172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r w:rsidRPr="004308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076">
        <w:rPr>
          <w:rFonts w:ascii="Times New Roman" w:hAnsi="Times New Roman" w:cs="Times New Roman"/>
          <w:b/>
          <w:szCs w:val="24"/>
        </w:rPr>
        <w:t xml:space="preserve">Age </w:t>
      </w:r>
      <w:r>
        <w:rPr>
          <w:rFonts w:ascii="Times New Roman" w:hAnsi="Times New Roman" w:cs="Times New Roman"/>
          <w:b/>
          <w:szCs w:val="24"/>
        </w:rPr>
        <w:t xml:space="preserve">(a) and ethnicity (b) distributions in the </w:t>
      </w:r>
      <w:proofErr w:type="spellStart"/>
      <w:r>
        <w:rPr>
          <w:rFonts w:ascii="Times New Roman" w:hAnsi="Times New Roman" w:cs="Times New Roman"/>
          <w:b/>
          <w:szCs w:val="24"/>
        </w:rPr>
        <w:t>GTEx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portal (V8, </w:t>
      </w:r>
      <w:r>
        <w:rPr>
          <w:rFonts w:ascii="Times New Roman" w:hAnsi="Times New Roman" w:cs="Times New Roman"/>
          <w:b/>
          <w:szCs w:val="24"/>
        </w:rPr>
        <w:fldChar w:fldCharType="begin"/>
      </w:r>
      <w:r w:rsidR="001E7CFA">
        <w:rPr>
          <w:rFonts w:ascii="Times New Roman" w:hAnsi="Times New Roman" w:cs="Times New Roman"/>
          <w:b/>
          <w:szCs w:val="24"/>
        </w:rPr>
        <w:instrText xml:space="preserve"> ADDIN EN.CITE &lt;EndNote&gt;&lt;Cite&gt;&lt;Author&gt;Consortium&lt;/Author&gt;&lt;Year&gt;2015&lt;/Year&gt;&lt;RecNum&gt;44&lt;/RecNum&gt;&lt;DisplayText&gt;[3]&lt;/DisplayText&gt;&lt;record&gt;&lt;rec-number&gt;44&lt;/rec-number&gt;&lt;foreign-keys&gt;&lt;key app="EN" db-id="a05vs5t0bfxrxfepadyxvtrdepsxpv2wzw99" timestamp="1575283892"&gt;44&lt;/key&gt;&lt;/foreign-keys&gt;&lt;ref-type name="Journal Article"&gt;17&lt;/ref-type&gt;&lt;contributors&gt;&lt;authors&gt;&lt;author&gt;G. TEx Consortium&lt;/author&gt;&lt;/authors&gt;&lt;/contributors&gt;&lt;titles&gt;&lt;title&gt;The Genotype-Tissue Expression (GTEx) pilot analysis: multitissue gene regulation in humans&lt;/title&gt;&lt;secondary-title&gt;Science&lt;/secondary-title&gt;&lt;/titles&gt;&lt;periodical&gt;&lt;full-title&gt;Science&lt;/full-title&gt;&lt;/periodical&gt;&lt;pages&gt;648-660&lt;/pages&gt;&lt;volume&gt;348&lt;/volume&gt;&lt;number&gt;6235&lt;/number&gt;&lt;dates&gt;&lt;year&gt;2015&lt;/year&gt;&lt;/dates&gt;&lt;isbn&gt;0036-8075&lt;/isbn&gt;&lt;urls&gt;&lt;/urls&gt;&lt;/record&gt;&lt;/Cite&gt;&lt;/EndNote&gt;</w:instrText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="001E7CFA">
        <w:rPr>
          <w:rFonts w:ascii="Times New Roman" w:hAnsi="Times New Roman" w:cs="Times New Roman"/>
          <w:b/>
          <w:noProof/>
          <w:szCs w:val="24"/>
        </w:rPr>
        <w:t>[3]</w:t>
      </w:r>
      <w:r>
        <w:rPr>
          <w:rFonts w:ascii="Times New Roman" w:hAnsi="Times New Roman" w:cs="Times New Roman"/>
          <w:b/>
          <w:szCs w:val="24"/>
        </w:rPr>
        <w:fldChar w:fldCharType="end"/>
      </w:r>
      <w:r>
        <w:rPr>
          <w:rFonts w:ascii="Times New Roman" w:hAnsi="Times New Roman" w:cs="Times New Roman"/>
          <w:b/>
          <w:szCs w:val="24"/>
        </w:rPr>
        <w:t>)</w:t>
      </w:r>
    </w:p>
    <w:p w14:paraId="2E00EAFB" w14:textId="77777777" w:rsidR="00364EA0" w:rsidRPr="00430826" w:rsidRDefault="00364EA0" w:rsidP="00364EA0">
      <w:pPr>
        <w:spacing w:line="480" w:lineRule="auto"/>
        <w:jc w:val="both"/>
        <w:rPr>
          <w:rFonts w:ascii="Times New Roman" w:hAnsi="Times New Roman" w:cs="Times New Roman"/>
        </w:rPr>
      </w:pPr>
    </w:p>
    <w:p w14:paraId="2E00EAFC" w14:textId="77777777" w:rsidR="00364EA0" w:rsidRPr="00430826" w:rsidRDefault="00364EA0" w:rsidP="00364EA0">
      <w:pPr>
        <w:spacing w:line="480" w:lineRule="auto"/>
        <w:jc w:val="both"/>
        <w:rPr>
          <w:rFonts w:ascii="Times New Roman" w:hAnsi="Times New Roman" w:cs="Times New Roman"/>
        </w:rPr>
      </w:pPr>
      <w:r w:rsidRPr="00786623">
        <w:rPr>
          <w:noProof/>
        </w:rPr>
        <w:t xml:space="preserve"> </w:t>
      </w:r>
      <w:r w:rsidRPr="00D92727">
        <w:rPr>
          <w:noProof/>
        </w:rPr>
        <w:t xml:space="preserve"> </w:t>
      </w:r>
      <w:r w:rsidRPr="009A027E">
        <w:rPr>
          <w:noProof/>
        </w:rPr>
        <w:t xml:space="preserve"> </w:t>
      </w:r>
      <w:r w:rsidRPr="00B52B62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00EB11" wp14:editId="2E00EB12">
            <wp:extent cx="1955800" cy="223808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2704" cy="22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0EAFD" w14:textId="29819371" w:rsidR="00364EA0" w:rsidRPr="00F66086" w:rsidRDefault="00364EA0" w:rsidP="00364EA0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430826">
        <w:rPr>
          <w:rFonts w:ascii="Times New Roman" w:hAnsi="Times New Roman" w:cs="Times New Roman"/>
          <w:b/>
        </w:rPr>
        <w:t xml:space="preserve">Figure </w:t>
      </w:r>
      <w:r w:rsidR="00CE172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2</w:t>
      </w:r>
      <w:r w:rsidRPr="00430826">
        <w:rPr>
          <w:rFonts w:ascii="Times New Roman" w:hAnsi="Times New Roman" w:cs="Times New Roman"/>
          <w:sz w:val="24"/>
          <w:szCs w:val="24"/>
        </w:rPr>
        <w:t xml:space="preserve">. </w:t>
      </w:r>
      <w:r w:rsidRPr="008E0DC7">
        <w:rPr>
          <w:rFonts w:ascii="Times New Roman" w:hAnsi="Times New Roman" w:cs="Times New Roman"/>
          <w:b/>
          <w:szCs w:val="24"/>
        </w:rPr>
        <w:t xml:space="preserve">Box plot showing the </w:t>
      </w:r>
      <w:r w:rsidRPr="008E0DC7">
        <w:rPr>
          <w:rFonts w:ascii="Times New Roman" w:hAnsi="Times New Roman" w:cs="Times New Roman"/>
          <w:b/>
          <w:i/>
          <w:szCs w:val="24"/>
        </w:rPr>
        <w:t>cis</w:t>
      </w:r>
      <w:r>
        <w:rPr>
          <w:rFonts w:ascii="Times New Roman" w:hAnsi="Times New Roman" w:cs="Times New Roman"/>
          <w:b/>
          <w:szCs w:val="24"/>
        </w:rPr>
        <w:t>-</w:t>
      </w:r>
      <w:proofErr w:type="spellStart"/>
      <w:r w:rsidRPr="008E0DC7">
        <w:rPr>
          <w:rFonts w:ascii="Times New Roman" w:hAnsi="Times New Roman" w:cs="Times New Roman"/>
          <w:b/>
          <w:szCs w:val="24"/>
        </w:rPr>
        <w:t>eQTL</w:t>
      </w:r>
      <w:proofErr w:type="spellEnd"/>
      <w:r w:rsidRPr="008E0DC7">
        <w:rPr>
          <w:rFonts w:ascii="Times New Roman" w:hAnsi="Times New Roman" w:cs="Times New Roman"/>
          <w:b/>
          <w:szCs w:val="24"/>
        </w:rPr>
        <w:t xml:space="preserve"> effect of rs2660845 on</w:t>
      </w:r>
      <w:r w:rsidRPr="008E0DC7">
        <w:rPr>
          <w:rFonts w:ascii="Times New Roman" w:hAnsi="Times New Roman" w:cs="Times New Roman"/>
          <w:b/>
          <w:i/>
          <w:szCs w:val="24"/>
        </w:rPr>
        <w:t xml:space="preserve"> LTA</w:t>
      </w:r>
      <w:r w:rsidRPr="008E0DC7">
        <w:rPr>
          <w:rFonts w:ascii="Times New Roman" w:hAnsi="Times New Roman" w:cs="Times New Roman"/>
          <w:b/>
          <w:i/>
          <w:szCs w:val="24"/>
          <w:vertAlign w:val="subscript"/>
        </w:rPr>
        <w:t>4</w:t>
      </w:r>
      <w:r w:rsidRPr="008E0DC7">
        <w:rPr>
          <w:rFonts w:ascii="Times New Roman" w:hAnsi="Times New Roman" w:cs="Times New Roman"/>
          <w:b/>
          <w:i/>
          <w:szCs w:val="24"/>
        </w:rPr>
        <w:t>H</w:t>
      </w:r>
      <w:r w:rsidRPr="008E0DC7">
        <w:rPr>
          <w:rFonts w:ascii="Times New Roman" w:hAnsi="Times New Roman" w:cs="Times New Roman"/>
          <w:b/>
          <w:szCs w:val="24"/>
        </w:rPr>
        <w:t xml:space="preserve"> expression in </w:t>
      </w:r>
      <w:r>
        <w:rPr>
          <w:rFonts w:ascii="Times New Roman" w:hAnsi="Times New Roman" w:cs="Times New Roman"/>
          <w:b/>
          <w:szCs w:val="24"/>
        </w:rPr>
        <w:t>whole blood</w:t>
      </w:r>
      <w:r w:rsidRPr="008E0DC7">
        <w:rPr>
          <w:rFonts w:ascii="Times New Roman" w:hAnsi="Times New Roman" w:cs="Times New Roman"/>
          <w:b/>
          <w:szCs w:val="24"/>
        </w:rPr>
        <w:t xml:space="preserve"> (beta=-0.</w:t>
      </w:r>
      <w:r>
        <w:rPr>
          <w:rFonts w:ascii="Times New Roman" w:hAnsi="Times New Roman" w:cs="Times New Roman"/>
          <w:b/>
          <w:szCs w:val="24"/>
        </w:rPr>
        <w:t>020</w:t>
      </w:r>
      <w:r w:rsidRPr="008E0DC7">
        <w:rPr>
          <w:rFonts w:ascii="Times New Roman" w:hAnsi="Times New Roman" w:cs="Times New Roman"/>
          <w:b/>
          <w:szCs w:val="24"/>
        </w:rPr>
        <w:t>, P-value=0.</w:t>
      </w:r>
      <w:r>
        <w:rPr>
          <w:rFonts w:ascii="Times New Roman" w:hAnsi="Times New Roman" w:cs="Times New Roman"/>
          <w:b/>
          <w:szCs w:val="24"/>
        </w:rPr>
        <w:t>46</w:t>
      </w:r>
      <w:r w:rsidRPr="008E0DC7">
        <w:rPr>
          <w:rFonts w:ascii="Times New Roman" w:hAnsi="Times New Roman" w:cs="Times New Roman"/>
          <w:b/>
          <w:szCs w:val="24"/>
        </w:rPr>
        <w:t>)</w:t>
      </w:r>
      <w:r>
        <w:rPr>
          <w:rFonts w:ascii="Times New Roman" w:hAnsi="Times New Roman" w:cs="Times New Roman"/>
          <w:b/>
          <w:szCs w:val="24"/>
        </w:rPr>
        <w:t>. (</w:t>
      </w:r>
      <w:proofErr w:type="spellStart"/>
      <w:r>
        <w:rPr>
          <w:rFonts w:ascii="Times New Roman" w:hAnsi="Times New Roman" w:cs="Times New Roman"/>
          <w:b/>
          <w:szCs w:val="24"/>
        </w:rPr>
        <w:t>GTEx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v8, </w:t>
      </w:r>
      <w:r>
        <w:rPr>
          <w:rFonts w:ascii="Times New Roman" w:hAnsi="Times New Roman" w:cs="Times New Roman"/>
          <w:b/>
          <w:szCs w:val="24"/>
        </w:rPr>
        <w:fldChar w:fldCharType="begin"/>
      </w:r>
      <w:r w:rsidR="001E7CFA">
        <w:rPr>
          <w:rFonts w:ascii="Times New Roman" w:hAnsi="Times New Roman" w:cs="Times New Roman"/>
          <w:b/>
          <w:szCs w:val="24"/>
        </w:rPr>
        <w:instrText xml:space="preserve"> ADDIN EN.CITE &lt;EndNote&gt;&lt;Cite&gt;&lt;Author&gt;Consortium&lt;/Author&gt;&lt;Year&gt;2015&lt;/Year&gt;&lt;RecNum&gt;44&lt;/RecNum&gt;&lt;DisplayText&gt;[3]&lt;/DisplayText&gt;&lt;record&gt;&lt;rec-number&gt;44&lt;/rec-number&gt;&lt;foreign-keys&gt;&lt;key app="EN" db-id="a05vs5t0bfxrxfepadyxvtrdepsxpv2wzw99" timestamp="1575283892"&gt;44&lt;/key&gt;&lt;/foreign-keys&gt;&lt;ref-type name="Journal Article"&gt;17&lt;/ref-type&gt;&lt;contributors&gt;&lt;authors&gt;&lt;author&gt;G. TEx Consortium&lt;/author&gt;&lt;/authors&gt;&lt;/contributors&gt;&lt;titles&gt;&lt;title&gt;The Genotype-Tissue Expression (GTEx) pilot analysis: multitissue gene regulation in humans&lt;/title&gt;&lt;secondary-title&gt;Science&lt;/secondary-title&gt;&lt;/titles&gt;&lt;periodical&gt;&lt;full-title&gt;Science&lt;/full-title&gt;&lt;/periodical&gt;&lt;pages&gt;648-660&lt;/pages&gt;&lt;volume&gt;348&lt;/volume&gt;&lt;number&gt;6235&lt;/number&gt;&lt;dates&gt;&lt;year&gt;2015&lt;/year&gt;&lt;/dates&gt;&lt;isbn&gt;0036-8075&lt;/isbn&gt;&lt;urls&gt;&lt;/urls&gt;&lt;/record&gt;&lt;/Cite&gt;&lt;/EndNote&gt;</w:instrText>
      </w:r>
      <w:r>
        <w:rPr>
          <w:rFonts w:ascii="Times New Roman" w:hAnsi="Times New Roman" w:cs="Times New Roman"/>
          <w:b/>
          <w:szCs w:val="24"/>
        </w:rPr>
        <w:fldChar w:fldCharType="separate"/>
      </w:r>
      <w:r w:rsidR="001E7CFA">
        <w:rPr>
          <w:rFonts w:ascii="Times New Roman" w:hAnsi="Times New Roman" w:cs="Times New Roman"/>
          <w:b/>
          <w:noProof/>
          <w:szCs w:val="24"/>
        </w:rPr>
        <w:t>[3]</w:t>
      </w:r>
      <w:r>
        <w:rPr>
          <w:rFonts w:ascii="Times New Roman" w:hAnsi="Times New Roman" w:cs="Times New Roman"/>
          <w:b/>
          <w:szCs w:val="24"/>
        </w:rPr>
        <w:fldChar w:fldCharType="end"/>
      </w:r>
      <w:r>
        <w:rPr>
          <w:rFonts w:ascii="Times New Roman" w:hAnsi="Times New Roman" w:cs="Times New Roman"/>
          <w:b/>
          <w:szCs w:val="24"/>
        </w:rPr>
        <w:t>)</w:t>
      </w:r>
    </w:p>
    <w:p w14:paraId="2E00EAFE" w14:textId="77777777" w:rsidR="00D32E0E" w:rsidRDefault="00D32E0E">
      <w:pPr>
        <w:rPr>
          <w:b/>
        </w:rPr>
      </w:pPr>
    </w:p>
    <w:p w14:paraId="2E00EAFF" w14:textId="77777777" w:rsidR="00642FD6" w:rsidRPr="00F66086" w:rsidRDefault="00642FD6" w:rsidP="00642FD6">
      <w:pPr>
        <w:rPr>
          <w:b/>
        </w:rPr>
      </w:pPr>
    </w:p>
    <w:p w14:paraId="2E00EB03" w14:textId="77777777" w:rsidR="00642FD6" w:rsidRPr="00430826" w:rsidRDefault="00642FD6" w:rsidP="00642FD6">
      <w:pPr>
        <w:rPr>
          <w:rFonts w:ascii="Times New Roman" w:hAnsi="Times New Roman" w:cs="Times New Roman"/>
        </w:rPr>
      </w:pPr>
    </w:p>
    <w:p w14:paraId="2E00EB04" w14:textId="77777777" w:rsidR="00642FD6" w:rsidRPr="007C2B60" w:rsidRDefault="00642FD6" w:rsidP="00642FD6">
      <w:pPr>
        <w:spacing w:after="0" w:line="240" w:lineRule="auto"/>
        <w:rPr>
          <w:rFonts w:ascii="Times New Roman" w:hAnsi="Times New Roman" w:cs="Times New Roman"/>
        </w:rPr>
      </w:pPr>
      <w:r w:rsidRPr="00430826">
        <w:rPr>
          <w:rFonts w:ascii="Times New Roman" w:hAnsi="Times New Roman" w:cs="Times New Roman"/>
        </w:rPr>
        <w:br w:type="page"/>
      </w:r>
    </w:p>
    <w:p w14:paraId="2E00EB05" w14:textId="77777777" w:rsidR="00642FD6" w:rsidRPr="00CE7AF9" w:rsidRDefault="00642FD6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CE7AF9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References</w:t>
      </w:r>
      <w:bookmarkEnd w:id="0"/>
    </w:p>
    <w:p w14:paraId="2E00EB06" w14:textId="77777777" w:rsidR="00642FD6" w:rsidRDefault="00642FD6"/>
    <w:p w14:paraId="1D40BBBE" w14:textId="77777777" w:rsidR="001E7CFA" w:rsidRPr="001E7CFA" w:rsidRDefault="00642FD6" w:rsidP="001E7CFA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1E7CFA" w:rsidRPr="001E7CFA">
        <w:t>1.</w:t>
      </w:r>
      <w:r w:rsidR="001E7CFA" w:rsidRPr="001E7CFA">
        <w:tab/>
        <w:t>Zhernakova DV, Deelen P, Vermaat M, Van Iterson M, Van Galen M, Arindrarto W, Van't Hof P, Mei H, Van Dijk F, Westra H-JJNg. Identification of context-dependent expression quantitative trait loci in whole blood. 2017: 49(1): 139.</w:t>
      </w:r>
    </w:p>
    <w:p w14:paraId="49FE4BD4" w14:textId="77777777" w:rsidR="001E7CFA" w:rsidRPr="001E7CFA" w:rsidRDefault="001E7CFA" w:rsidP="001E7CFA">
      <w:pPr>
        <w:pStyle w:val="EndNoteBibliography"/>
        <w:spacing w:after="0"/>
      </w:pPr>
      <w:r w:rsidRPr="001E7CFA">
        <w:t>2.</w:t>
      </w:r>
      <w:r w:rsidRPr="001E7CFA">
        <w:tab/>
        <w:t>Võsa U, Claringbould A, Westra H-J, Bonder MJ, Deelen P, Zeng B, Kirsten H, Saha A, Kreuzhuber R, Kasela SJb. Unraveling the polygenic architecture of complex traits using blood eQTL meta-analysis. 2018: 447367.</w:t>
      </w:r>
    </w:p>
    <w:p w14:paraId="29C674F7" w14:textId="77777777" w:rsidR="001E7CFA" w:rsidRPr="001E7CFA" w:rsidRDefault="001E7CFA" w:rsidP="001E7CFA">
      <w:pPr>
        <w:pStyle w:val="EndNoteBibliography"/>
      </w:pPr>
      <w:r w:rsidRPr="001E7CFA">
        <w:t>3.</w:t>
      </w:r>
      <w:r w:rsidRPr="001E7CFA">
        <w:tab/>
        <w:t xml:space="preserve">Consortium GT. The Genotype-Tissue Expression (GTEx) pilot analysis: multitissue gene regulation in humans. </w:t>
      </w:r>
      <w:r w:rsidRPr="001E7CFA">
        <w:rPr>
          <w:i/>
        </w:rPr>
        <w:t xml:space="preserve">Science </w:t>
      </w:r>
      <w:r w:rsidRPr="001E7CFA">
        <w:t>2015: 348(6235): 648-660.</w:t>
      </w:r>
    </w:p>
    <w:p w14:paraId="10A0C68D" w14:textId="6FEF5D82" w:rsidR="00533F59" w:rsidRDefault="00642FD6" w:rsidP="00560301">
      <w:pPr>
        <w:rPr>
          <w:rFonts w:ascii="Consolas" w:hAnsi="Consolas" w:cs="Consolas"/>
        </w:rPr>
      </w:pPr>
      <w:r>
        <w:fldChar w:fldCharType="end"/>
      </w:r>
    </w:p>
    <w:p w14:paraId="13B84D6B" w14:textId="567EFA02" w:rsidR="00C75232" w:rsidRDefault="00C75232" w:rsidP="00533F59"/>
    <w:sectPr w:rsidR="00C75232" w:rsidSect="0065150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31C4" w14:textId="77777777" w:rsidR="00A56DA5" w:rsidRDefault="00A56DA5">
      <w:pPr>
        <w:spacing w:after="0" w:line="240" w:lineRule="auto"/>
      </w:pPr>
      <w:r>
        <w:separator/>
      </w:r>
    </w:p>
  </w:endnote>
  <w:endnote w:type="continuationSeparator" w:id="0">
    <w:p w14:paraId="62224C94" w14:textId="77777777" w:rsidR="00A56DA5" w:rsidRDefault="00A5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B1B" w14:textId="77777777" w:rsidR="00312C10" w:rsidRDefault="00560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B1C" w14:textId="77777777" w:rsidR="00312C10" w:rsidRDefault="005603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B1E" w14:textId="77777777" w:rsidR="00312C10" w:rsidRDefault="00560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CBDB" w14:textId="77777777" w:rsidR="00A56DA5" w:rsidRDefault="00A56DA5">
      <w:pPr>
        <w:spacing w:after="0" w:line="240" w:lineRule="auto"/>
      </w:pPr>
      <w:r>
        <w:separator/>
      </w:r>
    </w:p>
  </w:footnote>
  <w:footnote w:type="continuationSeparator" w:id="0">
    <w:p w14:paraId="3F68F9F4" w14:textId="77777777" w:rsidR="00A56DA5" w:rsidRDefault="00A5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B19" w14:textId="77777777" w:rsidR="00312C10" w:rsidRDefault="00560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B1A" w14:textId="77777777" w:rsidR="00312C10" w:rsidRDefault="005603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EB1D" w14:textId="77777777" w:rsidR="00312C10" w:rsidRDefault="005603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uro Respiratory 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642FD6"/>
    <w:rsid w:val="00016B07"/>
    <w:rsid w:val="000336B8"/>
    <w:rsid w:val="00036618"/>
    <w:rsid w:val="00060B70"/>
    <w:rsid w:val="00065E07"/>
    <w:rsid w:val="00082660"/>
    <w:rsid w:val="000B5AF0"/>
    <w:rsid w:val="000F6890"/>
    <w:rsid w:val="001116DB"/>
    <w:rsid w:val="00117D5E"/>
    <w:rsid w:val="0014523B"/>
    <w:rsid w:val="001568AC"/>
    <w:rsid w:val="001613DE"/>
    <w:rsid w:val="0018043F"/>
    <w:rsid w:val="001973B5"/>
    <w:rsid w:val="001C393D"/>
    <w:rsid w:val="001E2866"/>
    <w:rsid w:val="001E5378"/>
    <w:rsid w:val="001E7CFA"/>
    <w:rsid w:val="001F1179"/>
    <w:rsid w:val="002131A5"/>
    <w:rsid w:val="002316C2"/>
    <w:rsid w:val="00246076"/>
    <w:rsid w:val="00275B8B"/>
    <w:rsid w:val="00285815"/>
    <w:rsid w:val="002A7786"/>
    <w:rsid w:val="002D723D"/>
    <w:rsid w:val="002F1381"/>
    <w:rsid w:val="002F2A4F"/>
    <w:rsid w:val="002F5C1F"/>
    <w:rsid w:val="002F6439"/>
    <w:rsid w:val="003223F2"/>
    <w:rsid w:val="0033245C"/>
    <w:rsid w:val="00333E9D"/>
    <w:rsid w:val="0033468E"/>
    <w:rsid w:val="00343545"/>
    <w:rsid w:val="00364EA0"/>
    <w:rsid w:val="00366E30"/>
    <w:rsid w:val="003853E6"/>
    <w:rsid w:val="003A74D3"/>
    <w:rsid w:val="003C46D8"/>
    <w:rsid w:val="003F4C33"/>
    <w:rsid w:val="003F7C74"/>
    <w:rsid w:val="00431DAA"/>
    <w:rsid w:val="004379D5"/>
    <w:rsid w:val="00467C1C"/>
    <w:rsid w:val="00485009"/>
    <w:rsid w:val="005004E2"/>
    <w:rsid w:val="0050098C"/>
    <w:rsid w:val="00533F59"/>
    <w:rsid w:val="00560301"/>
    <w:rsid w:val="00573E3F"/>
    <w:rsid w:val="00575B32"/>
    <w:rsid w:val="005C3943"/>
    <w:rsid w:val="0061338F"/>
    <w:rsid w:val="00626B33"/>
    <w:rsid w:val="00642FD6"/>
    <w:rsid w:val="006476DB"/>
    <w:rsid w:val="006837BE"/>
    <w:rsid w:val="006B4700"/>
    <w:rsid w:val="006B6766"/>
    <w:rsid w:val="006B6DA0"/>
    <w:rsid w:val="006D1CBB"/>
    <w:rsid w:val="007173DD"/>
    <w:rsid w:val="00725006"/>
    <w:rsid w:val="007331DD"/>
    <w:rsid w:val="00740320"/>
    <w:rsid w:val="00766E81"/>
    <w:rsid w:val="007C05F2"/>
    <w:rsid w:val="007D6B0A"/>
    <w:rsid w:val="007E21B7"/>
    <w:rsid w:val="00806270"/>
    <w:rsid w:val="00813A7D"/>
    <w:rsid w:val="00831F25"/>
    <w:rsid w:val="00854CBE"/>
    <w:rsid w:val="00882666"/>
    <w:rsid w:val="00883DF3"/>
    <w:rsid w:val="00894741"/>
    <w:rsid w:val="008A1C4B"/>
    <w:rsid w:val="008B010B"/>
    <w:rsid w:val="008E65BA"/>
    <w:rsid w:val="008E7172"/>
    <w:rsid w:val="008F2BC4"/>
    <w:rsid w:val="009131F7"/>
    <w:rsid w:val="0093372B"/>
    <w:rsid w:val="009E6DBE"/>
    <w:rsid w:val="009F1489"/>
    <w:rsid w:val="00A00CFE"/>
    <w:rsid w:val="00A4344D"/>
    <w:rsid w:val="00A56DA5"/>
    <w:rsid w:val="00A57745"/>
    <w:rsid w:val="00A921AF"/>
    <w:rsid w:val="00AA464E"/>
    <w:rsid w:val="00AA6A55"/>
    <w:rsid w:val="00AD539B"/>
    <w:rsid w:val="00AE3C65"/>
    <w:rsid w:val="00AE7D83"/>
    <w:rsid w:val="00AF675C"/>
    <w:rsid w:val="00AF75C6"/>
    <w:rsid w:val="00B15BBD"/>
    <w:rsid w:val="00B50AA8"/>
    <w:rsid w:val="00BA5DCC"/>
    <w:rsid w:val="00BC4722"/>
    <w:rsid w:val="00BE29AF"/>
    <w:rsid w:val="00C231D5"/>
    <w:rsid w:val="00C307BA"/>
    <w:rsid w:val="00C328BB"/>
    <w:rsid w:val="00C32AB6"/>
    <w:rsid w:val="00C45579"/>
    <w:rsid w:val="00C547D8"/>
    <w:rsid w:val="00C61BE9"/>
    <w:rsid w:val="00C75232"/>
    <w:rsid w:val="00C77762"/>
    <w:rsid w:val="00C82A12"/>
    <w:rsid w:val="00CA5C8B"/>
    <w:rsid w:val="00CD1614"/>
    <w:rsid w:val="00CE1720"/>
    <w:rsid w:val="00CE3168"/>
    <w:rsid w:val="00CE5114"/>
    <w:rsid w:val="00CE7AF9"/>
    <w:rsid w:val="00D02F73"/>
    <w:rsid w:val="00D32E0E"/>
    <w:rsid w:val="00D9188E"/>
    <w:rsid w:val="00DE6714"/>
    <w:rsid w:val="00DF4801"/>
    <w:rsid w:val="00E17D43"/>
    <w:rsid w:val="00E2230D"/>
    <w:rsid w:val="00E4539F"/>
    <w:rsid w:val="00E54D2C"/>
    <w:rsid w:val="00E747D3"/>
    <w:rsid w:val="00E762B6"/>
    <w:rsid w:val="00E853C0"/>
    <w:rsid w:val="00EB28AA"/>
    <w:rsid w:val="00EC2C00"/>
    <w:rsid w:val="00F21892"/>
    <w:rsid w:val="00F341C9"/>
    <w:rsid w:val="00F552C3"/>
    <w:rsid w:val="00FA20F5"/>
    <w:rsid w:val="00FA4361"/>
    <w:rsid w:val="00FB3ABB"/>
    <w:rsid w:val="00FB5E93"/>
    <w:rsid w:val="00FC534F"/>
    <w:rsid w:val="00FD2587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00E952"/>
  <w15:chartTrackingRefBased/>
  <w15:docId w15:val="{67C28C2F-9504-4FBC-A8D2-BD2345EB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D6"/>
  </w:style>
  <w:style w:type="paragraph" w:styleId="Heading1">
    <w:name w:val="heading 1"/>
    <w:basedOn w:val="Normal"/>
    <w:next w:val="Normal"/>
    <w:link w:val="Heading1Char"/>
    <w:uiPriority w:val="9"/>
    <w:qFormat/>
    <w:rsid w:val="00642F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F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642F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4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64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qFormat/>
    <w:rsid w:val="00642FD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642FD6"/>
    <w:rPr>
      <w:rFonts w:ascii="Calibri" w:hAnsi="Calibri" w:cs="Calibri"/>
      <w:noProof/>
      <w:lang w:val="en-US"/>
    </w:rPr>
  </w:style>
  <w:style w:type="table" w:styleId="PlainTable2">
    <w:name w:val="Plain Table 2"/>
    <w:basedOn w:val="TableNormal"/>
    <w:uiPriority w:val="42"/>
    <w:rsid w:val="00642F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4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642FD6"/>
  </w:style>
  <w:style w:type="paragraph" w:styleId="Footer">
    <w:name w:val="footer"/>
    <w:basedOn w:val="Normal"/>
    <w:link w:val="FooterChar"/>
    <w:uiPriority w:val="99"/>
    <w:unhideWhenUsed/>
    <w:rsid w:val="00642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642FD6"/>
  </w:style>
  <w:style w:type="paragraph" w:styleId="BalloonText">
    <w:name w:val="Balloon Text"/>
    <w:basedOn w:val="Normal"/>
    <w:link w:val="BalloonTextChar"/>
    <w:uiPriority w:val="99"/>
    <w:semiHidden/>
    <w:unhideWhenUsed/>
    <w:rsid w:val="0064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FD6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642FD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Heading2Char"/>
    <w:link w:val="EndNoteBibliographyTitle"/>
    <w:rsid w:val="00642FD6"/>
    <w:rPr>
      <w:rFonts w:ascii="Calibri" w:eastAsiaTheme="majorEastAsia" w:hAnsi="Calibri" w:cs="Calibri"/>
      <w:noProof/>
      <w:color w:val="2F5496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42F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D2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5D1DB6D2F964691A6994029C344A5" ma:contentTypeVersion="12" ma:contentTypeDescription="Create a new document." ma:contentTypeScope="" ma:versionID="6a5e0b7460244821419f419ec1a903bb">
  <xsd:schema xmlns:xsd="http://www.w3.org/2001/XMLSchema" xmlns:xs="http://www.w3.org/2001/XMLSchema" xmlns:p="http://schemas.microsoft.com/office/2006/metadata/properties" xmlns:ns3="44a56295-c29e-4898-8136-a54736c65b82" xmlns:ns4="0a5299c4-3e67-486a-84dd-d30f66ba100e" xmlns:ns5="535c5944-1297-42db-a282-dfa9a6bc547c" targetNamespace="http://schemas.microsoft.com/office/2006/metadata/properties" ma:root="true" ma:fieldsID="b076439c9144b3eeb7a5f74eb62de08a" ns3:_="" ns4:_="" ns5:_="">
    <xsd:import namespace="44a56295-c29e-4898-8136-a54736c65b82"/>
    <xsd:import namespace="0a5299c4-3e67-486a-84dd-d30f66ba100e"/>
    <xsd:import namespace="535c5944-1297-42db-a282-dfa9a6bc547c"/>
    <xsd:element name="properties">
      <xsd:complexType>
        <xsd:sequence>
          <xsd:element name="documentManagement">
            <xsd:complexType>
              <xsd:all>
                <xsd:element ref="ns3:Descriptions" minOccurs="0"/>
                <xsd:element ref="ns3:Keywor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haredWithUsers" minOccurs="0"/>
                <xsd:element ref="ns4:SharedWithDetails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56295-c29e-4898-8136-a54736c65b82" elementFormDefault="qualified">
    <xsd:import namespace="http://schemas.microsoft.com/office/2006/documentManagement/types"/>
    <xsd:import namespace="http://schemas.microsoft.com/office/infopath/2007/PartnerControls"/>
    <xsd:element name="Descriptions" ma:index="8" nillable="true" ma:displayName="Descriptions" ma:description="Describe your document to make it appear at the top of search results" ma:internalName="Descriptions">
      <xsd:simpleType>
        <xsd:restriction base="dms:Note">
          <xsd:maxLength value="255"/>
        </xsd:restriction>
      </xsd:simpleType>
    </xsd:element>
    <xsd:element name="Keyword" ma:index="9" nillable="true" ma:displayName="Keyword" ma:description="Enter list of terms separated by semi-colon(;)" ma:internalName="Key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299c4-3e67-486a-84dd-d30f66ba100e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c5944-1297-42db-a282-dfa9a6bc5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 xmlns="44a56295-c29e-4898-8136-a54736c65b82" xsi:nil="true"/>
    <Descriptions xmlns="44a56295-c29e-4898-8136-a54736c65b82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ee89e71-04cd-405e-9ca3-99e020c1694d" ContentTypeId="0x0101" PreviousValue="false"/>
</file>

<file path=customXml/itemProps1.xml><?xml version="1.0" encoding="utf-8"?>
<ds:datastoreItem xmlns:ds="http://schemas.openxmlformats.org/officeDocument/2006/customXml" ds:itemID="{DCDC12B0-0D20-4DB9-9B10-FCC859DC6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56295-c29e-4898-8136-a54736c65b82"/>
    <ds:schemaRef ds:uri="0a5299c4-3e67-486a-84dd-d30f66ba100e"/>
    <ds:schemaRef ds:uri="535c5944-1297-42db-a282-dfa9a6bc5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6618A-0986-480F-8460-79B556CC14CE}">
  <ds:schemaRefs>
    <ds:schemaRef ds:uri="http://schemas.microsoft.com/office/2006/metadata/properties"/>
    <ds:schemaRef ds:uri="http://schemas.microsoft.com/office/infopath/2007/PartnerControls"/>
    <ds:schemaRef ds:uri="44a56295-c29e-4898-8136-a54736c65b82"/>
  </ds:schemaRefs>
</ds:datastoreItem>
</file>

<file path=customXml/itemProps3.xml><?xml version="1.0" encoding="utf-8"?>
<ds:datastoreItem xmlns:ds="http://schemas.openxmlformats.org/officeDocument/2006/customXml" ds:itemID="{2EA97D37-B78D-4DC3-A782-ACC9DE70A6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B86E0-827F-4711-93F3-72E1CFA78A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11412E9-F800-44B3-9203-43B05A0E99F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11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Maroteau, Cyrielle</dc:creator>
  <cp:keywords/>
  <dc:description/>
  <cp:lastModifiedBy>chn off28</cp:lastModifiedBy>
  <cp:revision>45</cp:revision>
  <dcterms:created xsi:type="dcterms:W3CDTF">2020-02-28T23:19:00Z</dcterms:created>
  <dcterms:modified xsi:type="dcterms:W3CDTF">2021-09-14T02:33:00Z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0x010100D995D1DB6D2F964691A6994029C344A5</vt:lpwstr>
  </property>
</Properties>
</file>