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8"/>
        <w:gridCol w:w="921"/>
        <w:gridCol w:w="878"/>
        <w:gridCol w:w="867"/>
        <w:gridCol w:w="878"/>
        <w:gridCol w:w="921"/>
        <w:gridCol w:w="878"/>
        <w:gridCol w:w="867"/>
        <w:gridCol w:w="878"/>
        <w:gridCol w:w="921"/>
        <w:gridCol w:w="878"/>
        <w:gridCol w:w="867"/>
        <w:gridCol w:w="878"/>
      </w:tblGrid>
      <w:tr w:rsidR="00DA0D60" w:rsidRPr="00591E1A" w14:paraId="1F161CDA" w14:textId="77777777" w:rsidTr="00FC4353">
        <w:trPr>
          <w:trHeight w:val="285"/>
        </w:trPr>
        <w:tc>
          <w:tcPr>
            <w:tcW w:w="2318" w:type="dxa"/>
            <w:noWrap/>
            <w:hideMark/>
          </w:tcPr>
          <w:p w14:paraId="1F161CD6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</w:p>
        </w:tc>
        <w:tc>
          <w:tcPr>
            <w:tcW w:w="3544" w:type="dxa"/>
            <w:gridSpan w:val="4"/>
            <w:vAlign w:val="center"/>
            <w:hideMark/>
          </w:tcPr>
          <w:p w14:paraId="1F161CD7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Height (cm)</w:t>
            </w:r>
          </w:p>
        </w:tc>
        <w:tc>
          <w:tcPr>
            <w:tcW w:w="3544" w:type="dxa"/>
            <w:gridSpan w:val="4"/>
            <w:vAlign w:val="center"/>
            <w:hideMark/>
          </w:tcPr>
          <w:p w14:paraId="1F161CD8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Height-for-age z-score</w:t>
            </w:r>
          </w:p>
        </w:tc>
        <w:tc>
          <w:tcPr>
            <w:tcW w:w="3544" w:type="dxa"/>
            <w:gridSpan w:val="4"/>
            <w:vAlign w:val="center"/>
            <w:hideMark/>
          </w:tcPr>
          <w:p w14:paraId="1F161CD9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Stunting (HAZ&lt;-2)</w:t>
            </w:r>
          </w:p>
        </w:tc>
      </w:tr>
      <w:tr w:rsidR="00FC4353" w:rsidRPr="00591E1A" w14:paraId="1F161CE8" w14:textId="77777777" w:rsidTr="00FC4353">
        <w:trPr>
          <w:trHeight w:val="298"/>
        </w:trPr>
        <w:tc>
          <w:tcPr>
            <w:tcW w:w="2318" w:type="dxa"/>
            <w:vMerge w:val="restart"/>
            <w:noWrap/>
            <w:vAlign w:val="center"/>
          </w:tcPr>
          <w:p w14:paraId="1F161CDB" w14:textId="77777777" w:rsidR="00DA0D60" w:rsidRPr="00591E1A" w:rsidRDefault="00DA0D60" w:rsidP="00476CE8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Period</w:t>
            </w:r>
          </w:p>
        </w:tc>
        <w:tc>
          <w:tcPr>
            <w:tcW w:w="921" w:type="dxa"/>
            <w:vAlign w:val="center"/>
          </w:tcPr>
          <w:p w14:paraId="1F161CDC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(1)</w:t>
            </w:r>
          </w:p>
        </w:tc>
        <w:tc>
          <w:tcPr>
            <w:tcW w:w="878" w:type="dxa"/>
            <w:vAlign w:val="center"/>
          </w:tcPr>
          <w:p w14:paraId="1F161CDD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(2)</w:t>
            </w:r>
          </w:p>
        </w:tc>
        <w:tc>
          <w:tcPr>
            <w:tcW w:w="867" w:type="dxa"/>
            <w:vAlign w:val="center"/>
          </w:tcPr>
          <w:p w14:paraId="1F161CDE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(3)</w:t>
            </w:r>
          </w:p>
        </w:tc>
        <w:tc>
          <w:tcPr>
            <w:tcW w:w="878" w:type="dxa"/>
            <w:vAlign w:val="center"/>
          </w:tcPr>
          <w:p w14:paraId="1F161CDF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(4)</w:t>
            </w:r>
          </w:p>
        </w:tc>
        <w:tc>
          <w:tcPr>
            <w:tcW w:w="921" w:type="dxa"/>
            <w:vAlign w:val="center"/>
          </w:tcPr>
          <w:p w14:paraId="1F161CE0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(5)</w:t>
            </w:r>
          </w:p>
        </w:tc>
        <w:tc>
          <w:tcPr>
            <w:tcW w:w="878" w:type="dxa"/>
            <w:vAlign w:val="center"/>
          </w:tcPr>
          <w:p w14:paraId="1F161CE1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(6)</w:t>
            </w:r>
          </w:p>
        </w:tc>
        <w:tc>
          <w:tcPr>
            <w:tcW w:w="867" w:type="dxa"/>
            <w:vAlign w:val="center"/>
          </w:tcPr>
          <w:p w14:paraId="1F161CE2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(7)</w:t>
            </w:r>
          </w:p>
        </w:tc>
        <w:tc>
          <w:tcPr>
            <w:tcW w:w="878" w:type="dxa"/>
            <w:vAlign w:val="center"/>
          </w:tcPr>
          <w:p w14:paraId="1F161CE3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(8)</w:t>
            </w:r>
          </w:p>
        </w:tc>
        <w:tc>
          <w:tcPr>
            <w:tcW w:w="921" w:type="dxa"/>
            <w:vAlign w:val="center"/>
          </w:tcPr>
          <w:p w14:paraId="1F161CE4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(9)</w:t>
            </w:r>
          </w:p>
        </w:tc>
        <w:tc>
          <w:tcPr>
            <w:tcW w:w="878" w:type="dxa"/>
            <w:vAlign w:val="center"/>
          </w:tcPr>
          <w:p w14:paraId="1F161CE5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(10)</w:t>
            </w:r>
          </w:p>
        </w:tc>
        <w:tc>
          <w:tcPr>
            <w:tcW w:w="867" w:type="dxa"/>
            <w:vAlign w:val="center"/>
          </w:tcPr>
          <w:p w14:paraId="1F161CE6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(11)</w:t>
            </w:r>
          </w:p>
        </w:tc>
        <w:tc>
          <w:tcPr>
            <w:tcW w:w="878" w:type="dxa"/>
            <w:vAlign w:val="center"/>
          </w:tcPr>
          <w:p w14:paraId="1F161CE7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(12)</w:t>
            </w:r>
          </w:p>
        </w:tc>
      </w:tr>
      <w:tr w:rsidR="00FC4353" w:rsidRPr="00591E1A" w14:paraId="1F161CF6" w14:textId="77777777" w:rsidTr="00FC4353">
        <w:trPr>
          <w:trHeight w:val="1440"/>
        </w:trPr>
        <w:tc>
          <w:tcPr>
            <w:tcW w:w="2318" w:type="dxa"/>
            <w:vMerge/>
            <w:noWrap/>
            <w:vAlign w:val="center"/>
            <w:hideMark/>
          </w:tcPr>
          <w:p w14:paraId="1F161CE9" w14:textId="77777777" w:rsidR="00DA0D60" w:rsidRPr="00591E1A" w:rsidRDefault="00DA0D60" w:rsidP="00476CE8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</w:p>
        </w:tc>
        <w:tc>
          <w:tcPr>
            <w:tcW w:w="921" w:type="dxa"/>
            <w:hideMark/>
          </w:tcPr>
          <w:p w14:paraId="1F161CEA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Absolute change (cm)</w:t>
            </w:r>
          </w:p>
        </w:tc>
        <w:tc>
          <w:tcPr>
            <w:tcW w:w="878" w:type="dxa"/>
            <w:hideMark/>
          </w:tcPr>
          <w:p w14:paraId="1F161CEB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Average annual absolute change (cm)</w:t>
            </w:r>
          </w:p>
        </w:tc>
        <w:tc>
          <w:tcPr>
            <w:tcW w:w="867" w:type="dxa"/>
            <w:hideMark/>
          </w:tcPr>
          <w:p w14:paraId="1F161CEC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Relative change (%)</w:t>
            </w:r>
          </w:p>
        </w:tc>
        <w:tc>
          <w:tcPr>
            <w:tcW w:w="878" w:type="dxa"/>
            <w:hideMark/>
          </w:tcPr>
          <w:p w14:paraId="1F161CED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Average annual relative change (%)</w:t>
            </w:r>
          </w:p>
        </w:tc>
        <w:tc>
          <w:tcPr>
            <w:tcW w:w="921" w:type="dxa"/>
            <w:hideMark/>
          </w:tcPr>
          <w:p w14:paraId="1F161CEE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Absolute change</w:t>
            </w:r>
          </w:p>
        </w:tc>
        <w:tc>
          <w:tcPr>
            <w:tcW w:w="878" w:type="dxa"/>
            <w:hideMark/>
          </w:tcPr>
          <w:p w14:paraId="1F161CEF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Average annual absolute change</w:t>
            </w:r>
          </w:p>
        </w:tc>
        <w:tc>
          <w:tcPr>
            <w:tcW w:w="867" w:type="dxa"/>
            <w:hideMark/>
          </w:tcPr>
          <w:p w14:paraId="1F161CF0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Relative change (%)</w:t>
            </w:r>
          </w:p>
        </w:tc>
        <w:tc>
          <w:tcPr>
            <w:tcW w:w="878" w:type="dxa"/>
            <w:hideMark/>
          </w:tcPr>
          <w:p w14:paraId="1F161CF1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Average annual relative change (%)</w:t>
            </w:r>
          </w:p>
        </w:tc>
        <w:tc>
          <w:tcPr>
            <w:tcW w:w="921" w:type="dxa"/>
            <w:hideMark/>
          </w:tcPr>
          <w:p w14:paraId="1F161CF2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Absolute change (pp)</w:t>
            </w:r>
          </w:p>
        </w:tc>
        <w:tc>
          <w:tcPr>
            <w:tcW w:w="878" w:type="dxa"/>
            <w:hideMark/>
          </w:tcPr>
          <w:p w14:paraId="1F161CF3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Average annual absolute change (pp)</w:t>
            </w:r>
          </w:p>
        </w:tc>
        <w:tc>
          <w:tcPr>
            <w:tcW w:w="867" w:type="dxa"/>
            <w:hideMark/>
          </w:tcPr>
          <w:p w14:paraId="1F161CF4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Relative change (%)</w:t>
            </w:r>
          </w:p>
        </w:tc>
        <w:tc>
          <w:tcPr>
            <w:tcW w:w="878" w:type="dxa"/>
            <w:hideMark/>
          </w:tcPr>
          <w:p w14:paraId="1F161CF5" w14:textId="77777777" w:rsidR="00DA0D60" w:rsidRPr="00591E1A" w:rsidRDefault="00DA0D60" w:rsidP="00476CE8">
            <w:pPr>
              <w:spacing w:line="48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Average annual relative change (%)</w:t>
            </w:r>
          </w:p>
        </w:tc>
      </w:tr>
      <w:tr w:rsidR="00FC4353" w:rsidRPr="00591E1A" w14:paraId="1F161D04" w14:textId="77777777" w:rsidTr="00FC4353">
        <w:trPr>
          <w:trHeight w:val="1518"/>
        </w:trPr>
        <w:tc>
          <w:tcPr>
            <w:tcW w:w="2318" w:type="dxa"/>
            <w:noWrap/>
            <w:vAlign w:val="center"/>
            <w:hideMark/>
          </w:tcPr>
          <w:p w14:paraId="1F161CF7" w14:textId="77777777" w:rsidR="00DA0D60" w:rsidRPr="00591E1A" w:rsidRDefault="00DA0D60" w:rsidP="00476CE8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Early Adolescence (10-14)</w:t>
            </w:r>
          </w:p>
        </w:tc>
        <w:tc>
          <w:tcPr>
            <w:tcW w:w="921" w:type="dxa"/>
            <w:noWrap/>
            <w:vAlign w:val="center"/>
            <w:hideMark/>
          </w:tcPr>
          <w:p w14:paraId="1F161CF8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13,10</w:t>
            </w:r>
          </w:p>
        </w:tc>
        <w:tc>
          <w:tcPr>
            <w:tcW w:w="878" w:type="dxa"/>
            <w:noWrap/>
            <w:vAlign w:val="center"/>
            <w:hideMark/>
          </w:tcPr>
          <w:p w14:paraId="1F161CF9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3,28</w:t>
            </w:r>
          </w:p>
        </w:tc>
        <w:tc>
          <w:tcPr>
            <w:tcW w:w="867" w:type="dxa"/>
            <w:noWrap/>
            <w:vAlign w:val="center"/>
            <w:hideMark/>
          </w:tcPr>
          <w:p w14:paraId="1F161CFA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9,53</w:t>
            </w:r>
          </w:p>
        </w:tc>
        <w:tc>
          <w:tcPr>
            <w:tcW w:w="878" w:type="dxa"/>
            <w:noWrap/>
            <w:vAlign w:val="center"/>
            <w:hideMark/>
          </w:tcPr>
          <w:p w14:paraId="1F161CFB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2,30</w:t>
            </w:r>
          </w:p>
        </w:tc>
        <w:tc>
          <w:tcPr>
            <w:tcW w:w="921" w:type="dxa"/>
            <w:vAlign w:val="center"/>
            <w:hideMark/>
          </w:tcPr>
          <w:p w14:paraId="1F161CFC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-0,82</w:t>
            </w:r>
          </w:p>
        </w:tc>
        <w:tc>
          <w:tcPr>
            <w:tcW w:w="878" w:type="dxa"/>
            <w:vAlign w:val="center"/>
            <w:hideMark/>
          </w:tcPr>
          <w:p w14:paraId="1F161CFD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-0,21</w:t>
            </w:r>
          </w:p>
        </w:tc>
        <w:tc>
          <w:tcPr>
            <w:tcW w:w="867" w:type="dxa"/>
            <w:vAlign w:val="center"/>
            <w:hideMark/>
          </w:tcPr>
          <w:p w14:paraId="1F161CFE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-124,61</w:t>
            </w:r>
          </w:p>
        </w:tc>
        <w:tc>
          <w:tcPr>
            <w:tcW w:w="878" w:type="dxa"/>
            <w:vAlign w:val="center"/>
            <w:hideMark/>
          </w:tcPr>
          <w:p w14:paraId="1F161CFF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-23,62</w:t>
            </w:r>
          </w:p>
        </w:tc>
        <w:tc>
          <w:tcPr>
            <w:tcW w:w="921" w:type="dxa"/>
            <w:noWrap/>
            <w:vAlign w:val="center"/>
            <w:hideMark/>
          </w:tcPr>
          <w:p w14:paraId="1F161D00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15,46</w:t>
            </w:r>
          </w:p>
        </w:tc>
        <w:tc>
          <w:tcPr>
            <w:tcW w:w="878" w:type="dxa"/>
            <w:noWrap/>
            <w:vAlign w:val="center"/>
            <w:hideMark/>
          </w:tcPr>
          <w:p w14:paraId="1F161D01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3,87</w:t>
            </w:r>
          </w:p>
        </w:tc>
        <w:tc>
          <w:tcPr>
            <w:tcW w:w="867" w:type="dxa"/>
            <w:noWrap/>
            <w:vAlign w:val="center"/>
            <w:hideMark/>
          </w:tcPr>
          <w:p w14:paraId="1F161D02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177,92</w:t>
            </w:r>
          </w:p>
        </w:tc>
        <w:tc>
          <w:tcPr>
            <w:tcW w:w="878" w:type="dxa"/>
            <w:noWrap/>
            <w:vAlign w:val="center"/>
            <w:hideMark/>
          </w:tcPr>
          <w:p w14:paraId="1F161D03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32,78</w:t>
            </w:r>
          </w:p>
        </w:tc>
      </w:tr>
      <w:tr w:rsidR="00FC4353" w:rsidRPr="00591E1A" w14:paraId="1F161D12" w14:textId="77777777" w:rsidTr="00FC4353">
        <w:trPr>
          <w:trHeight w:val="1518"/>
        </w:trPr>
        <w:tc>
          <w:tcPr>
            <w:tcW w:w="2318" w:type="dxa"/>
            <w:noWrap/>
            <w:vAlign w:val="center"/>
            <w:hideMark/>
          </w:tcPr>
          <w:p w14:paraId="1F161D05" w14:textId="77777777" w:rsidR="00DA0D60" w:rsidRPr="00591E1A" w:rsidRDefault="00DA0D60" w:rsidP="00476CE8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sz w:val="19"/>
                <w:szCs w:val="19"/>
                <w:lang w:val="en-CA"/>
              </w:rPr>
              <w:t>Late Adolescence (15-19)</w:t>
            </w:r>
          </w:p>
        </w:tc>
        <w:tc>
          <w:tcPr>
            <w:tcW w:w="921" w:type="dxa"/>
            <w:noWrap/>
            <w:vAlign w:val="center"/>
            <w:hideMark/>
          </w:tcPr>
          <w:p w14:paraId="1F161D06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0,01</w:t>
            </w:r>
          </w:p>
        </w:tc>
        <w:tc>
          <w:tcPr>
            <w:tcW w:w="878" w:type="dxa"/>
            <w:noWrap/>
            <w:vAlign w:val="center"/>
            <w:hideMark/>
          </w:tcPr>
          <w:p w14:paraId="1F161D07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0,15</w:t>
            </w:r>
          </w:p>
        </w:tc>
        <w:tc>
          <w:tcPr>
            <w:tcW w:w="867" w:type="dxa"/>
            <w:noWrap/>
            <w:vAlign w:val="center"/>
            <w:hideMark/>
          </w:tcPr>
          <w:p w14:paraId="1F161D08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0,01</w:t>
            </w:r>
          </w:p>
        </w:tc>
        <w:tc>
          <w:tcPr>
            <w:tcW w:w="878" w:type="dxa"/>
            <w:noWrap/>
            <w:vAlign w:val="center"/>
            <w:hideMark/>
          </w:tcPr>
          <w:p w14:paraId="1F161D09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0,10</w:t>
            </w:r>
          </w:p>
        </w:tc>
        <w:tc>
          <w:tcPr>
            <w:tcW w:w="921" w:type="dxa"/>
            <w:vAlign w:val="center"/>
            <w:hideMark/>
          </w:tcPr>
          <w:p w14:paraId="1F161D0A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-0,22</w:t>
            </w:r>
          </w:p>
        </w:tc>
        <w:tc>
          <w:tcPr>
            <w:tcW w:w="878" w:type="dxa"/>
            <w:vAlign w:val="center"/>
            <w:hideMark/>
          </w:tcPr>
          <w:p w14:paraId="1F161D0B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-0,07</w:t>
            </w:r>
          </w:p>
        </w:tc>
        <w:tc>
          <w:tcPr>
            <w:tcW w:w="867" w:type="dxa"/>
            <w:vAlign w:val="center"/>
            <w:hideMark/>
          </w:tcPr>
          <w:p w14:paraId="1F161D0C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-13,87</w:t>
            </w:r>
          </w:p>
        </w:tc>
        <w:tc>
          <w:tcPr>
            <w:tcW w:w="878" w:type="dxa"/>
            <w:vAlign w:val="center"/>
            <w:hideMark/>
          </w:tcPr>
          <w:p w14:paraId="1F161D0D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-4,07</w:t>
            </w:r>
          </w:p>
        </w:tc>
        <w:tc>
          <w:tcPr>
            <w:tcW w:w="921" w:type="dxa"/>
            <w:noWrap/>
            <w:vAlign w:val="center"/>
            <w:hideMark/>
          </w:tcPr>
          <w:p w14:paraId="1F161D0E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7,77</w:t>
            </w:r>
          </w:p>
        </w:tc>
        <w:tc>
          <w:tcPr>
            <w:tcW w:w="878" w:type="dxa"/>
            <w:noWrap/>
            <w:vAlign w:val="center"/>
            <w:hideMark/>
          </w:tcPr>
          <w:p w14:paraId="1F161D0F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3,10</w:t>
            </w:r>
          </w:p>
        </w:tc>
        <w:tc>
          <w:tcPr>
            <w:tcW w:w="867" w:type="dxa"/>
            <w:noWrap/>
            <w:vAlign w:val="center"/>
            <w:hideMark/>
          </w:tcPr>
          <w:p w14:paraId="1F161D10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24,38</w:t>
            </w:r>
          </w:p>
        </w:tc>
        <w:tc>
          <w:tcPr>
            <w:tcW w:w="878" w:type="dxa"/>
            <w:noWrap/>
            <w:vAlign w:val="center"/>
            <w:hideMark/>
          </w:tcPr>
          <w:p w14:paraId="1F161D11" w14:textId="77777777" w:rsidR="00DA0D60" w:rsidRPr="00591E1A" w:rsidRDefault="00DA0D60" w:rsidP="00476CE8">
            <w:pPr>
              <w:spacing w:line="48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CA"/>
              </w:rPr>
            </w:pPr>
            <w:r w:rsidRPr="00591E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10,92</w:t>
            </w:r>
          </w:p>
        </w:tc>
      </w:tr>
    </w:tbl>
    <w:p w14:paraId="1F161D13" w14:textId="77777777" w:rsidR="00D108F0" w:rsidRDefault="00591E1A"/>
    <w:sectPr w:rsidR="00D108F0" w:rsidSect="00FC435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0"/>
    <w:rsid w:val="003763CB"/>
    <w:rsid w:val="003B0C14"/>
    <w:rsid w:val="00591E1A"/>
    <w:rsid w:val="009A5F60"/>
    <w:rsid w:val="00D1031A"/>
    <w:rsid w:val="00DA0D60"/>
    <w:rsid w:val="00E62441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61CD6"/>
  <w14:defaultImageDpi w14:val="32767"/>
  <w15:chartTrackingRefBased/>
  <w15:docId w15:val="{D50A81F7-D4DE-D84D-AAE4-17BD46B3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Roy</dc:creator>
  <cp:keywords/>
  <dc:description/>
  <cp:lastModifiedBy>Alayne Adams</cp:lastModifiedBy>
  <cp:revision>3</cp:revision>
  <dcterms:created xsi:type="dcterms:W3CDTF">2021-06-07T14:21:00Z</dcterms:created>
  <dcterms:modified xsi:type="dcterms:W3CDTF">2021-06-07T14:22:00Z</dcterms:modified>
</cp:coreProperties>
</file>