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E9DF" w14:textId="77777777" w:rsidR="00F73003" w:rsidRPr="00476DF4" w:rsidRDefault="00F73003" w:rsidP="00F73003">
      <w:pPr>
        <w:spacing w:after="0" w:line="240" w:lineRule="auto"/>
        <w:ind w:firstLine="0"/>
        <w:rPr>
          <w:rFonts w:asciiTheme="minorHAnsi" w:hAnsiTheme="minorHAnsi" w:cs="Times New Roman"/>
        </w:rPr>
      </w:pPr>
    </w:p>
    <w:p w14:paraId="4E9BFDC8" w14:textId="223AC712" w:rsidR="00F73003" w:rsidRPr="00005B3F" w:rsidRDefault="00F73003" w:rsidP="00F73003">
      <w:pPr>
        <w:pStyle w:val="Caption"/>
        <w:spacing w:after="0"/>
        <w:ind w:firstLine="0"/>
        <w:rPr>
          <w:rFonts w:asciiTheme="minorHAnsi" w:eastAsia="Times New Roman" w:hAnsiTheme="minorHAnsi" w:cs="Times New Roman"/>
          <w:b/>
          <w:bCs/>
          <w:i w:val="0"/>
          <w:color w:val="000000"/>
          <w:sz w:val="20"/>
          <w:szCs w:val="20"/>
        </w:rPr>
      </w:pPr>
      <w:bookmarkStart w:id="0" w:name="_Hlk47016620"/>
      <w:r w:rsidRPr="00005B3F">
        <w:rPr>
          <w:rFonts w:asciiTheme="minorHAnsi" w:hAnsiTheme="minorHAnsi" w:cs="Times New Roman"/>
          <w:b/>
          <w:bCs/>
          <w:i w:val="0"/>
          <w:color w:val="auto"/>
          <w:sz w:val="20"/>
          <w:szCs w:val="20"/>
        </w:rPr>
        <w:t>S</w:t>
      </w:r>
      <w:r w:rsidR="00E707D4" w:rsidRPr="00005B3F">
        <w:rPr>
          <w:rFonts w:asciiTheme="minorHAnsi" w:hAnsiTheme="minorHAnsi" w:cs="Times New Roman"/>
          <w:b/>
          <w:bCs/>
          <w:i w:val="0"/>
          <w:color w:val="auto"/>
          <w:sz w:val="20"/>
          <w:szCs w:val="20"/>
        </w:rPr>
        <w:t>1</w:t>
      </w:r>
      <w:r w:rsidRPr="00005B3F">
        <w:rPr>
          <w:rFonts w:asciiTheme="minorHAnsi" w:hAnsiTheme="minorHAnsi" w:cs="Times New Roman"/>
          <w:b/>
          <w:bCs/>
          <w:i w:val="0"/>
          <w:color w:val="auto"/>
          <w:sz w:val="20"/>
          <w:szCs w:val="20"/>
        </w:rPr>
        <w:t xml:space="preserve"> Table</w:t>
      </w:r>
      <w:r w:rsidR="00005B3F">
        <w:rPr>
          <w:rFonts w:asciiTheme="minorHAnsi" w:hAnsiTheme="minorHAnsi" w:cs="Times New Roman"/>
          <w:b/>
          <w:bCs/>
          <w:i w:val="0"/>
          <w:color w:val="auto"/>
          <w:sz w:val="20"/>
          <w:szCs w:val="20"/>
        </w:rPr>
        <w:t>.</w:t>
      </w:r>
      <w:r w:rsidRPr="00005B3F">
        <w:rPr>
          <w:rFonts w:asciiTheme="minorHAnsi" w:hAnsiTheme="minorHAnsi" w:cs="Times New Roman"/>
          <w:b/>
          <w:bCs/>
          <w:i w:val="0"/>
          <w:color w:val="auto"/>
          <w:sz w:val="20"/>
          <w:szCs w:val="20"/>
        </w:rPr>
        <w:t xml:space="preserve"> C</w:t>
      </w:r>
      <w:r w:rsidRPr="00005B3F">
        <w:rPr>
          <w:rFonts w:asciiTheme="minorHAnsi" w:eastAsia="Times New Roman" w:hAnsiTheme="minorHAnsi" w:cs="Times New Roman"/>
          <w:b/>
          <w:bCs/>
          <w:i w:val="0"/>
          <w:color w:val="000000"/>
          <w:sz w:val="20"/>
          <w:szCs w:val="20"/>
        </w:rPr>
        <w:t>hange in iron status over time categorized by 1st trimester iron status in Ghanaian women</w:t>
      </w:r>
    </w:p>
    <w:bookmarkEnd w:id="0"/>
    <w:p w14:paraId="5163BF77" w14:textId="77777777" w:rsidR="00F73003" w:rsidRDefault="00F73003" w:rsidP="00F73003">
      <w:pPr>
        <w:spacing w:after="0" w:line="240" w:lineRule="auto"/>
        <w:ind w:firstLine="0"/>
      </w:pPr>
      <w:r w:rsidRPr="00975F31">
        <w:rPr>
          <w:noProof/>
        </w:rPr>
        <w:drawing>
          <wp:inline distT="0" distB="0" distL="0" distR="0" wp14:anchorId="7D6C7B66" wp14:editId="45C6F03D">
            <wp:extent cx="6577677" cy="299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0734" cy="2998593"/>
                    </a:xfrm>
                    <a:prstGeom prst="rect">
                      <a:avLst/>
                    </a:prstGeom>
                    <a:noFill/>
                    <a:ln>
                      <a:noFill/>
                    </a:ln>
                  </pic:spPr>
                </pic:pic>
              </a:graphicData>
            </a:graphic>
          </wp:inline>
        </w:drawing>
      </w:r>
    </w:p>
    <w:p w14:paraId="7AB521F3" w14:textId="77777777" w:rsidR="00F73003" w:rsidRDefault="00F73003" w:rsidP="00F73003">
      <w:pPr>
        <w:spacing w:after="0" w:line="240" w:lineRule="auto"/>
        <w:ind w:firstLine="0"/>
      </w:pPr>
      <w:r w:rsidRPr="00476DF4">
        <w:rPr>
          <w:rFonts w:asciiTheme="minorHAnsi" w:eastAsia="Times New Roman" w:hAnsiTheme="minorHAnsi" w:cs="Times New Roman"/>
          <w:color w:val="000000"/>
          <w:sz w:val="16"/>
          <w:szCs w:val="16"/>
        </w:rPr>
        <w:t>TIBC: Total Iron binding capacity; TSAT: Transferrin saturation; Mean diff: Mean difference</w:t>
      </w:r>
    </w:p>
    <w:p w14:paraId="11E472CC" w14:textId="77777777" w:rsidR="00F73003" w:rsidRPr="00975F31" w:rsidRDefault="00F73003" w:rsidP="00F73003">
      <w:pPr>
        <w:spacing w:after="0" w:line="240" w:lineRule="auto"/>
        <w:ind w:firstLine="0"/>
      </w:pPr>
      <w:r w:rsidRPr="00476DF4">
        <w:rPr>
          <w:rFonts w:asciiTheme="minorHAnsi" w:eastAsia="Times New Roman" w:hAnsiTheme="minorHAnsi" w:cs="Times New Roman"/>
          <w:color w:val="000000"/>
          <w:sz w:val="16"/>
          <w:szCs w:val="16"/>
        </w:rPr>
        <w:t>Bold indicates significant difference compared to the reference</w:t>
      </w:r>
    </w:p>
    <w:p w14:paraId="0414B7FB" w14:textId="77777777" w:rsidR="00F73003" w:rsidRPr="00476DF4" w:rsidRDefault="00F73003" w:rsidP="00F73003">
      <w:pPr>
        <w:spacing w:after="0" w:line="240" w:lineRule="auto"/>
        <w:ind w:firstLine="0"/>
        <w:rPr>
          <w:rFonts w:asciiTheme="minorHAnsi" w:hAnsiTheme="minorHAnsi"/>
        </w:rPr>
      </w:pPr>
      <w:r w:rsidRPr="00476DF4">
        <w:rPr>
          <w:rFonts w:asciiTheme="minorHAnsi" w:eastAsia="Times New Roman" w:hAnsiTheme="minorHAnsi" w:cs="Times New Roman"/>
          <w:vertAlign w:val="superscript"/>
        </w:rPr>
        <w:t>†</w:t>
      </w:r>
      <w:r w:rsidRPr="00476DF4">
        <w:rPr>
          <w:rFonts w:asciiTheme="minorHAnsi" w:eastAsia="Times New Roman" w:hAnsiTheme="minorHAnsi" w:cs="Times New Roman"/>
          <w:sz w:val="16"/>
          <w:szCs w:val="16"/>
        </w:rPr>
        <w:t xml:space="preserve">Ferritin was adjusted using </w:t>
      </w:r>
      <w:proofErr w:type="spellStart"/>
      <w:r w:rsidRPr="00476DF4">
        <w:rPr>
          <w:rFonts w:asciiTheme="minorHAnsi" w:eastAsia="Times New Roman" w:hAnsiTheme="minorHAnsi" w:cs="Times New Roman"/>
          <w:sz w:val="16"/>
          <w:szCs w:val="16"/>
        </w:rPr>
        <w:t>Thurnham</w:t>
      </w:r>
      <w:proofErr w:type="spellEnd"/>
      <w:r w:rsidRPr="00476DF4">
        <w:rPr>
          <w:rFonts w:asciiTheme="minorHAnsi" w:eastAsia="Times New Roman" w:hAnsiTheme="minorHAnsi" w:cs="Times New Roman"/>
          <w:sz w:val="16"/>
          <w:szCs w:val="16"/>
        </w:rPr>
        <w:t xml:space="preserve"> correction </w:t>
      </w:r>
      <w:r w:rsidRPr="00476DF4">
        <w:rPr>
          <w:rFonts w:asciiTheme="minorHAnsi" w:eastAsia="Times New Roman" w:hAnsiTheme="minorHAnsi" w:cs="Times New Roman"/>
          <w:sz w:val="16"/>
          <w:szCs w:val="16"/>
        </w:rPr>
        <w:fldChar w:fldCharType="begin"/>
      </w:r>
      <w:r>
        <w:rPr>
          <w:rFonts w:asciiTheme="minorHAnsi" w:eastAsia="Times New Roman" w:hAnsiTheme="minorHAnsi" w:cs="Times New Roman"/>
          <w:sz w:val="16"/>
          <w:szCs w:val="16"/>
        </w:rPr>
        <w:instrText xml:space="preserve"> ADDIN ZOTERO_ITEM CSL_CITATION {"citationID":"lshRTFzL","properties":{"formattedCitation":"(17)","plainCitation":"(17)","noteIndex":0},"citationItems":[{"id":258,"uris":["http://zotero.org/users/local/90fJiuPV/items/I66QVRRQ"],"uri":["http://zotero.org/users/local/90fJiuPV/items/I66QVRRQ"],"itemData":{"id":258,"type":"article-journal","abstract":"Background: The World Health Organization recommends serum ferritin concentrations as the best indicator of iron deficiency (ID). Unfortunately, ferritin increases with infections; hence, the prevalence of ID is underestimated.\nObjective: The objective was to estimate the increase in ferritin in 32 studies of apparently healthy persons by using 2 acute-phase proteins (APPs), C-reactive protein (CRP) and alpha1-acid glycoprotein (AGP), individually and in combination, and to calculate factors to remove the influence of inflammation from ferritin concentrations.\nDesign: We estimated the increase in ferritin associated with inflammation (ie, CRP gt 5 mg/L and/or AGP gt 1 g/L). The 32 studies comprised infants (5 studies), children (7 studies), men (4 studies), and women (16 studies) (n = 8796 subjects). In 2-group analyses (either CRP or AGP), we compared the ratios of log ferritin with or without inflammation in 30 studies. In addition, in 22 studies, the data allowed a comparison of ratios of log ferritin between 4 subgroups: reference (no elevated APP), incubation (elevated CRP only), early convalescence (both APP and CRP elevated), and late convalescence (elevated AGP only).\nResults: In the 2-group analysis, inflammation increased ferritin by 49.6% (CRP) or 38.2% (AGP; both P lt 0.001). Elevated AGP was more common than CRP in young persons than in adults. In the 4-group analysis, ferritin was 30%, 90%, and 36% (all P lt 0.001) higher in the incubation, early convalescence, and late convalescence subgroups, respectively, with corresponding correction factors of 0.77, 0.53, and 0.75. Overall, inflammation increased ferritin by ap 30% and was associated with a 14% (CI: 7%, 21%) underestimation of ID.\nConclusions: Measures of both APP and CRP are needed to estimate the full effect of inflammation and can be used to correct ferritin concentrations. Few differences were observed between age and sex subgroups.","container-title":"The American Journal of Clinical Nutrition","DOI":"10.3945/ajcn.2010.29284","ISSN":"0002-9165, 1938-3207","issue":"3","journalAbbreviation":"Am J Clin Nutr","language":"en","page":"546-555","source":"ajcn.nutrition.org","title":"Adjusting plasma ferritin concentrations to remove the effects of subclinical inflammation in the assessment of iron deficiency: a meta-analysis","title-short":"Adjusting plasma ferritin concentrations to remove the effects of subclinical inflammation in the assessment of iron deficiency","volume":"92","author":[{"literal":"Thurnham"},{"family":"McCabe","given":"Linda D."},{"family":"Haldar","given":"Sumanto"},{"family":"Wieringa","given":"Frank T."},{"family":"Northrop-Clewes","given":"Christine A."},{"family":"McCabe","given":"George P."}],"issued":{"date-parts":[["2010",9,1]]}}}],"schema":"https://github.com/citation-style-language/schema/raw/master/csl-citation.json"} </w:instrText>
      </w:r>
      <w:r w:rsidRPr="00476DF4">
        <w:rPr>
          <w:rFonts w:asciiTheme="minorHAnsi" w:eastAsia="Times New Roman" w:hAnsiTheme="minorHAnsi" w:cs="Times New Roman"/>
          <w:sz w:val="16"/>
          <w:szCs w:val="16"/>
        </w:rPr>
        <w:fldChar w:fldCharType="separate"/>
      </w:r>
      <w:r w:rsidRPr="009C3112">
        <w:rPr>
          <w:rFonts w:ascii="Calibri" w:hAnsi="Calibri" w:cs="Calibri"/>
          <w:sz w:val="16"/>
        </w:rPr>
        <w:t>(17)</w:t>
      </w:r>
      <w:r w:rsidRPr="00476DF4">
        <w:rPr>
          <w:rFonts w:asciiTheme="minorHAnsi" w:eastAsia="Times New Roman" w:hAnsiTheme="minorHAnsi" w:cs="Times New Roman"/>
          <w:sz w:val="16"/>
          <w:szCs w:val="16"/>
        </w:rPr>
        <w:fldChar w:fldCharType="end"/>
      </w:r>
      <w:r w:rsidRPr="00476DF4">
        <w:rPr>
          <w:rFonts w:asciiTheme="minorHAnsi" w:eastAsia="Times New Roman" w:hAnsiTheme="minorHAnsi" w:cs="Times New Roman"/>
          <w:color w:val="000000"/>
          <w:sz w:val="16"/>
          <w:szCs w:val="16"/>
        </w:rPr>
        <w:t xml:space="preserve">  </w:t>
      </w:r>
    </w:p>
    <w:p w14:paraId="29E2D0AE" w14:textId="77777777" w:rsidR="00C16CFA" w:rsidRDefault="00C16CFA"/>
    <w:sectPr w:rsidR="00C1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03"/>
    <w:rsid w:val="00005B3F"/>
    <w:rsid w:val="00795664"/>
    <w:rsid w:val="009045BE"/>
    <w:rsid w:val="00C16CFA"/>
    <w:rsid w:val="00E707D4"/>
    <w:rsid w:val="00F7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F064"/>
  <w15:chartTrackingRefBased/>
  <w15:docId w15:val="{3470B692-E5D5-440F-9593-53E9B050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03"/>
    <w:pPr>
      <w:spacing w:after="200" w:line="480" w:lineRule="auto"/>
      <w:ind w:firstLine="720"/>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7300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Murray-Kolb, Laura E</dc:creator>
  <cp:keywords/>
  <dc:description/>
  <cp:lastModifiedBy>Simons, Suzie Strickland</cp:lastModifiedBy>
  <cp:revision>2</cp:revision>
  <dcterms:created xsi:type="dcterms:W3CDTF">2020-07-30T19:54:00Z</dcterms:created>
  <dcterms:modified xsi:type="dcterms:W3CDTF">2020-07-30T19:54:00Z</dcterms:modified>
</cp:coreProperties>
</file>