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547C" w14:textId="77777777" w:rsidR="006108BC" w:rsidRPr="00B17AC5" w:rsidRDefault="00177140" w:rsidP="00095ECE">
      <w:pPr>
        <w:jc w:val="both"/>
        <w:rPr>
          <w:rFonts w:ascii="Georgia" w:hAnsi="Georgia"/>
          <w:b/>
          <w:bCs/>
          <w:sz w:val="28"/>
          <w:szCs w:val="28"/>
        </w:rPr>
      </w:pPr>
      <w:bookmarkStart w:id="0" w:name="_Hlk31097719"/>
      <w:r w:rsidRPr="00B17AC5">
        <w:rPr>
          <w:rFonts w:ascii="Georgia" w:hAnsi="Georgia"/>
          <w:b/>
          <w:bCs/>
          <w:sz w:val="28"/>
          <w:szCs w:val="28"/>
        </w:rPr>
        <w:t>S1 section</w:t>
      </w:r>
      <w:bookmarkEnd w:id="0"/>
      <w:r w:rsidRPr="00B17AC5">
        <w:rPr>
          <w:rFonts w:ascii="Georgia" w:hAnsi="Georgia"/>
          <w:b/>
          <w:bCs/>
          <w:sz w:val="28"/>
          <w:szCs w:val="28"/>
        </w:rPr>
        <w:t xml:space="preserve">. </w:t>
      </w:r>
    </w:p>
    <w:p w14:paraId="2FED1F93" w14:textId="5A7CF38F" w:rsidR="00177140" w:rsidRPr="00B17AC5" w:rsidRDefault="00177140" w:rsidP="00095ECE">
      <w:pPr>
        <w:pStyle w:val="Heading2"/>
        <w:jc w:val="both"/>
        <w:rPr>
          <w:lang w:val="en-GB"/>
        </w:rPr>
      </w:pPr>
      <w:r w:rsidRPr="00B17AC5">
        <w:rPr>
          <w:rFonts w:hint="cs"/>
        </w:rPr>
        <w:t>K</w:t>
      </w:r>
      <w:proofErr w:type="spellStart"/>
      <w:r w:rsidRPr="00B17AC5">
        <w:rPr>
          <w:lang w:val="en-GB"/>
        </w:rPr>
        <w:t>alavan</w:t>
      </w:r>
      <w:proofErr w:type="spellEnd"/>
      <w:r w:rsidR="006108BC" w:rsidRPr="00B17AC5">
        <w:rPr>
          <w:lang w:val="en-GB"/>
        </w:rPr>
        <w:t xml:space="preserve"> </w:t>
      </w:r>
      <w:r w:rsidRPr="00B17AC5">
        <w:rPr>
          <w:lang w:val="en-GB"/>
        </w:rPr>
        <w:t xml:space="preserve">2 </w:t>
      </w:r>
      <w:r w:rsidR="006108BC" w:rsidRPr="00B17AC5">
        <w:rPr>
          <w:lang w:val="en-GB"/>
        </w:rPr>
        <w:t xml:space="preserve">previous C14 </w:t>
      </w:r>
      <w:r w:rsidRPr="00B17AC5">
        <w:rPr>
          <w:lang w:val="en-GB"/>
        </w:rPr>
        <w:t xml:space="preserve">dating </w:t>
      </w:r>
    </w:p>
    <w:p w14:paraId="049F2DDB" w14:textId="6F84A0A0" w:rsidR="003633AD" w:rsidRPr="00B17AC5" w:rsidRDefault="003633AD" w:rsidP="00095ECE">
      <w:pPr>
        <w:autoSpaceDE w:val="0"/>
        <w:autoSpaceDN w:val="0"/>
        <w:adjustRightInd w:val="0"/>
        <w:spacing w:after="0" w:line="360" w:lineRule="auto"/>
        <w:ind w:firstLine="720"/>
        <w:jc w:val="both"/>
        <w:rPr>
          <w:rFonts w:ascii="Georgia" w:hAnsi="Georgia" w:cs="Helvetica-Bold"/>
          <w:sz w:val="24"/>
          <w:szCs w:val="24"/>
        </w:rPr>
      </w:pPr>
      <w:r w:rsidRPr="00B17AC5">
        <w:rPr>
          <w:rFonts w:ascii="Georgia" w:hAnsi="Georgia" w:cs="Helvetica-Bold"/>
          <w:sz w:val="24"/>
          <w:szCs w:val="24"/>
        </w:rPr>
        <w:t>Radiocarbon dating was attempted on four samples of</w:t>
      </w:r>
      <w:r w:rsidR="00DB4A6C" w:rsidRPr="00B17AC5">
        <w:rPr>
          <w:rFonts w:ascii="Georgia" w:hAnsi="Georgia" w:cs="Helvetica-Bold"/>
          <w:sz w:val="24"/>
          <w:szCs w:val="24"/>
        </w:rPr>
        <w:t xml:space="preserve"> </w:t>
      </w:r>
      <w:proofErr w:type="spellStart"/>
      <w:r w:rsidRPr="00B17AC5">
        <w:rPr>
          <w:rFonts w:ascii="Georgia" w:hAnsi="Georgia" w:cs="Helvetica-Bold"/>
          <w:sz w:val="24"/>
          <w:szCs w:val="24"/>
        </w:rPr>
        <w:t>Kalavan</w:t>
      </w:r>
      <w:proofErr w:type="spellEnd"/>
      <w:r w:rsidRPr="00B17AC5">
        <w:rPr>
          <w:rFonts w:ascii="Georgia" w:hAnsi="Georgia" w:cs="Helvetica-Bold"/>
          <w:sz w:val="24"/>
          <w:szCs w:val="24"/>
        </w:rPr>
        <w:t xml:space="preserve"> 2 archaeological material</w:t>
      </w:r>
      <w:r w:rsidR="00DB4A6C" w:rsidRPr="00B17AC5">
        <w:rPr>
          <w:rFonts w:ascii="Georgia" w:hAnsi="Georgia" w:cs="Helvetica-Bold"/>
          <w:sz w:val="24"/>
          <w:szCs w:val="24"/>
        </w:rPr>
        <w:t>:</w:t>
      </w:r>
      <w:r w:rsidRPr="00B17AC5">
        <w:rPr>
          <w:rFonts w:ascii="Georgia" w:hAnsi="Georgia" w:cs="Helvetica-Bold"/>
          <w:sz w:val="24"/>
          <w:szCs w:val="24"/>
        </w:rPr>
        <w:t xml:space="preserve"> two in Poznan and two in the Center of Applied Isotope </w:t>
      </w:r>
      <w:r w:rsidR="00095ECE" w:rsidRPr="00B17AC5">
        <w:rPr>
          <w:rFonts w:ascii="Georgia" w:hAnsi="Georgia" w:cs="Helvetica-Bold"/>
          <w:sz w:val="24"/>
          <w:szCs w:val="24"/>
        </w:rPr>
        <w:t>S</w:t>
      </w:r>
      <w:r w:rsidRPr="00B17AC5">
        <w:rPr>
          <w:rFonts w:ascii="Georgia" w:hAnsi="Georgia" w:cs="Helvetica-Bold"/>
          <w:sz w:val="24"/>
          <w:szCs w:val="24"/>
        </w:rPr>
        <w:t xml:space="preserve">tudies at the University of Georgia </w:t>
      </w:r>
      <w:r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{"citationItems":[{"id":"ITEM-1","itemData":{"DOI":"10.1016/j.aeae.2011.02.003","ISSN":"15630110","abstract":"During a survey conducted in 2005, the open-air site of Kalavan-2 was discovered located at an altitude of about 1600 m in the mountains dominating the northern bank of Lake Sevan (Armenia). The site yielded a Paleolithic industry associated with faunal remains, indicating that this is an important locality in the study of Armenian prehistory. Excavations at Kalavan-2 have revealed a stratigraphic sequence with several phases of occupation attributed to the Middle Paleolithic period. A radiocarbon date of a fragment of dental enamel from a large bovid provided an age of 34,200 ± 360 BP for the Mousterian level 7, confi rming the attribution of this deposit to the fi nal phase of the Middle Paleolithic and the importance of this site for the study of the last presence of Neanderthals in the Southern Caucasus. Copyright © 2011, Siberian Branch of Russian Academy of Sciences, Institute of Archaeology &amp; Ethnography of the Siberian Branch of the Russian Academy of Sciences. Published by Elsevier B.V. All rights reserved.","author":[{"dropping-particle":"","family":"Ghukasyan, R., Colonge, D., Nahapetyan, S., Ollivier, V., Gasparyan, B., Monchot, H., Chataigner","given":"C.","non-dropping-particle":"","parse-names":false,"suffix":""}],"container-title":"Archaeology, Ethnology and Anthropology of Eurasia","id":"ITEM-1","issue":"4","issued":{"date-parts":[["2011"]]},"page":"39-51","title":"Kalavan-2 (North of Lake Sevan, Armenia): A new late middle paleolithic site in the Lesser Caucasus","type":"article-journal","volume":"38"},"uris":["http://www.mendeley.com/documents/?uuid=bf3edf3d-bd43-4981-913d-50be0fc99455"]}],"mendeley":{"formattedCitation":"[1]","plainTextFormattedCitation":"[1]","previouslyFormattedCitation":"[1]"},"properties":{"noteIndex":0},"schema":"https://github.com/citation-style-language/schema/raw/master/csl-citation.json"}</w:instrText>
      </w:r>
      <w:r w:rsidRPr="00B17AC5">
        <w:rPr>
          <w:rFonts w:ascii="Georgia" w:hAnsi="Georgia" w:cs="Helvetica-Bold"/>
          <w:sz w:val="24"/>
          <w:szCs w:val="24"/>
        </w:rPr>
        <w:fldChar w:fldCharType="separate"/>
      </w:r>
      <w:r w:rsidR="00124899" w:rsidRPr="00B17AC5">
        <w:rPr>
          <w:rFonts w:ascii="Georgia" w:hAnsi="Georgia" w:cs="Helvetica-Bold"/>
          <w:noProof/>
          <w:sz w:val="24"/>
          <w:szCs w:val="24"/>
        </w:rPr>
        <w:t>[1]</w:t>
      </w:r>
      <w:r w:rsidRPr="00B17AC5">
        <w:rPr>
          <w:rFonts w:ascii="Georgia" w:hAnsi="Georgia" w:cs="Helvetica-Bold"/>
          <w:sz w:val="24"/>
          <w:szCs w:val="24"/>
        </w:rPr>
        <w:fldChar w:fldCharType="end"/>
      </w:r>
      <w:r w:rsidRPr="00B17AC5">
        <w:rPr>
          <w:rFonts w:ascii="Georgia" w:hAnsi="Georgia" w:cs="Helvetica-Bold"/>
          <w:sz w:val="24"/>
          <w:szCs w:val="24"/>
        </w:rPr>
        <w:t xml:space="preserve">. One bone sample examined from Layer 19 gave a date of 42,040 ± 400 BP (UGAMS-2295). From Layer 7, two fragments of the same bovid teeth (Poz-20366 and Poz-22181) yielded age estimates of 34,200 ± 360 BP and 27,000 ± 400 BP. The </w:t>
      </w:r>
      <w:r w:rsidR="00DB4A6C" w:rsidRPr="00B17AC5">
        <w:rPr>
          <w:rFonts w:ascii="Georgia" w:hAnsi="Georgia" w:cs="Helvetica-Bold"/>
          <w:sz w:val="24"/>
          <w:szCs w:val="24"/>
        </w:rPr>
        <w:t xml:space="preserve">variance </w:t>
      </w:r>
      <w:r w:rsidRPr="00B17AC5">
        <w:rPr>
          <w:rFonts w:ascii="Georgia" w:hAnsi="Georgia" w:cs="Helvetica-Bold"/>
          <w:sz w:val="24"/>
          <w:szCs w:val="24"/>
        </w:rPr>
        <w:t xml:space="preserve">in the results from the same bone is most likely a result of lab contamination. From Unit 6/7 an equid tooth was sampled twice (UGAMS-296 and UGAMS 2296a), once for collagen and once for bioapatite dating. The two samples </w:t>
      </w:r>
      <w:r w:rsidR="00DB4A6C" w:rsidRPr="00B17AC5">
        <w:rPr>
          <w:rFonts w:ascii="Georgia" w:hAnsi="Georgia" w:cs="Helvetica-Bold"/>
          <w:sz w:val="24"/>
          <w:szCs w:val="24"/>
        </w:rPr>
        <w:t>gave</w:t>
      </w:r>
      <w:r w:rsidRPr="00B17AC5">
        <w:rPr>
          <w:rFonts w:ascii="Georgia" w:hAnsi="Georgia" w:cs="Helvetica-Bold"/>
          <w:sz w:val="24"/>
          <w:szCs w:val="24"/>
        </w:rPr>
        <w:t xml:space="preserve"> a late age of 16,740 ± 130 BP uncalibrated and the bioapatite sample </w:t>
      </w:r>
      <w:r w:rsidR="00DB4A6C" w:rsidRPr="00B17AC5">
        <w:rPr>
          <w:rFonts w:ascii="Georgia" w:hAnsi="Georgia" w:cs="Helvetica-Bold"/>
          <w:sz w:val="24"/>
          <w:szCs w:val="24"/>
        </w:rPr>
        <w:t>one</w:t>
      </w:r>
      <w:r w:rsidRPr="00B17AC5">
        <w:rPr>
          <w:rFonts w:ascii="Georgia" w:hAnsi="Georgia" w:cs="Helvetica-Bold"/>
          <w:sz w:val="24"/>
          <w:szCs w:val="24"/>
        </w:rPr>
        <w:t xml:space="preserve"> of 20,000 ± 100 BP uncalibrated.</w:t>
      </w:r>
      <w:r w:rsidR="00DB4A6C" w:rsidRPr="00B17AC5">
        <w:rPr>
          <w:rFonts w:ascii="Georgia" w:hAnsi="Georgia" w:cs="Helvetica-Bold"/>
          <w:sz w:val="24"/>
          <w:szCs w:val="24"/>
        </w:rPr>
        <w:t xml:space="preserve"> </w:t>
      </w:r>
      <w:r w:rsidRPr="00B17AC5">
        <w:rPr>
          <w:rFonts w:ascii="Georgia" w:hAnsi="Georgia" w:cs="Helvetica-Bold"/>
          <w:sz w:val="24"/>
          <w:szCs w:val="24"/>
        </w:rPr>
        <w:t xml:space="preserve">Thus, the collagen date yielded more than 3000 </w:t>
      </w:r>
      <w:r w:rsidRPr="00B17AC5">
        <w:rPr>
          <w:rFonts w:ascii="Georgia" w:hAnsi="Georgia" w:cs="Helvetica-Bold"/>
          <w:sz w:val="24"/>
          <w:szCs w:val="24"/>
          <w:vertAlign w:val="superscript"/>
        </w:rPr>
        <w:t>14</w:t>
      </w:r>
      <w:r w:rsidRPr="00B17AC5">
        <w:rPr>
          <w:rFonts w:ascii="Georgia" w:hAnsi="Georgia" w:cs="Helvetica-Bold"/>
          <w:sz w:val="24"/>
          <w:szCs w:val="24"/>
        </w:rPr>
        <w:t>C years younger age</w:t>
      </w:r>
      <w:r w:rsidR="00124899" w:rsidRPr="00B17AC5">
        <w:rPr>
          <w:rFonts w:ascii="Georgia" w:hAnsi="Georgia" w:cs="Helvetica-Bold"/>
          <w:sz w:val="24"/>
          <w:szCs w:val="24"/>
        </w:rPr>
        <w:t xml:space="preserve"> </w:t>
      </w:r>
      <w:r w:rsidRPr="00B17AC5">
        <w:rPr>
          <w:rFonts w:ascii="Georgia" w:hAnsi="Georgia" w:cs="Helvetica-Bold"/>
          <w:sz w:val="24"/>
          <w:szCs w:val="24"/>
        </w:rPr>
        <w:t xml:space="preserve">than the bioapatite one. </w:t>
      </w:r>
      <w:r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{"citationItems":[{"id":"ITEM-1","itemData":{"DOI":"10.1017/s0033822200045604","ISSN":"0033-8222","abstract":" Prehistoric cultures in Armenia are still poorly known; thus, accelerator mass spectrometry (AMS) radiocarbon dates are invaluable in constructing an accurate chronology. Bone samples have been collected from sites representing the Middle Paleolithic, Chalcolithic, and Early Bronze periods. Most of the bone samples are poorly preserved. We describe the separation technique for the extraction of both the bioapatite and collagen fractions. In many cases where the bone had very low organic material content, the collagen fractions yielded a younger age, although the ages of bioapatite fractions were found to be in good agreement with associated archaeological artifacts. In cases where bone was well preserved, both fractions exhibited ages in good agreement with the artifacts. The accuracy of 14 C dating of bone material always depends on its degree of preservation, and each case should be carefully evaluated to determine which fraction is less contaminated in order to accurately date a burial event. ","author":[{"dropping-particle":"","family":"Cherkinsky","given":"Alexander","non-dropping-particle":"","parse-names":false,"suffix":""},{"dropping-particle":"","family":"Chataigner","given":"Christine","non-dropping-particle":"","parse-names":false,"suffix":""}],"container-title":"Radiocarbon","id":"ITEM-1","issue":"2","issued":{"date-parts":[["2010"]]},"page":"569-577","title":" 14 C Ages of Bone Fractions from Armenian Prehistoric Sites ","type":"article-journal","volume":"52"},"uris":["http://www.mendeley.com/documents/?uuid=3d61aa5d-92e7-494a-80b4-49265b6ce8e4"]}],"mendeley":{"formattedCitation":"[2]","plainTextFormattedCitation":"[2]","previouslyFormattedCitation":"[2]"},"properties":{"noteIndex":0},"schema":"https://github.com/citation-style-language/schema/raw/master/csl-citation.json"}</w:instrText>
      </w:r>
      <w:r w:rsidRPr="00B17AC5">
        <w:rPr>
          <w:rFonts w:ascii="Georgia" w:hAnsi="Georgia" w:cs="Helvetica-Bold"/>
          <w:sz w:val="24"/>
          <w:szCs w:val="24"/>
        </w:rPr>
        <w:fldChar w:fldCharType="separate"/>
      </w:r>
      <w:r w:rsidR="00124899" w:rsidRPr="00B17AC5">
        <w:rPr>
          <w:rFonts w:ascii="Georgia" w:hAnsi="Georgia" w:cs="Helvetica-Bold"/>
          <w:noProof/>
          <w:sz w:val="24"/>
          <w:szCs w:val="24"/>
        </w:rPr>
        <w:t>[2]</w:t>
      </w:r>
      <w:r w:rsidRPr="00B17AC5">
        <w:rPr>
          <w:rFonts w:ascii="Georgia" w:hAnsi="Georgia" w:cs="Helvetica-Bold"/>
          <w:sz w:val="24"/>
          <w:szCs w:val="24"/>
        </w:rPr>
        <w:fldChar w:fldCharType="end"/>
      </w:r>
      <w:r w:rsidR="00954157" w:rsidRPr="00B17AC5">
        <w:rPr>
          <w:rFonts w:ascii="Georgia" w:hAnsi="Georgia" w:cs="Helvetica-Bold"/>
          <w:sz w:val="24"/>
          <w:szCs w:val="24"/>
        </w:rPr>
        <w:t xml:space="preserve">. These results contrast the </w:t>
      </w:r>
      <w:r w:rsidRPr="00B17AC5">
        <w:rPr>
          <w:rFonts w:ascii="Georgia" w:hAnsi="Georgia" w:cs="Helvetica-Bold"/>
          <w:sz w:val="24"/>
          <w:szCs w:val="24"/>
        </w:rPr>
        <w:t xml:space="preserve">results </w:t>
      </w:r>
      <w:r w:rsidR="00954157" w:rsidRPr="00B17AC5">
        <w:rPr>
          <w:rFonts w:ascii="Georgia" w:hAnsi="Georgia" w:cs="Helvetica-Bold"/>
          <w:sz w:val="24"/>
          <w:szCs w:val="24"/>
        </w:rPr>
        <w:t>obtained from a</w:t>
      </w:r>
      <w:r w:rsidRPr="00B17AC5">
        <w:rPr>
          <w:rFonts w:ascii="Georgia" w:hAnsi="Georgia" w:cs="Helvetica-Bold"/>
          <w:sz w:val="24"/>
          <w:szCs w:val="24"/>
        </w:rPr>
        <w:t xml:space="preserve"> sample from Layer 19 where the collagen fraction gave an older 14C age than the bioapatite one. </w:t>
      </w:r>
      <w:r w:rsidR="00DB4A6C" w:rsidRPr="00B17AC5">
        <w:rPr>
          <w:rFonts w:ascii="Georgia" w:hAnsi="Georgia" w:cs="Helvetica-Bold"/>
          <w:sz w:val="24"/>
          <w:szCs w:val="24"/>
        </w:rPr>
        <w:t xml:space="preserve">This reversal </w:t>
      </w:r>
      <w:r w:rsidRPr="00B17AC5">
        <w:rPr>
          <w:rFonts w:ascii="Georgia" w:hAnsi="Georgia" w:cs="Helvetica-Bold"/>
          <w:sz w:val="24"/>
          <w:szCs w:val="24"/>
        </w:rPr>
        <w:t xml:space="preserve">in ages </w:t>
      </w:r>
      <w:r w:rsidR="00DB4A6C" w:rsidRPr="00B17AC5">
        <w:rPr>
          <w:rFonts w:ascii="Georgia" w:hAnsi="Georgia" w:cs="Helvetica-Bold"/>
          <w:sz w:val="24"/>
          <w:szCs w:val="24"/>
        </w:rPr>
        <w:t xml:space="preserve">in the different specimens </w:t>
      </w:r>
      <w:r w:rsidRPr="00B17AC5">
        <w:rPr>
          <w:rFonts w:ascii="Georgia" w:hAnsi="Georgia" w:cs="Helvetica-Bold"/>
          <w:sz w:val="24"/>
          <w:szCs w:val="24"/>
        </w:rPr>
        <w:t xml:space="preserve">between the two dating methods was explained by the </w:t>
      </w:r>
      <w:r w:rsidR="00DB4A6C" w:rsidRPr="00B17AC5">
        <w:rPr>
          <w:rFonts w:ascii="Georgia" w:hAnsi="Georgia" w:cs="Helvetica-Bold"/>
          <w:sz w:val="24"/>
          <w:szCs w:val="24"/>
        </w:rPr>
        <w:t>dissimilarities</w:t>
      </w:r>
      <w:r w:rsidRPr="00B17AC5">
        <w:rPr>
          <w:rFonts w:ascii="Georgia" w:hAnsi="Georgia" w:cs="Helvetica-Bold"/>
          <w:sz w:val="24"/>
          <w:szCs w:val="24"/>
        </w:rPr>
        <w:t xml:space="preserve"> in the depositional environment between Layers 19 and 6 and the changes in the past water table at the locality. Thus, isotope exchange between bone bioapatite and groundwater-dissolved inorganic carbon compounds could have occurred in the different layers and therefore affected the bone collagen preservation and chemistry </w:t>
      </w:r>
      <w:r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{"citationItems":[{"id":"ITEM-1","itemData":{"DOI":"10.1017/s0033822200045604","ISSN":"0033-8222","abstract":" Prehistoric cultures in Armenia are still poorly known; thus, accelerator mass spectrometry (AMS) radiocarbon dates are invaluable in constructing an accurate chronology. Bone samples have been collected from sites representing the Middle Paleolithic, Chalcolithic, and Early Bronze periods. Most of the bone samples are poorly preserved. We describe the separation technique for the extraction of both the bioapatite and collagen fractions. In many cases where the bone had very low organic material content, the collagen fractions yielded a younger age, although the ages of bioapatite fractions were found to be in good agreement with associated archaeological artifacts. In cases where bone was well preserved, both fractions exhibited ages in good agreement with the artifacts. The accuracy of 14 C dating of bone material always depends on its degree of preservation, and each case should be carefully evaluated to determine which fraction is less contaminated in order to accurately date a burial event. ","author":[{"dropping-particle":"","family":"Cherkinsky","given":"Alexander","non-dropping-particle":"","parse-names":false,"suffix":""},{"dropping-particle":"","family":"Chataigner","given":"Christine","non-dropping-particle":"","parse-names":false,"suffix":""}],"container-title":"Radiocarbon","id":"ITEM-1","issue":"2","issued":{"date-parts":[["2010"]]},"page":"569-577","title":" 14 C Ages of Bone Fractions from Armenian Prehistoric Sites ","type":"article-journal","volume":"52"},"uris":["http://www.mendeley.com/documents/?uuid=3d61aa5d-92e7-494a-80b4-49265b6ce8e4"]}],"mendeley":{"formattedCitation":"[2]","plainTextFormattedCitation":"[2]","previouslyFormattedCitation":"[2]"},"properties":{"noteIndex":0},"schema":"https://github.com/citation-style-language/schema/raw/master/csl-citation.json"}</w:instrText>
      </w:r>
      <w:r w:rsidRPr="00B17AC5">
        <w:rPr>
          <w:rFonts w:ascii="Georgia" w:hAnsi="Georgia" w:cs="Helvetica-Bold"/>
          <w:sz w:val="24"/>
          <w:szCs w:val="24"/>
        </w:rPr>
        <w:fldChar w:fldCharType="separate"/>
      </w:r>
      <w:r w:rsidR="00124899" w:rsidRPr="00B17AC5">
        <w:rPr>
          <w:rFonts w:ascii="Georgia" w:hAnsi="Georgia" w:cs="Helvetica-Bold"/>
          <w:noProof/>
          <w:sz w:val="24"/>
          <w:szCs w:val="24"/>
        </w:rPr>
        <w:t>[2]</w:t>
      </w:r>
      <w:r w:rsidRPr="00B17AC5">
        <w:rPr>
          <w:rFonts w:ascii="Georgia" w:hAnsi="Georgia" w:cs="Helvetica-Bold"/>
          <w:sz w:val="24"/>
          <w:szCs w:val="24"/>
        </w:rPr>
        <w:fldChar w:fldCharType="end"/>
      </w:r>
      <w:r w:rsidRPr="00B17AC5">
        <w:rPr>
          <w:rFonts w:ascii="Georgia" w:hAnsi="Georgia" w:cs="Helvetica-Bold"/>
          <w:sz w:val="24"/>
          <w:szCs w:val="24"/>
        </w:rPr>
        <w:t xml:space="preserve">. </w:t>
      </w:r>
      <w:r w:rsidR="00DB4A6C" w:rsidRPr="00B17AC5">
        <w:rPr>
          <w:rFonts w:ascii="Georgia" w:hAnsi="Georgia" w:cs="Helvetica-Bold"/>
          <w:sz w:val="24"/>
          <w:szCs w:val="24"/>
        </w:rPr>
        <w:t xml:space="preserve"> </w:t>
      </w:r>
    </w:p>
    <w:p w14:paraId="16887274" w14:textId="3A9976EA" w:rsidR="005F3058" w:rsidRPr="00B17AC5" w:rsidRDefault="005F3058" w:rsidP="00095ECE">
      <w:pPr>
        <w:pStyle w:val="Heading2"/>
        <w:jc w:val="both"/>
      </w:pPr>
      <w:r w:rsidRPr="00B17AC5">
        <w:t xml:space="preserve">OSL methodology </w:t>
      </w:r>
    </w:p>
    <w:p w14:paraId="24C032C4" w14:textId="4E130A4B" w:rsidR="008C28B1" w:rsidRPr="00B17AC5" w:rsidRDefault="008C28B1"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 xml:space="preserve">Luminescence samples were taken using light-tide steel tubes, material for high-resolution laboratory gamma-spectrometry was taken at </w:t>
      </w:r>
      <w:r w:rsidR="00DB4A6C" w:rsidRPr="00B17AC5">
        <w:rPr>
          <w:rFonts w:ascii="Georgia" w:hAnsi="Georgia" w:cs="Helvetica-Bold"/>
          <w:sz w:val="24"/>
          <w:szCs w:val="24"/>
        </w:rPr>
        <w:t xml:space="preserve">the same </w:t>
      </w:r>
      <w:r w:rsidRPr="00B17AC5">
        <w:rPr>
          <w:rFonts w:ascii="Georgia" w:hAnsi="Georgia" w:cs="Helvetica-Bold"/>
          <w:sz w:val="24"/>
          <w:szCs w:val="24"/>
        </w:rPr>
        <w:t xml:space="preserve">positions as material for luminescence dating. </w:t>
      </w:r>
    </w:p>
    <w:p w14:paraId="707723CE" w14:textId="3F25B5E7" w:rsidR="005F3058" w:rsidRPr="00B17AC5" w:rsidRDefault="005F3058"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 xml:space="preserve">Sample preparation for luminescence dating was conducted under subdued red light in the OSL laboratory at the Max Planck Institute for Evolutionary Anthropology in Leipzig, Germany. To test the luminescence properties of the coarse-grain (180-250 µm) and fine grain (4-11 µm) material, both grain-size fractions were prepared. The fine-grain fraction was isolated by conducting several runs of centrifugation, the coarse fraction was obtained by sieving. </w:t>
      </w:r>
    </w:p>
    <w:p w14:paraId="25A57EBD" w14:textId="57169818" w:rsidR="005F3058" w:rsidRPr="00B17AC5" w:rsidRDefault="005F3058"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 xml:space="preserve">Sample preparation also included the removal of carbonates and organic matter by using HCL (15%) and hydrogen peroxide (30%), respectively. The coarse-grain feldspar fraction was isolated from heavy-minerals and quartz using lithium </w:t>
      </w:r>
      <w:proofErr w:type="spellStart"/>
      <w:r w:rsidRPr="00B17AC5">
        <w:rPr>
          <w:rFonts w:ascii="Georgia" w:hAnsi="Georgia" w:cs="Helvetica-Bold"/>
          <w:sz w:val="24"/>
          <w:szCs w:val="24"/>
        </w:rPr>
        <w:t>heterotung</w:t>
      </w:r>
      <w:proofErr w:type="spellEnd"/>
      <w:r w:rsidRPr="00B17AC5">
        <w:rPr>
          <w:rFonts w:ascii="Georgia" w:hAnsi="Georgia" w:cs="Helvetica-Bold"/>
          <w:sz w:val="24"/>
          <w:szCs w:val="24"/>
        </w:rPr>
        <w:t xml:space="preserve"> state.</w:t>
      </w:r>
    </w:p>
    <w:p w14:paraId="58FBD786" w14:textId="77777777" w:rsidR="005F3058" w:rsidRPr="00B17AC5" w:rsidRDefault="005F3058" w:rsidP="00095ECE">
      <w:pPr>
        <w:autoSpaceDE w:val="0"/>
        <w:autoSpaceDN w:val="0"/>
        <w:adjustRightInd w:val="0"/>
        <w:spacing w:after="0" w:line="360" w:lineRule="auto"/>
        <w:jc w:val="both"/>
        <w:rPr>
          <w:rFonts w:ascii="Georgia" w:hAnsi="Georgia" w:cs="Helvetica-Bold"/>
          <w:b/>
          <w:bCs/>
          <w:sz w:val="24"/>
          <w:szCs w:val="24"/>
        </w:rPr>
      </w:pPr>
      <w:r w:rsidRPr="00B17AC5">
        <w:rPr>
          <w:rFonts w:ascii="Georgia" w:hAnsi="Georgia" w:cs="Helvetica-Bold"/>
          <w:b/>
          <w:bCs/>
          <w:sz w:val="24"/>
          <w:szCs w:val="24"/>
        </w:rPr>
        <w:lastRenderedPageBreak/>
        <w:t>Equivalent dose (De) estimation and dose rate</w:t>
      </w:r>
    </w:p>
    <w:p w14:paraId="508818BA" w14:textId="152A0E99" w:rsidR="005F3058" w:rsidRPr="00B17AC5" w:rsidRDefault="005F3058"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 xml:space="preserve">Due to the high proportion of volcanic rocks in the sedimentary environment, feldspar was used for OSL dating as it was demonstrated in previous studies, that volcanic quartz often yields problematic luminescence characteristics </w:t>
      </w:r>
      <w:r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DOI":"10.1016/j.radmeas.2006.07.008","ISSN":"13504487","author":[{"dropping-particle":"","family":"Tsukamoto","given":"S.","non-dropping-particle":"","parse-names":false,"suffix":""},{"dropping-particle":"","family":"Murray","given":"A.S.","non-dropping-particle":"","parse-names":false,"suffix":""},{"dropping-particle":"","family":"Huot","given":"S.","non-dropping-particle":"","parse-names":false,"suffix":""},{"dropping-particle":"","family":"Watanuki","given":"T.","non-dropping-particle":"","parse-names":false,"suffix":""},{"dropping-particle":"","family":"Denby","given":"P.M.","non-dropping-particle":"","parse-names":false,"suffix":""},{"dropping-particle":"","family":"Bøtter-Jensen","given":"L.","non-dropping-particle":"","parse-names":false,"suffix":""}],"container-title":"Radiation Measurements","id":"ITEM-1","issue":"2","issued":{"date-parts":[["2007","2"]]},"page":"190-197","title":"Luminescence property of volcanic quartz and the use of red isothermal TL for dating tephras","type":"article-journal","volume":"42"},"uris":["http://www.mendeley.com/documents/?uuid=e8969394-c6c0-48f9-94e6-e58a0c201ac5"]}],"mendeley":{"formattedCitation":"[3]","plainTextFormattedCitation":"[3]","previouslyFormattedCitation":"[3]"},"properties":{"noteIndex":0},"schema":"https://github.com/citation-style-language/schema/raw/master/csl-citation.json"}</w:instrText>
      </w:r>
      <w:r w:rsidRPr="00B17AC5">
        <w:rPr>
          <w:rFonts w:ascii="Georgia" w:hAnsi="Georgia" w:cs="Helvetica-Bold"/>
          <w:sz w:val="24"/>
          <w:szCs w:val="24"/>
        </w:rPr>
        <w:fldChar w:fldCharType="separate"/>
      </w:r>
      <w:r w:rsidR="00124899" w:rsidRPr="00B17AC5">
        <w:rPr>
          <w:rFonts w:ascii="Georgia" w:hAnsi="Georgia" w:cs="Helvetica-Bold"/>
          <w:noProof/>
          <w:sz w:val="24"/>
          <w:szCs w:val="24"/>
        </w:rPr>
        <w:t>[3]</w:t>
      </w:r>
      <w:r w:rsidRPr="00B17AC5">
        <w:rPr>
          <w:rFonts w:ascii="Georgia" w:hAnsi="Georgia" w:cs="Helvetica-Bold"/>
          <w:sz w:val="24"/>
          <w:szCs w:val="24"/>
        </w:rPr>
        <w:fldChar w:fldCharType="end"/>
      </w:r>
      <w:r w:rsidRPr="00B17AC5">
        <w:rPr>
          <w:rFonts w:ascii="Georgia" w:hAnsi="Georgia" w:cs="Helvetica-Bold"/>
          <w:sz w:val="24"/>
          <w:szCs w:val="24"/>
        </w:rPr>
        <w:t>.</w:t>
      </w:r>
    </w:p>
    <w:p w14:paraId="10298ABD" w14:textId="77777777" w:rsidR="005F3058" w:rsidRPr="00B17AC5" w:rsidRDefault="005F3058"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 xml:space="preserve">All luminescence measurements were conducted on a </w:t>
      </w:r>
      <w:proofErr w:type="spellStart"/>
      <w:r w:rsidRPr="00B17AC5">
        <w:rPr>
          <w:rFonts w:ascii="Georgia" w:hAnsi="Georgia" w:cs="Helvetica-Bold"/>
          <w:sz w:val="24"/>
          <w:szCs w:val="24"/>
        </w:rPr>
        <w:t>Risø</w:t>
      </w:r>
      <w:proofErr w:type="spellEnd"/>
      <w:r w:rsidRPr="00B17AC5">
        <w:rPr>
          <w:rFonts w:ascii="Georgia" w:hAnsi="Georgia" w:cs="Helvetica-Bold"/>
          <w:sz w:val="24"/>
          <w:szCs w:val="24"/>
        </w:rPr>
        <w:t xml:space="preserve"> TL/OSL DA-20 reader equipped with a 90Sr/90Y beta source with a dose rate of about 0.12 </w:t>
      </w:r>
      <w:proofErr w:type="spellStart"/>
      <w:r w:rsidRPr="00B17AC5">
        <w:rPr>
          <w:rFonts w:ascii="Georgia" w:hAnsi="Georgia" w:cs="Helvetica-Bold"/>
          <w:sz w:val="24"/>
          <w:szCs w:val="24"/>
        </w:rPr>
        <w:t>Gy</w:t>
      </w:r>
      <w:proofErr w:type="spellEnd"/>
      <w:r w:rsidRPr="00B17AC5">
        <w:rPr>
          <w:rFonts w:ascii="Georgia" w:hAnsi="Georgia" w:cs="Helvetica-Bold"/>
          <w:sz w:val="24"/>
          <w:szCs w:val="24"/>
        </w:rPr>
        <w:t xml:space="preserve">/s. </w:t>
      </w:r>
    </w:p>
    <w:p w14:paraId="24BC2F1B" w14:textId="77777777" w:rsidR="005F3058" w:rsidRPr="00B17AC5" w:rsidRDefault="005F3058"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 xml:space="preserve">Feldspar-stimulation was conducted using IR-diodes (~870nm) and the IRSL signal was detected in the320–480 nm wavelength-region. </w:t>
      </w:r>
    </w:p>
    <w:p w14:paraId="6267EC5C" w14:textId="5C5F9804" w:rsidR="005F3058" w:rsidRPr="00B17AC5" w:rsidRDefault="005F3058"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 xml:space="preserve">Tests on the </w:t>
      </w:r>
      <w:proofErr w:type="gramStart"/>
      <w:r w:rsidRPr="00B17AC5">
        <w:rPr>
          <w:rFonts w:ascii="Georgia" w:hAnsi="Georgia" w:cs="Helvetica-Bold"/>
          <w:sz w:val="24"/>
          <w:szCs w:val="24"/>
        </w:rPr>
        <w:t>coarse</w:t>
      </w:r>
      <w:proofErr w:type="gramEnd"/>
      <w:r w:rsidRPr="00B17AC5">
        <w:rPr>
          <w:rFonts w:ascii="Georgia" w:hAnsi="Georgia" w:cs="Helvetica-Bold"/>
          <w:sz w:val="24"/>
          <w:szCs w:val="24"/>
        </w:rPr>
        <w:t xml:space="preserve"> (180-250 microns) feldspar material showed a very low luminescence sensitivity of the coarse feldspar material excluding the possibility of using small</w:t>
      </w:r>
      <w:r w:rsidR="00095ECE" w:rsidRPr="00B17AC5">
        <w:rPr>
          <w:rFonts w:ascii="Georgia" w:hAnsi="Georgia" w:cs="Helvetica-Bold"/>
          <w:sz w:val="24"/>
          <w:szCs w:val="24"/>
        </w:rPr>
        <w:t>-</w:t>
      </w:r>
      <w:r w:rsidRPr="00B17AC5">
        <w:rPr>
          <w:rFonts w:ascii="Georgia" w:hAnsi="Georgia" w:cs="Helvetica-Bold"/>
          <w:sz w:val="24"/>
          <w:szCs w:val="24"/>
        </w:rPr>
        <w:t xml:space="preserve">sized aliquots or single grains for feldspar-luminescence dating. The fine-grain material yielded much brighter luminescence and reproducibility tests on </w:t>
      </w:r>
      <w:proofErr w:type="spellStart"/>
      <w:r w:rsidRPr="00B17AC5">
        <w:rPr>
          <w:rFonts w:ascii="Georgia" w:hAnsi="Georgia" w:cs="Helvetica-Bold"/>
          <w:sz w:val="24"/>
          <w:szCs w:val="24"/>
        </w:rPr>
        <w:t>polyminerals</w:t>
      </w:r>
      <w:proofErr w:type="spellEnd"/>
      <w:r w:rsidRPr="00B17AC5">
        <w:rPr>
          <w:rFonts w:ascii="Georgia" w:hAnsi="Georgia" w:cs="Helvetica-Bold"/>
          <w:sz w:val="24"/>
          <w:szCs w:val="24"/>
        </w:rPr>
        <w:t xml:space="preserve"> underlined the suitability of the 4-11 µm fraction for dating (see Fig. </w:t>
      </w:r>
      <w:proofErr w:type="spellStart"/>
      <w:r w:rsidR="003B1A35" w:rsidRPr="00B17AC5">
        <w:rPr>
          <w:rFonts w:ascii="Georgia" w:hAnsi="Georgia" w:cs="Helvetica-Bold"/>
          <w:sz w:val="24"/>
          <w:szCs w:val="24"/>
          <w:lang w:val="en-GB"/>
        </w:rPr>
        <w:t>Sp</w:t>
      </w:r>
      <w:proofErr w:type="spellEnd"/>
      <w:r w:rsidR="003B1A35" w:rsidRPr="00B17AC5">
        <w:rPr>
          <w:rFonts w:ascii="Georgia" w:hAnsi="Georgia" w:cs="Helvetica-Bold"/>
          <w:sz w:val="24"/>
          <w:szCs w:val="24"/>
          <w:lang w:val="en-GB"/>
        </w:rPr>
        <w:t xml:space="preserve"> 1. Fig. 1 and 2</w:t>
      </w:r>
      <w:r w:rsidRPr="00B17AC5">
        <w:rPr>
          <w:rFonts w:ascii="Georgia" w:hAnsi="Georgia" w:cs="Helvetica-Bold"/>
          <w:sz w:val="24"/>
          <w:szCs w:val="24"/>
        </w:rPr>
        <w:t xml:space="preserve">). </w:t>
      </w:r>
    </w:p>
    <w:p w14:paraId="18656597" w14:textId="18D5BDBE" w:rsidR="005F3058" w:rsidRPr="00B17AC5" w:rsidRDefault="005F3058"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The protocol parameters for the used single-aliquot regenerative dose (SAR) protocol were defined by applying dose recovery tests on samples L-Eva 1684, 1685</w:t>
      </w:r>
      <w:r w:rsidR="00095ECE" w:rsidRPr="00B17AC5">
        <w:rPr>
          <w:rFonts w:ascii="Georgia" w:hAnsi="Georgia" w:cs="Helvetica-Bold"/>
          <w:sz w:val="24"/>
          <w:szCs w:val="24"/>
        </w:rPr>
        <w:t>,</w:t>
      </w:r>
      <w:r w:rsidRPr="00B17AC5">
        <w:rPr>
          <w:rFonts w:ascii="Georgia" w:hAnsi="Georgia" w:cs="Helvetica-Bold"/>
          <w:sz w:val="24"/>
          <w:szCs w:val="24"/>
        </w:rPr>
        <w:t xml:space="preserve"> and 1686</w:t>
      </w:r>
      <w:r w:rsidR="00DB4A6C" w:rsidRPr="00B17AC5">
        <w:rPr>
          <w:rFonts w:ascii="Georgia" w:hAnsi="Georgia" w:cs="Helvetica-Bold"/>
          <w:sz w:val="24"/>
          <w:szCs w:val="24"/>
        </w:rPr>
        <w:t>.</w:t>
      </w:r>
      <w:r w:rsidRPr="00B17AC5">
        <w:rPr>
          <w:rFonts w:ascii="Georgia" w:hAnsi="Georgia" w:cs="Helvetica-Bold"/>
          <w:sz w:val="24"/>
          <w:szCs w:val="24"/>
        </w:rPr>
        <w:t xml:space="preserve"> </w:t>
      </w:r>
      <w:r w:rsidR="00DB4A6C" w:rsidRPr="00B17AC5">
        <w:rPr>
          <w:rFonts w:ascii="Georgia" w:hAnsi="Georgia" w:cs="Helvetica-Bold"/>
          <w:sz w:val="24"/>
          <w:szCs w:val="24"/>
        </w:rPr>
        <w:t>It</w:t>
      </w:r>
      <w:r w:rsidRPr="00B17AC5">
        <w:rPr>
          <w:rFonts w:ascii="Georgia" w:hAnsi="Georgia" w:cs="Helvetica-Bold"/>
          <w:sz w:val="24"/>
          <w:szCs w:val="24"/>
        </w:rPr>
        <w:t xml:space="preserve"> turned out that the pIRIR225 </w:t>
      </w:r>
      <w:r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DOI":"10.1016/j.radmeas.2009.02.007","ISSN":"13504487","author":[{"dropping-particle":"","family":"Buylaert","given":"J.P.","non-dropping-particle":"","parse-names":false,"suffix":""},{"dropping-particle":"","family":"Murray","given":"A.S.","non-dropping-particle":"","parse-names":false,"suffix":""},{"dropping-particle":"","family":"Thomsen","given":"K.J.","non-dropping-particle":"","parse-names":false,"suffix":""},{"dropping-particle":"","family":"Jain","given":"M.","non-dropping-particle":"","parse-names":false,"suffix":""}],"container-title":"Radiation Measurements","id":"ITEM-1","issue":"5-6","issued":{"date-parts":[["2009","5"]]},"page":"560-565","title":"Testing the potential of an elevated temperature IRSL signal from K-feldspar","type":"article-journal","volume":"44"},"uris":["http://www.mendeley.com/documents/?uuid=2ff8095b-1025-4326-b8da-0825a79a1360"]}],"mendeley":{"formattedCitation":"[4]","plainTextFormattedCitation":"[4]","previouslyFormattedCitation":"[4]"},"properties":{"noteIndex":0},"schema":"https://github.com/citation-style-language/schema/raw/master/csl-citation.json"}</w:instrText>
      </w:r>
      <w:r w:rsidRPr="00B17AC5">
        <w:rPr>
          <w:rFonts w:ascii="Georgia" w:hAnsi="Georgia" w:cs="Helvetica-Bold"/>
          <w:sz w:val="24"/>
          <w:szCs w:val="24"/>
        </w:rPr>
        <w:fldChar w:fldCharType="separate"/>
      </w:r>
      <w:r w:rsidR="00124899" w:rsidRPr="00B17AC5">
        <w:rPr>
          <w:rFonts w:ascii="Georgia" w:hAnsi="Georgia" w:cs="Helvetica-Bold"/>
          <w:noProof/>
          <w:sz w:val="24"/>
          <w:szCs w:val="24"/>
        </w:rPr>
        <w:t>[4]</w:t>
      </w:r>
      <w:r w:rsidRPr="00B17AC5">
        <w:rPr>
          <w:rFonts w:ascii="Georgia" w:hAnsi="Georgia" w:cs="Helvetica-Bold"/>
          <w:sz w:val="24"/>
          <w:szCs w:val="24"/>
        </w:rPr>
        <w:fldChar w:fldCharType="end"/>
      </w:r>
      <w:r w:rsidRPr="00B17AC5">
        <w:rPr>
          <w:rFonts w:ascii="Georgia" w:hAnsi="Georgia" w:cs="Helvetica-Bold"/>
          <w:sz w:val="24"/>
          <w:szCs w:val="24"/>
        </w:rPr>
        <w:t xml:space="preserve"> approach is most suitable for equivalent dose measurements. In the used protocol, the feldspar signal was measured at 225°C for 200 s after depleting the IR50 signal for 100 s. The preheat/ </w:t>
      </w:r>
      <w:proofErr w:type="spellStart"/>
      <w:r w:rsidRPr="00B17AC5">
        <w:rPr>
          <w:rFonts w:ascii="Georgia" w:hAnsi="Georgia" w:cs="Helvetica-Bold"/>
          <w:sz w:val="24"/>
          <w:szCs w:val="24"/>
        </w:rPr>
        <w:t>cutheat</w:t>
      </w:r>
      <w:proofErr w:type="spellEnd"/>
      <w:r w:rsidRPr="00B17AC5">
        <w:rPr>
          <w:rFonts w:ascii="Georgia" w:hAnsi="Georgia" w:cs="Helvetica-Bold"/>
          <w:sz w:val="24"/>
          <w:szCs w:val="24"/>
        </w:rPr>
        <w:t xml:space="preserve"> temperature was set to 250 °C. From each sample, 10-15 aliquots were measured. For final De-calculation, only aliquots with recycling ratios deviating &lt; 10 % from unity were integrated. The De-value from each sample was calculated by determining </w:t>
      </w:r>
      <w:r w:rsidR="00095ECE" w:rsidRPr="00B17AC5">
        <w:rPr>
          <w:rFonts w:ascii="Georgia" w:hAnsi="Georgia" w:cs="Helvetica-Bold"/>
          <w:sz w:val="24"/>
          <w:szCs w:val="24"/>
        </w:rPr>
        <w:t xml:space="preserve">the </w:t>
      </w:r>
      <w:r w:rsidRPr="00B17AC5">
        <w:rPr>
          <w:rFonts w:ascii="Georgia" w:hAnsi="Georgia" w:cs="Helvetica-Bold"/>
          <w:sz w:val="24"/>
          <w:szCs w:val="24"/>
        </w:rPr>
        <w:t xml:space="preserve">mean-value and its standard error respectively. </w:t>
      </w:r>
    </w:p>
    <w:p w14:paraId="04F71FB6" w14:textId="5ADCE083" w:rsidR="005F3058" w:rsidRPr="00B17AC5" w:rsidRDefault="001D2C55" w:rsidP="00095ECE">
      <w:pPr>
        <w:autoSpaceDE w:val="0"/>
        <w:autoSpaceDN w:val="0"/>
        <w:adjustRightInd w:val="0"/>
        <w:spacing w:after="0" w:line="360" w:lineRule="auto"/>
        <w:jc w:val="both"/>
        <w:rPr>
          <w:rFonts w:ascii="Georgia" w:hAnsi="Georgia" w:cs="Helvetica-Bold"/>
          <w:sz w:val="24"/>
          <w:szCs w:val="24"/>
        </w:rPr>
      </w:pPr>
      <w:r w:rsidRPr="00B17AC5">
        <w:rPr>
          <w:rFonts w:ascii="Georgia" w:hAnsi="Georgia" w:cs="Helvetica-Bold"/>
          <w:sz w:val="24"/>
          <w:szCs w:val="24"/>
        </w:rPr>
        <w:t>T</w:t>
      </w:r>
      <w:r w:rsidR="005F3058" w:rsidRPr="00B17AC5">
        <w:rPr>
          <w:rFonts w:ascii="Georgia" w:hAnsi="Georgia" w:cs="Helvetica-Bold"/>
          <w:sz w:val="24"/>
          <w:szCs w:val="24"/>
        </w:rPr>
        <w:t xml:space="preserve">he conducted fading measurements </w:t>
      </w:r>
      <w:r w:rsidR="005F3058"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{"citationItems":[{"id":"ITEM-1","itemData":{"DOI":"10.1139/cjes-38-7-1093","ISSN":"14803313","author":[{"dropping-particle":"","family":"Huntley, D.J., Lamothe","given":"M.","non-dropping-particle":"","parse-names":false,"suffix":""}],"container-title":"Canadian Journal of Earth Sciences","id":"ITEM-1","issue":"7","issued":{"date-parts":[["2001"]]},"page":"1093-1106","title":"Ubiquity of anomalous fading in K-feldspars and the measurement and correction for it in optical dating","type":"article-journal","volume":"38"},"uris":["http://www.mendeley.com/documents/?uuid=786cfd09-0516-47c1-997c-11a0c98dcbfe"]}],"mendeley":{"formattedCitation":"[5]","plainTextFormattedCitation":"[5]","previouslyFormattedCitation":"[5]"},"properties":{"noteIndex":0},"schema":"https://github.com/citation-style-language/schema/raw/master/csl-citation.json"}</w:instrText>
      </w:r>
      <w:r w:rsidR="005F3058" w:rsidRPr="00B17AC5">
        <w:rPr>
          <w:rFonts w:ascii="Georgia" w:hAnsi="Georgia" w:cs="Helvetica-Bold"/>
          <w:sz w:val="24"/>
          <w:szCs w:val="24"/>
        </w:rPr>
        <w:fldChar w:fldCharType="separate"/>
      </w:r>
      <w:r w:rsidR="00124899" w:rsidRPr="00B17AC5">
        <w:rPr>
          <w:rFonts w:ascii="Georgia" w:hAnsi="Georgia" w:cs="Helvetica-Bold"/>
          <w:noProof/>
          <w:sz w:val="24"/>
          <w:szCs w:val="24"/>
        </w:rPr>
        <w:t>[5]</w:t>
      </w:r>
      <w:r w:rsidR="005F3058" w:rsidRPr="00B17AC5">
        <w:rPr>
          <w:rFonts w:ascii="Georgia" w:hAnsi="Georgia" w:cs="Helvetica-Bold"/>
          <w:sz w:val="24"/>
          <w:szCs w:val="24"/>
        </w:rPr>
        <w:fldChar w:fldCharType="end"/>
      </w:r>
      <w:r w:rsidR="005F3058" w:rsidRPr="00B17AC5">
        <w:rPr>
          <w:rFonts w:ascii="Georgia" w:hAnsi="Georgia" w:cs="Helvetica-Bold"/>
          <w:sz w:val="24"/>
          <w:szCs w:val="24"/>
        </w:rPr>
        <w:t xml:space="preserve"> indicated the high signal stability (low fading) of the feldspar signal stimulated at 225°C after depleting the IR50 signal. Therefore, no fading correction was conducted.</w:t>
      </w:r>
    </w:p>
    <w:p w14:paraId="17883208" w14:textId="5D53C3A1" w:rsidR="005F3058" w:rsidRPr="00B17AC5" w:rsidRDefault="005F3058" w:rsidP="00095ECE">
      <w:pPr>
        <w:autoSpaceDE w:val="0"/>
        <w:autoSpaceDN w:val="0"/>
        <w:adjustRightInd w:val="0"/>
        <w:spacing w:after="0" w:line="360" w:lineRule="auto"/>
        <w:jc w:val="both"/>
        <w:rPr>
          <w:rFonts w:ascii="Georgia" w:hAnsi="Georgia" w:cs="Helvetica-Bold"/>
          <w:sz w:val="24"/>
          <w:szCs w:val="24"/>
          <w:rtl/>
        </w:rPr>
      </w:pPr>
      <w:r w:rsidRPr="00B17AC5">
        <w:rPr>
          <w:rFonts w:ascii="Georgia" w:hAnsi="Georgia" w:cs="Helvetica-Bold"/>
          <w:sz w:val="24"/>
          <w:szCs w:val="24"/>
        </w:rPr>
        <w:t>To obtain the nuclide concentrations of 238U, 232Th</w:t>
      </w:r>
      <w:r w:rsidR="00095ECE" w:rsidRPr="00B17AC5">
        <w:rPr>
          <w:rFonts w:ascii="Georgia" w:hAnsi="Georgia" w:cs="Helvetica-Bold"/>
          <w:sz w:val="24"/>
          <w:szCs w:val="24"/>
        </w:rPr>
        <w:t>,</w:t>
      </w:r>
      <w:r w:rsidRPr="00B17AC5">
        <w:rPr>
          <w:rFonts w:ascii="Georgia" w:hAnsi="Georgia" w:cs="Helvetica-Bold"/>
          <w:sz w:val="24"/>
          <w:szCs w:val="24"/>
        </w:rPr>
        <w:t xml:space="preserve"> and 40K and their daughter nuclides high-resolution gamma spectrometry was conducted in the </w:t>
      </w:r>
      <w:proofErr w:type="spellStart"/>
      <w:r w:rsidRPr="00B17AC5">
        <w:rPr>
          <w:rFonts w:ascii="Georgia" w:hAnsi="Georgia" w:cs="Helvetica-Bold"/>
          <w:sz w:val="24"/>
          <w:szCs w:val="24"/>
        </w:rPr>
        <w:t>Felsenkeller</w:t>
      </w:r>
      <w:proofErr w:type="spellEnd"/>
      <w:r w:rsidRPr="00B17AC5">
        <w:rPr>
          <w:rFonts w:ascii="Georgia" w:hAnsi="Georgia" w:cs="Helvetica-Bold"/>
          <w:sz w:val="24"/>
          <w:szCs w:val="24"/>
        </w:rPr>
        <w:t>-laboratory in Dresden.</w:t>
      </w:r>
      <w:r w:rsidR="00095ECE" w:rsidRPr="00B17AC5">
        <w:rPr>
          <w:rFonts w:ascii="Georgia" w:hAnsi="Georgia" w:cs="Helvetica-Bold"/>
          <w:sz w:val="24"/>
          <w:szCs w:val="24"/>
        </w:rPr>
        <w:t xml:space="preserve"> </w:t>
      </w:r>
      <w:r w:rsidRPr="00B17AC5">
        <w:rPr>
          <w:rFonts w:ascii="Georgia" w:hAnsi="Georgia" w:cs="Helvetica-Bold"/>
          <w:sz w:val="24"/>
          <w:szCs w:val="24"/>
        </w:rPr>
        <w:t xml:space="preserve">The cosmic dose rate was taken into account by considering longitude/altitude, height </w:t>
      </w:r>
      <w:proofErr w:type="spellStart"/>
      <w:r w:rsidRPr="00B17AC5">
        <w:rPr>
          <w:rFonts w:ascii="Georgia" w:hAnsi="Georgia" w:cs="Helvetica-Bold"/>
          <w:sz w:val="24"/>
          <w:szCs w:val="24"/>
        </w:rPr>
        <w:t>a.s.l</w:t>
      </w:r>
      <w:proofErr w:type="spellEnd"/>
      <w:r w:rsidRPr="00B17AC5">
        <w:rPr>
          <w:rFonts w:ascii="Georgia" w:hAnsi="Georgia" w:cs="Helvetica-Bold"/>
          <w:sz w:val="24"/>
          <w:szCs w:val="24"/>
        </w:rPr>
        <w:t xml:space="preserve">. and thickness of the covering sediment layer </w:t>
      </w:r>
      <w:r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DOI":"10.1016/1350-4487(94)90086-8","ISSN":"13504487","author":[{"dropping-particle":"","family":"Prescott","given":"J.R.","non-dropping-particle":"","parse-names":false,"suffix":""},{"dropping-particle":"","family":"Hutton","given":"J.T.","non-dropping-particle":"","parse-names":false,"suffix":""}],"container-title":"Radiation Measurements","id":"ITEM-1","issue":"2-3","issued":{"date-parts":[["1994","4"]]},"page":"497-500","title":"Cosmic ray contributions to dose rates for luminescence and ESR dating: Large depths and long-term time variations","type":"article-journal","volume":"23"},"uris":["http://www.mendeley.com/documents/?uuid=89705b9c-8429-42e4-a31f-6e4887cb832b"]}],"mendeley":{"formattedCitation":"[6]","plainTextFormattedCitation":"[6]","previouslyFormattedCitation":"[6]"},"properties":{"noteIndex":0},"schema":"https://github.com/citation-style-language/schema/raw/master/csl-citation.json"}</w:instrText>
      </w:r>
      <w:r w:rsidRPr="00B17AC5">
        <w:rPr>
          <w:rFonts w:ascii="Georgia" w:hAnsi="Georgia" w:cs="Helvetica-Bold"/>
          <w:sz w:val="24"/>
          <w:szCs w:val="24"/>
        </w:rPr>
        <w:fldChar w:fldCharType="separate"/>
      </w:r>
      <w:r w:rsidR="00124899" w:rsidRPr="00B17AC5">
        <w:rPr>
          <w:rFonts w:ascii="Georgia" w:hAnsi="Georgia" w:cs="Helvetica-Bold"/>
          <w:noProof/>
          <w:sz w:val="24"/>
          <w:szCs w:val="24"/>
        </w:rPr>
        <w:t>[6]</w:t>
      </w:r>
      <w:r w:rsidRPr="00B17AC5">
        <w:rPr>
          <w:rFonts w:ascii="Georgia" w:hAnsi="Georgia" w:cs="Helvetica-Bold"/>
          <w:sz w:val="24"/>
          <w:szCs w:val="24"/>
        </w:rPr>
        <w:fldChar w:fldCharType="end"/>
      </w:r>
      <w:r w:rsidRPr="00B17AC5">
        <w:rPr>
          <w:rFonts w:ascii="Georgia" w:hAnsi="Georgia" w:cs="Helvetica-Bold"/>
          <w:sz w:val="24"/>
          <w:szCs w:val="24"/>
        </w:rPr>
        <w:t>, dose rate conversion factors following Guerin et al</w:t>
      </w:r>
      <w:r w:rsidR="001D2C55" w:rsidRPr="00B17AC5">
        <w:rPr>
          <w:rFonts w:ascii="Georgia" w:hAnsi="Georgia" w:cs="Helvetica-Bold"/>
          <w:sz w:val="24"/>
          <w:szCs w:val="24"/>
        </w:rPr>
        <w:t>.</w:t>
      </w:r>
      <w:r w:rsidR="00AD7DD4" w:rsidRPr="00B17AC5">
        <w:rPr>
          <w:rFonts w:ascii="Georgia" w:hAnsi="Georgia" w:cs="Helvetica-Bold"/>
          <w:sz w:val="24"/>
          <w:szCs w:val="24"/>
        </w:rPr>
        <w:t xml:space="preserve"> </w:t>
      </w:r>
      <w:r w:rsidRPr="00B17AC5">
        <w:rPr>
          <w:rFonts w:ascii="Georgia" w:hAnsi="Georgia" w:cs="Helvetica-Bold"/>
          <w:sz w:val="24"/>
          <w:szCs w:val="24"/>
        </w:rPr>
        <w:fldChar w:fldCharType="begin" w:fldLock="1"/>
      </w:r>
      <w:r w:rsidR="00864DA4" w:rsidRPr="00B17AC5">
        <w:rPr>
          <w:rFonts w:ascii="Georgia" w:hAnsi="Georgia" w:cs="Helvetica-Bold"/>
          <w:sz w:val="24"/>
          <w:szCs w:val="24"/>
        </w:rPr>
        <w:instrText>ADDIN CSL_CITATION {"citationItems":[{"id":"ITEM-1","itemData":{"author":[{"dropping-particle":"","family":"Guérin, G., Mercier, N., Adamiec","given":"G.","non-dropping-particle":"","parse-names":false,"suffix":""}],"container-title":"Ancient TL","id":"ITEM-1","issued":{"date-parts":[["2011"]]},"page":"5–8","title":"Dose-rate conversion factors: update.","type":"article-journal","volume":"29"},"uris":["http://www.mendeley.com/documents/?uuid=cdf84c10-2e7b-49cb-9287-b43260138c9e"]}],"mendeley":{"formattedCitation":"[7]","plainTextFormattedCitation":"[7]","previouslyFormattedCitation":"[7]"},"properties":{"noteIndex":0},"schema":"https://github.com/citation-style-language/schema/raw/master/csl-citation.json"}</w:instrText>
      </w:r>
      <w:r w:rsidRPr="00B17AC5">
        <w:rPr>
          <w:rFonts w:ascii="Georgia" w:hAnsi="Georgia" w:cs="Helvetica-Bold"/>
          <w:sz w:val="24"/>
          <w:szCs w:val="24"/>
        </w:rPr>
        <w:fldChar w:fldCharType="separate"/>
      </w:r>
      <w:r w:rsidR="00124899" w:rsidRPr="00B17AC5">
        <w:rPr>
          <w:rFonts w:ascii="Georgia" w:hAnsi="Georgia" w:cs="Helvetica-Bold"/>
          <w:noProof/>
          <w:sz w:val="24"/>
          <w:szCs w:val="24"/>
        </w:rPr>
        <w:t>[7]</w:t>
      </w:r>
      <w:r w:rsidRPr="00B17AC5">
        <w:rPr>
          <w:rFonts w:ascii="Georgia" w:hAnsi="Georgia" w:cs="Helvetica-Bold"/>
          <w:sz w:val="24"/>
          <w:szCs w:val="24"/>
        </w:rPr>
        <w:fldChar w:fldCharType="end"/>
      </w:r>
      <w:r w:rsidRPr="00B17AC5">
        <w:rPr>
          <w:rFonts w:ascii="Georgia" w:hAnsi="Georgia" w:cs="Helvetica-Bold"/>
          <w:sz w:val="24"/>
          <w:szCs w:val="24"/>
        </w:rPr>
        <w:t xml:space="preserve"> were used. Results of equivalent dose measurements and dosimetry are shown in table </w:t>
      </w:r>
      <w:r w:rsidR="003B1A35" w:rsidRPr="00B17AC5">
        <w:rPr>
          <w:rFonts w:ascii="Georgia" w:hAnsi="Georgia" w:cs="Helvetica-Bold"/>
          <w:sz w:val="24"/>
          <w:szCs w:val="24"/>
        </w:rPr>
        <w:t>5</w:t>
      </w:r>
      <w:r w:rsidRPr="00B17AC5">
        <w:rPr>
          <w:rFonts w:ascii="Georgia" w:hAnsi="Georgia" w:cs="Helvetica-Bold"/>
          <w:sz w:val="24"/>
          <w:szCs w:val="24"/>
        </w:rPr>
        <w:t>.</w:t>
      </w:r>
    </w:p>
    <w:p w14:paraId="60D36B3F" w14:textId="77777777" w:rsidR="00095ECE" w:rsidRPr="00B17AC5" w:rsidRDefault="00B251DE" w:rsidP="00095ECE">
      <w:pPr>
        <w:autoSpaceDE w:val="0"/>
        <w:autoSpaceDN w:val="0"/>
        <w:adjustRightInd w:val="0"/>
        <w:spacing w:after="0" w:line="360" w:lineRule="auto"/>
        <w:jc w:val="both"/>
        <w:rPr>
          <w:rStyle w:val="Heading2Char"/>
          <w:rFonts w:ascii="Georgia" w:hAnsi="Georgia"/>
          <w:lang w:val="en-GB"/>
        </w:rPr>
      </w:pPr>
      <w:r w:rsidRPr="00B17AC5">
        <w:rPr>
          <w:rStyle w:val="Heading2Char"/>
          <w:rFonts w:ascii="Georgia" w:hAnsi="Georgia"/>
          <w:lang w:val="en-GB"/>
        </w:rPr>
        <w:t>Tephra methods</w:t>
      </w:r>
    </w:p>
    <w:p w14:paraId="0BC02B39" w14:textId="669DEE29" w:rsidR="00B251DE" w:rsidRPr="00B17AC5" w:rsidRDefault="00B251DE" w:rsidP="00095ECE">
      <w:pPr>
        <w:autoSpaceDE w:val="0"/>
        <w:autoSpaceDN w:val="0"/>
        <w:adjustRightInd w:val="0"/>
        <w:spacing w:after="0" w:line="360" w:lineRule="auto"/>
        <w:jc w:val="both"/>
        <w:rPr>
          <w:rFonts w:ascii="Georgia" w:hAnsi="Georgia" w:cs="Helvetica-Bold"/>
          <w:sz w:val="24"/>
          <w:szCs w:val="24"/>
          <w:lang w:val="en-GB"/>
        </w:rPr>
      </w:pPr>
      <w:r w:rsidRPr="00B17AC5">
        <w:rPr>
          <w:rFonts w:ascii="Georgia" w:hAnsi="Georgia" w:cs="Helvetica-Bold"/>
          <w:sz w:val="24"/>
          <w:szCs w:val="24"/>
          <w:lang w:val="en-GB"/>
        </w:rPr>
        <w:lastRenderedPageBreak/>
        <w:t>Contiguous 2 cm thick samples of sediment were removed from cleaned trench sections and placed into individual zip-lock bags. In the laboratory, five 2 cm thick samples were amalgamated to create a 10 cm thick scan sample, measuring approximately 2-3 cm</w:t>
      </w:r>
      <w:r w:rsidRPr="00B17AC5">
        <w:rPr>
          <w:rFonts w:ascii="Georgia" w:hAnsi="Georgia" w:cs="Helvetica-Bold"/>
          <w:sz w:val="24"/>
          <w:szCs w:val="24"/>
          <w:vertAlign w:val="superscript"/>
          <w:lang w:val="en-GB"/>
        </w:rPr>
        <w:t>3</w:t>
      </w:r>
      <w:r w:rsidRPr="00B17AC5">
        <w:rPr>
          <w:rFonts w:ascii="Georgia" w:hAnsi="Georgia" w:cs="Helvetica-Bold"/>
          <w:sz w:val="24"/>
          <w:szCs w:val="24"/>
          <w:lang w:val="en-GB"/>
        </w:rPr>
        <w:t xml:space="preserve">. These were dried overnight at 105°C, before being combusted at 550°C to eliminate any organics. The residues from this process were immersed in 10% HCL to remove any carbonate, with the remaining material passed through sieves with an aperture of 125 and 15 </w:t>
      </w:r>
      <w:proofErr w:type="spellStart"/>
      <w:r w:rsidRPr="00B17AC5">
        <w:rPr>
          <w:rFonts w:ascii="Georgia" w:hAnsi="Georgia" w:cs="Helvetica-Bold"/>
          <w:sz w:val="24"/>
          <w:szCs w:val="24"/>
          <w:lang w:val="en-GB"/>
        </w:rPr>
        <w:t>μm</w:t>
      </w:r>
      <w:proofErr w:type="spellEnd"/>
      <w:r w:rsidRPr="00B17AC5">
        <w:rPr>
          <w:rFonts w:ascii="Georgia" w:hAnsi="Georgia" w:cs="Helvetica-Bold"/>
          <w:sz w:val="24"/>
          <w:szCs w:val="24"/>
          <w:lang w:val="en-GB"/>
        </w:rPr>
        <w:t xml:space="preserve">: retaining all residue greater than 15 </w:t>
      </w:r>
      <w:proofErr w:type="spellStart"/>
      <w:r w:rsidRPr="00B17AC5">
        <w:rPr>
          <w:rFonts w:ascii="Georgia" w:hAnsi="Georgia" w:cs="Helvetica-Bold"/>
          <w:sz w:val="24"/>
          <w:szCs w:val="24"/>
          <w:lang w:val="en-GB"/>
        </w:rPr>
        <w:t>μm</w:t>
      </w:r>
      <w:proofErr w:type="spellEnd"/>
      <w:r w:rsidRPr="00B17AC5">
        <w:rPr>
          <w:rFonts w:ascii="Georgia" w:hAnsi="Georgia" w:cs="Helvetica-Bold"/>
          <w:sz w:val="24"/>
          <w:szCs w:val="24"/>
          <w:lang w:val="en-GB"/>
        </w:rPr>
        <w:t xml:space="preserve"> in size. Sieved material in the 15-125 </w:t>
      </w:r>
      <w:proofErr w:type="spellStart"/>
      <w:r w:rsidRPr="00B17AC5">
        <w:rPr>
          <w:rFonts w:ascii="Georgia" w:hAnsi="Georgia" w:cs="Helvetica-Bold"/>
          <w:sz w:val="24"/>
          <w:szCs w:val="24"/>
          <w:lang w:val="en-GB"/>
        </w:rPr>
        <w:t>μm</w:t>
      </w:r>
      <w:proofErr w:type="spellEnd"/>
      <w:r w:rsidRPr="00B17AC5">
        <w:rPr>
          <w:rFonts w:ascii="Georgia" w:hAnsi="Georgia" w:cs="Helvetica-Bold"/>
          <w:sz w:val="24"/>
          <w:szCs w:val="24"/>
          <w:lang w:val="en-GB"/>
        </w:rPr>
        <w:t xml:space="preserve"> size range was processed following the</w:t>
      </w:r>
      <w:r w:rsidR="00864DA4" w:rsidRPr="00B17AC5">
        <w:rPr>
          <w:rFonts w:ascii="Georgia" w:hAnsi="Georgia" w:cs="Helvetica-Bold"/>
          <w:sz w:val="24"/>
          <w:szCs w:val="24"/>
          <w:lang w:val="en-GB"/>
        </w:rPr>
        <w:t xml:space="preserve"> </w:t>
      </w:r>
      <w:proofErr w:type="spellStart"/>
      <w:r w:rsidR="00864DA4" w:rsidRPr="00B17AC5">
        <w:rPr>
          <w:rFonts w:ascii="Georgia" w:hAnsi="Georgia" w:cs="Helvetica-Bold"/>
          <w:sz w:val="24"/>
          <w:szCs w:val="24"/>
          <w:lang w:val="en-GB"/>
        </w:rPr>
        <w:t>Blockley</w:t>
      </w:r>
      <w:proofErr w:type="spellEnd"/>
      <w:r w:rsidR="00DB4A6C" w:rsidRPr="00B17AC5">
        <w:rPr>
          <w:rFonts w:ascii="Georgia" w:hAnsi="Georgia" w:cs="Helvetica-Bold"/>
          <w:sz w:val="24"/>
          <w:szCs w:val="24"/>
          <w:lang w:val="en-GB"/>
        </w:rPr>
        <w:t xml:space="preserve"> </w:t>
      </w:r>
      <w:r w:rsidR="00864DA4" w:rsidRPr="00B17AC5">
        <w:rPr>
          <w:rFonts w:ascii="Georgia" w:hAnsi="Georgia" w:cs="Helvetica-Bold"/>
          <w:sz w:val="24"/>
          <w:szCs w:val="24"/>
          <w:lang w:val="en-GB"/>
        </w:rPr>
        <w:t xml:space="preserve">et al., </w:t>
      </w:r>
      <w:r w:rsidR="00864DA4" w:rsidRPr="00B17AC5">
        <w:rPr>
          <w:rFonts w:ascii="Georgia" w:hAnsi="Georgia" w:cs="Helvetica-Bold"/>
          <w:sz w:val="24"/>
          <w:szCs w:val="24"/>
          <w:lang w:val="en-GB"/>
        </w:rPr>
        <w:fldChar w:fldCharType="begin" w:fldLock="1"/>
      </w:r>
      <w:r w:rsidR="00C5785A" w:rsidRPr="00B17AC5">
        <w:rPr>
          <w:rFonts w:ascii="Georgia" w:hAnsi="Georgia" w:cs="Helvetica-Bold"/>
          <w:sz w:val="24"/>
          <w:szCs w:val="24"/>
          <w:lang w:val="en-GB"/>
        </w:rPr>
        <w:instrText>ADDIN CSL_CITATION {"citationItems":[{"id":"ITEM-1","itemData":{"author":[{"dropping-particle":"","family":"Blockley, S.P.E., Pyne-O’Donnell, S.D.F., Lowe, J.J., Matthews, I.P., Stone, A., Pollard, A.M., Turney, C.S.M. and Molyneux","given":"E.G.","non-dropping-particle":"","parse-names":false,"suffix":""}],"container-title":"Quaternary Science Reviews","id":"ITEM-1","issued":{"date-parts":[["2005"]]},"page":"1952-1960","title":"A new and less destructive laboratory procedure for the physical separation of distal glass tephra shards from sediments.","type":"article-journal","volume":"24"},"uris":["http://www.mendeley.com/documents/?uuid=b1248739-78a9-43ec-baf7-1e655c1cb890"]}],"mendeley":{"formattedCitation":"[8]","plainTextFormattedCitation":"[8]","previouslyFormattedCitation":"[8]"},"properties":{"noteIndex":0},"schema":"https://github.com/citation-style-language/schema/raw/master/csl-citation.json"}</w:instrText>
      </w:r>
      <w:r w:rsidR="00864DA4" w:rsidRPr="00B17AC5">
        <w:rPr>
          <w:rFonts w:ascii="Georgia" w:hAnsi="Georgia" w:cs="Helvetica-Bold"/>
          <w:sz w:val="24"/>
          <w:szCs w:val="24"/>
          <w:lang w:val="en-GB"/>
        </w:rPr>
        <w:fldChar w:fldCharType="separate"/>
      </w:r>
      <w:r w:rsidR="00864DA4" w:rsidRPr="00B17AC5">
        <w:rPr>
          <w:rFonts w:ascii="Georgia" w:hAnsi="Georgia" w:cs="Helvetica-Bold"/>
          <w:noProof/>
          <w:sz w:val="24"/>
          <w:szCs w:val="24"/>
          <w:lang w:val="en-GB"/>
        </w:rPr>
        <w:t>[8]</w:t>
      </w:r>
      <w:r w:rsidR="00864DA4" w:rsidRPr="00B17AC5">
        <w:rPr>
          <w:rFonts w:ascii="Georgia" w:hAnsi="Georgia" w:cs="Helvetica-Bold"/>
          <w:sz w:val="24"/>
          <w:szCs w:val="24"/>
          <w:lang w:val="en-GB"/>
        </w:rPr>
        <w:fldChar w:fldCharType="end"/>
      </w:r>
      <w:r w:rsidRPr="00B17AC5">
        <w:rPr>
          <w:rFonts w:ascii="Georgia" w:hAnsi="Georgia" w:cs="Helvetica-Bold"/>
          <w:sz w:val="24"/>
          <w:szCs w:val="24"/>
          <w:lang w:val="en-GB"/>
        </w:rPr>
        <w:t xml:space="preserve"> flotation method, to extract and isolate any volcanic glass shards from the host substrate. To quantify glass shard content, samples were spiked with a known concentration of </w:t>
      </w:r>
      <w:proofErr w:type="spellStart"/>
      <w:r w:rsidRPr="00B17AC5">
        <w:rPr>
          <w:rFonts w:ascii="Georgia" w:hAnsi="Georgia" w:cs="Helvetica-Bold"/>
          <w:sz w:val="24"/>
          <w:szCs w:val="24"/>
          <w:lang w:val="en-GB"/>
        </w:rPr>
        <w:t>palynospheres</w:t>
      </w:r>
      <w:proofErr w:type="spellEnd"/>
      <w:r w:rsidRPr="00B17AC5">
        <w:rPr>
          <w:rFonts w:ascii="Georgia" w:hAnsi="Georgia" w:cs="Helvetica-Bold"/>
          <w:sz w:val="24"/>
          <w:szCs w:val="24"/>
          <w:lang w:val="en-GB"/>
        </w:rPr>
        <w:t xml:space="preserve"> before being mounted on glass microscope slides using Canada balsam as the mounting medium</w:t>
      </w:r>
      <w:r w:rsidR="00C5785A" w:rsidRPr="00B17AC5">
        <w:rPr>
          <w:rFonts w:ascii="Georgia" w:hAnsi="Georgia" w:cs="Helvetica-Bold"/>
          <w:sz w:val="24"/>
          <w:szCs w:val="24"/>
          <w:lang w:val="en-GB"/>
        </w:rPr>
        <w:t xml:space="preserve"> </w:t>
      </w:r>
      <w:r w:rsidR="00C5785A" w:rsidRPr="00B17AC5">
        <w:rPr>
          <w:rFonts w:ascii="Georgia" w:hAnsi="Georgia" w:cs="Helvetica-Bold"/>
          <w:sz w:val="24"/>
          <w:szCs w:val="24"/>
          <w:lang w:val="en-GB"/>
        </w:rPr>
        <w:fldChar w:fldCharType="begin" w:fldLock="1"/>
      </w:r>
      <w:r w:rsidR="00C5785A" w:rsidRPr="00B17AC5">
        <w:rPr>
          <w:rFonts w:ascii="Georgia" w:hAnsi="Georgia" w:cs="Helvetica-Bold"/>
          <w:sz w:val="24"/>
          <w:szCs w:val="24"/>
          <w:lang w:val="en-GB"/>
        </w:rPr>
        <w:instrText>ADDIN CSL_CITATION {"citationItems":[{"id":"ITEM-1","itemData":{"author":[{"dropping-particle":"","family":"Gehrels, M.J., Newnham, R.M., Lowe, D.J., Wynne, S., Hazell, Z.J., Caseldine","given":"C.","non-dropping-particle":"","parse-names":false,"suffix":""}],"container-title":"Quaternary International","id":"ITEM-1","issued":{"date-parts":[["2008"]]},"page":"68-84","title":"Towards rapid assay of cryptotephra in peat cores: review and evaluation of various methods","type":"article-journal","volume":"178"},"uris":["http://www.mendeley.com/documents/?uuid=f4837ae7-bdce-461c-884c-2ca8c2bb78ec"]}],"mendeley":{"formattedCitation":"[9]","plainTextFormattedCitation":"[9]","previouslyFormattedCitation":"[9]"},"properties":{"noteIndex":0},"schema":"https://github.com/citation-style-language/schema/raw/master/csl-citation.json"}</w:instrText>
      </w:r>
      <w:r w:rsidR="00C5785A" w:rsidRPr="00B17AC5">
        <w:rPr>
          <w:rFonts w:ascii="Georgia" w:hAnsi="Georgia" w:cs="Helvetica-Bold"/>
          <w:sz w:val="24"/>
          <w:szCs w:val="24"/>
          <w:lang w:val="en-GB"/>
        </w:rPr>
        <w:fldChar w:fldCharType="separate"/>
      </w:r>
      <w:r w:rsidR="00C5785A" w:rsidRPr="00B17AC5">
        <w:rPr>
          <w:rFonts w:ascii="Georgia" w:hAnsi="Georgia" w:cs="Helvetica-Bold"/>
          <w:noProof/>
          <w:sz w:val="24"/>
          <w:szCs w:val="24"/>
          <w:lang w:val="en-GB"/>
        </w:rPr>
        <w:t>[9]</w:t>
      </w:r>
      <w:r w:rsidR="00C5785A" w:rsidRPr="00B17AC5">
        <w:rPr>
          <w:rFonts w:ascii="Georgia" w:hAnsi="Georgia" w:cs="Helvetica-Bold"/>
          <w:sz w:val="24"/>
          <w:szCs w:val="24"/>
          <w:lang w:val="en-GB"/>
        </w:rPr>
        <w:fldChar w:fldCharType="end"/>
      </w:r>
      <w:r w:rsidRPr="00B17AC5">
        <w:rPr>
          <w:rFonts w:ascii="Georgia" w:hAnsi="Georgia" w:cs="Helvetica-Bold"/>
          <w:sz w:val="24"/>
          <w:szCs w:val="24"/>
          <w:lang w:val="en-GB"/>
        </w:rPr>
        <w:t xml:space="preserve">. Quantification of glass shard content was conducted using a high-powered polarizing light microscope at 200 and 400 x magnification, and concentrations of glass shards were established using the following equation: </w:t>
      </w:r>
    </w:p>
    <w:p w14:paraId="6646EE0B" w14:textId="0EC390F5" w:rsidR="00B251DE" w:rsidRPr="00B17AC5" w:rsidRDefault="00B251DE" w:rsidP="00095ECE">
      <w:pPr>
        <w:autoSpaceDE w:val="0"/>
        <w:autoSpaceDN w:val="0"/>
        <w:adjustRightInd w:val="0"/>
        <w:spacing w:after="0" w:line="360" w:lineRule="auto"/>
        <w:jc w:val="both"/>
        <w:rPr>
          <w:rFonts w:ascii="Georgia" w:hAnsi="Georgia" w:cs="Helvetica-Bold"/>
          <w:sz w:val="24"/>
          <w:szCs w:val="24"/>
          <w:vertAlign w:val="superscript"/>
          <w:lang w:val="en-GB"/>
        </w:rPr>
      </w:pPr>
      <m:oMathPara>
        <m:oMath>
          <m:r>
            <w:rPr>
              <w:rFonts w:ascii="Cambria Math" w:hAnsi="Cambria Math" w:cs="Helvetica-Bold"/>
              <w:sz w:val="24"/>
              <w:szCs w:val="24"/>
              <w:vertAlign w:val="superscript"/>
              <w:lang w:val="en-GB"/>
            </w:rPr>
            <m:t>C=</m:t>
          </m:r>
          <m:d>
            <m:dPr>
              <m:ctrlPr>
                <w:rPr>
                  <w:rFonts w:ascii="Cambria Math" w:hAnsi="Cambria Math" w:cs="Helvetica-Bold"/>
                  <w:i/>
                  <w:sz w:val="24"/>
                  <w:szCs w:val="24"/>
                  <w:vertAlign w:val="superscript"/>
                  <w:lang w:val="en-GB"/>
                </w:rPr>
              </m:ctrlPr>
            </m:dPr>
            <m:e>
              <m:f>
                <m:fPr>
                  <m:ctrlPr>
                    <w:rPr>
                      <w:rFonts w:ascii="Cambria Math" w:hAnsi="Cambria Math" w:cs="Helvetica-Bold"/>
                      <w:i/>
                      <w:sz w:val="24"/>
                      <w:szCs w:val="24"/>
                      <w:vertAlign w:val="superscript"/>
                      <w:lang w:val="en-GB"/>
                    </w:rPr>
                  </m:ctrlPr>
                </m:fPr>
                <m:num>
                  <m:r>
                    <w:rPr>
                      <w:rFonts w:ascii="Cambria Math" w:hAnsi="Cambria Math" w:cs="Helvetica-Bold"/>
                      <w:sz w:val="24"/>
                      <w:szCs w:val="24"/>
                      <w:vertAlign w:val="superscript"/>
                      <w:lang w:val="en-GB"/>
                    </w:rPr>
                    <m:t>pxa</m:t>
                  </m:r>
                </m:num>
                <m:den>
                  <m:r>
                    <w:rPr>
                      <w:rFonts w:ascii="Cambria Math" w:hAnsi="Cambria Math" w:cs="Helvetica-Bold"/>
                      <w:sz w:val="24"/>
                      <w:szCs w:val="24"/>
                      <w:vertAlign w:val="superscript"/>
                      <w:lang w:val="en-GB"/>
                    </w:rPr>
                    <m:t>b</m:t>
                  </m:r>
                </m:den>
              </m:f>
            </m:e>
          </m:d>
          <m:r>
            <w:rPr>
              <w:rFonts w:ascii="Cambria Math" w:hAnsi="Cambria Math" w:cs="Helvetica-Bold"/>
              <w:sz w:val="24"/>
              <w:szCs w:val="24"/>
              <w:vertAlign w:val="superscript"/>
              <w:lang w:val="en-GB"/>
            </w:rPr>
            <m:t>d</m:t>
          </m:r>
        </m:oMath>
      </m:oMathPara>
    </w:p>
    <w:p w14:paraId="4A26FFA4" w14:textId="6E27150D" w:rsidR="00B251DE" w:rsidRPr="00B251DE" w:rsidRDefault="00B251DE" w:rsidP="00095ECE">
      <w:pPr>
        <w:autoSpaceDE w:val="0"/>
        <w:autoSpaceDN w:val="0"/>
        <w:adjustRightInd w:val="0"/>
        <w:spacing w:after="0" w:line="360" w:lineRule="auto"/>
        <w:jc w:val="both"/>
        <w:rPr>
          <w:rFonts w:ascii="Georgia" w:hAnsi="Georgia" w:cs="Helvetica-Bold"/>
          <w:sz w:val="24"/>
          <w:szCs w:val="24"/>
          <w:lang w:val="en-GB"/>
        </w:rPr>
      </w:pPr>
      <w:r w:rsidRPr="00B17AC5">
        <w:rPr>
          <w:rFonts w:ascii="Georgia" w:hAnsi="Georgia" w:cs="Helvetica-Bold"/>
          <w:sz w:val="24"/>
          <w:szCs w:val="24"/>
          <w:lang w:val="en-GB"/>
        </w:rPr>
        <w:t xml:space="preserve">Where c = concentration of glass shards, p = number of </w:t>
      </w:r>
      <w:proofErr w:type="spellStart"/>
      <w:r w:rsidRPr="00B17AC5">
        <w:rPr>
          <w:rFonts w:ascii="Georgia" w:hAnsi="Georgia" w:cs="Helvetica-Bold"/>
          <w:sz w:val="24"/>
          <w:szCs w:val="24"/>
          <w:lang w:val="en-GB"/>
        </w:rPr>
        <w:t>palynospheres</w:t>
      </w:r>
      <w:proofErr w:type="spellEnd"/>
      <w:r w:rsidRPr="00B17AC5">
        <w:rPr>
          <w:rFonts w:ascii="Georgia" w:hAnsi="Georgia" w:cs="Helvetica-Bold"/>
          <w:sz w:val="24"/>
          <w:szCs w:val="24"/>
          <w:lang w:val="en-GB"/>
        </w:rPr>
        <w:t xml:space="preserve"> in a given volume, a = glass shard count, b = </w:t>
      </w:r>
      <w:proofErr w:type="spellStart"/>
      <w:r w:rsidRPr="00B17AC5">
        <w:rPr>
          <w:rFonts w:ascii="Georgia" w:hAnsi="Georgia" w:cs="Helvetica-Bold"/>
          <w:sz w:val="24"/>
          <w:szCs w:val="24"/>
          <w:lang w:val="en-GB"/>
        </w:rPr>
        <w:t>palynosphere</w:t>
      </w:r>
      <w:proofErr w:type="spellEnd"/>
      <w:r w:rsidRPr="00B17AC5">
        <w:rPr>
          <w:rFonts w:ascii="Georgia" w:hAnsi="Georgia" w:cs="Helvetica-Bold"/>
          <w:sz w:val="24"/>
          <w:szCs w:val="24"/>
          <w:lang w:val="en-GB"/>
        </w:rPr>
        <w:t xml:space="preserve"> count, d = dry sample weight in grams. Where the highest concentrations of glass shards were identified, the corresponding 2 cm bag samples comprising the 10 cm san sample, were re-sampled and processed to establish the precise interval where concentrations were highest. Those corresponding peaks in glass shard concentration, along with the visible volcanic ash layers identified in the </w:t>
      </w:r>
      <w:proofErr w:type="spellStart"/>
      <w:r w:rsidRPr="00B17AC5">
        <w:rPr>
          <w:rFonts w:ascii="Georgia" w:hAnsi="Georgia" w:cs="Helvetica-Bold"/>
          <w:sz w:val="24"/>
          <w:szCs w:val="24"/>
          <w:lang w:val="en-GB"/>
        </w:rPr>
        <w:t>Kalavan</w:t>
      </w:r>
      <w:proofErr w:type="spellEnd"/>
      <w:r w:rsidRPr="00B17AC5">
        <w:rPr>
          <w:rFonts w:ascii="Georgia" w:hAnsi="Georgia" w:cs="Helvetica-Bold"/>
          <w:sz w:val="24"/>
          <w:szCs w:val="24"/>
          <w:lang w:val="en-GB"/>
        </w:rPr>
        <w:t xml:space="preserve"> 2 trench excavations, were selected for major element characteri</w:t>
      </w:r>
      <w:r w:rsidR="00095ECE" w:rsidRPr="00B17AC5">
        <w:rPr>
          <w:rFonts w:ascii="Georgia" w:hAnsi="Georgia" w:cs="Helvetica-Bold"/>
          <w:sz w:val="24"/>
          <w:szCs w:val="24"/>
          <w:lang w:val="en-GB"/>
        </w:rPr>
        <w:t>z</w:t>
      </w:r>
      <w:r w:rsidRPr="00B17AC5">
        <w:rPr>
          <w:rFonts w:ascii="Georgia" w:hAnsi="Georgia" w:cs="Helvetica-Bold"/>
          <w:sz w:val="24"/>
          <w:szCs w:val="24"/>
          <w:lang w:val="en-GB"/>
        </w:rPr>
        <w:t xml:space="preserve">ation by Electron Microprobe Analysis (EPMA). Visible volcanic ash samples were bulk mounted onto silicon sheets and impregnated in epoxy resin, whereas </w:t>
      </w:r>
      <w:proofErr w:type="spellStart"/>
      <w:r w:rsidRPr="00B17AC5">
        <w:rPr>
          <w:rFonts w:ascii="Georgia" w:hAnsi="Georgia" w:cs="Helvetica-Bold"/>
          <w:sz w:val="24"/>
          <w:szCs w:val="24"/>
          <w:lang w:val="en-GB"/>
        </w:rPr>
        <w:t>cryptotephra</w:t>
      </w:r>
      <w:proofErr w:type="spellEnd"/>
      <w:r w:rsidRPr="00B17AC5">
        <w:rPr>
          <w:rFonts w:ascii="Georgia" w:hAnsi="Georgia" w:cs="Helvetica-Bold"/>
          <w:sz w:val="24"/>
          <w:szCs w:val="24"/>
          <w:lang w:val="en-GB"/>
        </w:rPr>
        <w:t xml:space="preserve"> glass shards were isolated from their host sediments using the same extraction procedure outline above (omitting the combustion stage) before impregnation. Once hardened, the epoxy resin ‘stubs’ containing the tephra were sectioned, exposing the glass shards at the surface, and polished using 0.3 </w:t>
      </w:r>
      <w:proofErr w:type="spellStart"/>
      <w:r w:rsidRPr="00B17AC5">
        <w:rPr>
          <w:rFonts w:ascii="Georgia" w:hAnsi="Georgia" w:cs="Helvetica-Bold"/>
          <w:sz w:val="24"/>
          <w:szCs w:val="24"/>
          <w:lang w:val="en-GB"/>
        </w:rPr>
        <w:t>μm</w:t>
      </w:r>
      <w:proofErr w:type="spellEnd"/>
      <w:r w:rsidRPr="00B17AC5">
        <w:rPr>
          <w:rFonts w:ascii="Georgia" w:hAnsi="Georgia" w:cs="Helvetica-Bold"/>
          <w:sz w:val="24"/>
          <w:szCs w:val="24"/>
          <w:lang w:val="en-GB"/>
        </w:rPr>
        <w:t xml:space="preserve"> Aluminium oxide powder. Major element analyses of the glass shards </w:t>
      </w:r>
      <w:r w:rsidR="004F0478" w:rsidRPr="00B17AC5">
        <w:rPr>
          <w:rFonts w:ascii="Georgia" w:hAnsi="Georgia" w:cs="Helvetica-Bold"/>
          <w:sz w:val="24"/>
          <w:szCs w:val="24"/>
          <w:lang w:val="en-GB"/>
        </w:rPr>
        <w:t>were</w:t>
      </w:r>
      <w:r w:rsidRPr="00B17AC5">
        <w:rPr>
          <w:rFonts w:ascii="Georgia" w:hAnsi="Georgia" w:cs="Helvetica-Bold"/>
          <w:sz w:val="24"/>
          <w:szCs w:val="24"/>
          <w:lang w:val="en-GB"/>
        </w:rPr>
        <w:t xml:space="preserve"> conducted at the WDS-EPMA (</w:t>
      </w:r>
      <w:proofErr w:type="spellStart"/>
      <w:r w:rsidRPr="00B17AC5">
        <w:rPr>
          <w:rFonts w:ascii="Georgia" w:hAnsi="Georgia" w:cs="Helvetica-Bold"/>
          <w:sz w:val="24"/>
          <w:szCs w:val="24"/>
          <w:lang w:val="en-GB"/>
        </w:rPr>
        <w:t>Cameca</w:t>
      </w:r>
      <w:proofErr w:type="spellEnd"/>
      <w:r w:rsidRPr="00B17AC5">
        <w:rPr>
          <w:rFonts w:ascii="Georgia" w:hAnsi="Georgia" w:cs="Helvetica-Bold"/>
          <w:sz w:val="24"/>
          <w:szCs w:val="24"/>
          <w:lang w:val="en-GB"/>
        </w:rPr>
        <w:t xml:space="preserve"> SX-100) facility in Edinburgh. Beam diameter was set at 5 </w:t>
      </w:r>
      <w:proofErr w:type="spellStart"/>
      <w:r w:rsidRPr="00B17AC5">
        <w:rPr>
          <w:rFonts w:ascii="Georgia" w:hAnsi="Georgia" w:cs="Helvetica-Bold"/>
          <w:sz w:val="24"/>
          <w:szCs w:val="24"/>
          <w:lang w:val="en-GB"/>
        </w:rPr>
        <w:t>μm</w:t>
      </w:r>
      <w:proofErr w:type="spellEnd"/>
      <w:r w:rsidRPr="00B17AC5">
        <w:rPr>
          <w:rFonts w:ascii="Georgia" w:hAnsi="Georgia" w:cs="Helvetica-Bold"/>
          <w:sz w:val="24"/>
          <w:szCs w:val="24"/>
          <w:lang w:val="en-GB"/>
        </w:rPr>
        <w:t xml:space="preserve"> and 15 keV; a current of 2 </w:t>
      </w:r>
      <w:proofErr w:type="spellStart"/>
      <w:r w:rsidRPr="00B17AC5">
        <w:rPr>
          <w:rFonts w:ascii="Georgia" w:hAnsi="Georgia" w:cs="Helvetica-Bold"/>
          <w:sz w:val="24"/>
          <w:szCs w:val="24"/>
          <w:lang w:val="en-GB"/>
        </w:rPr>
        <w:t>nA</w:t>
      </w:r>
      <w:proofErr w:type="spellEnd"/>
      <w:r w:rsidRPr="00B17AC5">
        <w:rPr>
          <w:rFonts w:ascii="Georgia" w:hAnsi="Georgia" w:cs="Helvetica-Bold"/>
          <w:sz w:val="24"/>
          <w:szCs w:val="24"/>
          <w:lang w:val="en-GB"/>
        </w:rPr>
        <w:t xml:space="preserve"> was employed for Al, Si, Fe, K, Ca, Mg and a beam current of 80 </w:t>
      </w:r>
      <w:proofErr w:type="spellStart"/>
      <w:r w:rsidRPr="00B17AC5">
        <w:rPr>
          <w:rFonts w:ascii="Georgia" w:hAnsi="Georgia" w:cs="Helvetica-Bold"/>
          <w:sz w:val="24"/>
          <w:szCs w:val="24"/>
          <w:lang w:val="en-GB"/>
        </w:rPr>
        <w:t>nA</w:t>
      </w:r>
      <w:proofErr w:type="spellEnd"/>
      <w:r w:rsidRPr="00B17AC5">
        <w:rPr>
          <w:rFonts w:ascii="Georgia" w:hAnsi="Georgia" w:cs="Helvetica-Bold"/>
          <w:sz w:val="24"/>
          <w:szCs w:val="24"/>
          <w:lang w:val="en-GB"/>
        </w:rPr>
        <w:t xml:space="preserve"> for F, Mn, Cl and </w:t>
      </w:r>
      <w:proofErr w:type="spellStart"/>
      <w:r w:rsidRPr="00B17AC5">
        <w:rPr>
          <w:rFonts w:ascii="Georgia" w:hAnsi="Georgia" w:cs="Helvetica-Bold"/>
          <w:sz w:val="24"/>
          <w:szCs w:val="24"/>
          <w:lang w:val="en-GB"/>
        </w:rPr>
        <w:t>Ti</w:t>
      </w:r>
      <w:proofErr w:type="spellEnd"/>
      <w:r w:rsidRPr="00B17AC5">
        <w:rPr>
          <w:rFonts w:ascii="Georgia" w:hAnsi="Georgia" w:cs="Helvetica-Bold"/>
          <w:sz w:val="24"/>
          <w:szCs w:val="24"/>
          <w:lang w:val="en-GB"/>
        </w:rPr>
        <w:t xml:space="preserve"> </w:t>
      </w:r>
      <w:r w:rsidR="00C5785A" w:rsidRPr="00B17AC5">
        <w:rPr>
          <w:rFonts w:ascii="Georgia" w:hAnsi="Georgia" w:cs="Helvetica-Bold"/>
          <w:sz w:val="24"/>
          <w:szCs w:val="24"/>
          <w:lang w:val="en-GB"/>
        </w:rPr>
        <w:fldChar w:fldCharType="begin" w:fldLock="1"/>
      </w:r>
      <w:r w:rsidR="00B17AC5">
        <w:rPr>
          <w:rFonts w:ascii="Georgia" w:hAnsi="Georgia" w:cs="Helvetica-Bold"/>
          <w:sz w:val="24"/>
          <w:szCs w:val="24"/>
          <w:lang w:val="en-GB"/>
        </w:rPr>
        <w:instrText>ADDIN CSL_CITATION {"citationItems":[{"id":"ITEM-1","itemData":{"author":[{"dropping-particle":"","family":"Hayward","given":"C.","non-dropping-particle":"","parse-names":false,"suffix":""}],"container-title":"The Holocene","id":"ITEM-1","issued":{"date-parts":[["2012"]]},"page":"119-125","title":"High spatial resolution electron probe microanalysis of tephras and melt inclusions without beam-induced chemical modification","type":"article-journal","volume":"22"},"uris":["http://www.mendeley.com/documents/?uuid=e91c6e2a-a7ad-41fc-bb9d-cd0a794743e1"]}],"mendeley":{"formattedCitation":"[10]","plainTextFormattedCitation":"[10]","previouslyFormattedCitation":"[10]"},"properties":{"noteIndex":0},"schema":"https://github.com/citation-style-language/schema/raw/master/csl-citation.json"}</w:instrText>
      </w:r>
      <w:r w:rsidR="00C5785A" w:rsidRPr="00B17AC5">
        <w:rPr>
          <w:rFonts w:ascii="Georgia" w:hAnsi="Georgia" w:cs="Helvetica-Bold"/>
          <w:sz w:val="24"/>
          <w:szCs w:val="24"/>
          <w:lang w:val="en-GB"/>
        </w:rPr>
        <w:fldChar w:fldCharType="separate"/>
      </w:r>
      <w:r w:rsidR="00C5785A" w:rsidRPr="00B17AC5">
        <w:rPr>
          <w:rFonts w:ascii="Georgia" w:hAnsi="Georgia" w:cs="Helvetica-Bold"/>
          <w:noProof/>
          <w:sz w:val="24"/>
          <w:szCs w:val="24"/>
          <w:lang w:val="en-GB"/>
        </w:rPr>
        <w:t>[10]</w:t>
      </w:r>
      <w:r w:rsidR="00C5785A" w:rsidRPr="00B17AC5">
        <w:rPr>
          <w:rFonts w:ascii="Georgia" w:hAnsi="Georgia" w:cs="Helvetica-Bold"/>
          <w:sz w:val="24"/>
          <w:szCs w:val="24"/>
          <w:lang w:val="en-GB"/>
        </w:rPr>
        <w:fldChar w:fldCharType="end"/>
      </w:r>
      <w:r w:rsidR="00C5785A" w:rsidRPr="00B17AC5">
        <w:rPr>
          <w:rFonts w:ascii="Georgia" w:hAnsi="Georgia" w:cs="Helvetica-Bold"/>
          <w:sz w:val="24"/>
          <w:szCs w:val="24"/>
          <w:lang w:val="en-GB"/>
        </w:rPr>
        <w:t xml:space="preserve">. </w:t>
      </w:r>
      <w:r w:rsidRPr="00B17AC5">
        <w:rPr>
          <w:rFonts w:ascii="Georgia" w:hAnsi="Georgia" w:cs="Helvetica-Bold"/>
          <w:sz w:val="24"/>
          <w:szCs w:val="24"/>
          <w:lang w:val="en-GB"/>
        </w:rPr>
        <w:t xml:space="preserve">To avoid beam-induced chemical modification and depletion of alkalis, various beam currents and count times </w:t>
      </w:r>
      <w:r w:rsidRPr="00B17AC5">
        <w:rPr>
          <w:rFonts w:ascii="Georgia" w:hAnsi="Georgia" w:cs="Helvetica-Bold"/>
          <w:sz w:val="24"/>
          <w:szCs w:val="24"/>
          <w:lang w:val="en-GB"/>
        </w:rPr>
        <w:lastRenderedPageBreak/>
        <w:t>were used to test for, and ultimately prevent Na mobili</w:t>
      </w:r>
      <w:r w:rsidR="00095ECE" w:rsidRPr="00B17AC5">
        <w:rPr>
          <w:rFonts w:ascii="Georgia" w:hAnsi="Georgia" w:cs="Helvetica-Bold"/>
          <w:sz w:val="24"/>
          <w:szCs w:val="24"/>
          <w:lang w:val="en-GB"/>
        </w:rPr>
        <w:t>z</w:t>
      </w:r>
      <w:r w:rsidRPr="00B17AC5">
        <w:rPr>
          <w:rFonts w:ascii="Georgia" w:hAnsi="Georgia" w:cs="Helvetica-Bold"/>
          <w:sz w:val="24"/>
          <w:szCs w:val="24"/>
          <w:lang w:val="en-GB"/>
        </w:rPr>
        <w:t xml:space="preserve">ation. Settings of 0.5-1 </w:t>
      </w:r>
      <w:proofErr w:type="spellStart"/>
      <w:r w:rsidRPr="00B17AC5">
        <w:rPr>
          <w:rFonts w:ascii="Georgia" w:hAnsi="Georgia" w:cs="Helvetica-Bold"/>
          <w:sz w:val="24"/>
          <w:szCs w:val="24"/>
          <w:lang w:val="en-GB"/>
        </w:rPr>
        <w:t>nA</w:t>
      </w:r>
      <w:proofErr w:type="spellEnd"/>
      <w:r w:rsidRPr="00B17AC5">
        <w:rPr>
          <w:rFonts w:ascii="Georgia" w:hAnsi="Georgia" w:cs="Helvetica-Bold"/>
          <w:sz w:val="24"/>
          <w:szCs w:val="24"/>
          <w:lang w:val="en-GB"/>
        </w:rPr>
        <w:t xml:space="preserve"> and count times of 10-20 seconds for Na produced similar results to analyses conducted using higher currents; (2 </w:t>
      </w:r>
      <w:proofErr w:type="spellStart"/>
      <w:r w:rsidRPr="00B17AC5">
        <w:rPr>
          <w:rFonts w:ascii="Georgia" w:hAnsi="Georgia" w:cs="Helvetica-Bold"/>
          <w:sz w:val="24"/>
          <w:szCs w:val="24"/>
          <w:lang w:val="en-GB"/>
        </w:rPr>
        <w:t>nA</w:t>
      </w:r>
      <w:proofErr w:type="spellEnd"/>
      <w:r w:rsidRPr="00B17AC5">
        <w:rPr>
          <w:rFonts w:ascii="Georgia" w:hAnsi="Georgia" w:cs="Helvetica-Bold"/>
          <w:sz w:val="24"/>
          <w:szCs w:val="24"/>
          <w:lang w:val="en-GB"/>
        </w:rPr>
        <w:t>) and count times of 20 seconds, suggesting Na mobili</w:t>
      </w:r>
      <w:r w:rsidR="00095ECE" w:rsidRPr="00B17AC5">
        <w:rPr>
          <w:rFonts w:ascii="Georgia" w:hAnsi="Georgia" w:cs="Helvetica-Bold"/>
          <w:sz w:val="24"/>
          <w:szCs w:val="24"/>
          <w:lang w:val="en-GB"/>
        </w:rPr>
        <w:t>z</w:t>
      </w:r>
      <w:r w:rsidRPr="00B17AC5">
        <w:rPr>
          <w:rFonts w:ascii="Georgia" w:hAnsi="Georgia" w:cs="Helvetica-Bold"/>
          <w:sz w:val="24"/>
          <w:szCs w:val="24"/>
          <w:lang w:val="en-GB"/>
        </w:rPr>
        <w:t>ation was not a major concern for these samples. Establishing the potential susceptibility for Na mobili</w:t>
      </w:r>
      <w:r w:rsidR="00095ECE" w:rsidRPr="00B17AC5">
        <w:rPr>
          <w:rFonts w:ascii="Georgia" w:hAnsi="Georgia" w:cs="Helvetica-Bold"/>
          <w:sz w:val="24"/>
          <w:szCs w:val="24"/>
          <w:lang w:val="en-GB"/>
        </w:rPr>
        <w:t>z</w:t>
      </w:r>
      <w:r w:rsidRPr="00B17AC5">
        <w:rPr>
          <w:rFonts w:ascii="Georgia" w:hAnsi="Georgia" w:cs="Helvetica-Bold"/>
          <w:sz w:val="24"/>
          <w:szCs w:val="24"/>
          <w:lang w:val="en-GB"/>
        </w:rPr>
        <w:t>ation is particularly important due to the lack of published grain specific glass analytical data available from sites in the Southern Caucasus. The electron microprobe was calibrated and analytical precision assessed by the analysis of internal Lipari and BCR-2G secondary standards.</w:t>
      </w:r>
    </w:p>
    <w:p w14:paraId="0D8B4E87" w14:textId="77777777" w:rsidR="00B17AC5" w:rsidRDefault="00B17AC5" w:rsidP="00095ECE">
      <w:pPr>
        <w:autoSpaceDE w:val="0"/>
        <w:autoSpaceDN w:val="0"/>
        <w:adjustRightInd w:val="0"/>
        <w:spacing w:after="0" w:line="360" w:lineRule="auto"/>
        <w:jc w:val="both"/>
        <w:rPr>
          <w:rFonts w:ascii="Georgia" w:hAnsi="Georgia" w:cs="Helvetica-Bold"/>
          <w:b/>
          <w:i/>
          <w:sz w:val="24"/>
          <w:szCs w:val="24"/>
          <w:lang w:val="en-GB"/>
        </w:rPr>
      </w:pPr>
    </w:p>
    <w:p w14:paraId="069AF168" w14:textId="25EAAD65" w:rsidR="00B17AC5" w:rsidRDefault="00B17AC5">
      <w:pPr>
        <w:rPr>
          <w:rFonts w:ascii="Georgia" w:hAnsi="Georgia" w:cs="Helvetica-Bold"/>
          <w:b/>
          <w:i/>
          <w:sz w:val="24"/>
          <w:szCs w:val="24"/>
          <w:lang w:val="en-GB"/>
        </w:rPr>
      </w:pPr>
      <w:r>
        <w:rPr>
          <w:rFonts w:ascii="Georgia" w:hAnsi="Georgia" w:cs="Helvetica-Bold"/>
          <w:b/>
          <w:i/>
          <w:sz w:val="24"/>
          <w:szCs w:val="24"/>
          <w:lang w:val="en-GB"/>
        </w:rPr>
        <w:br w:type="page"/>
      </w:r>
    </w:p>
    <w:p w14:paraId="36DDE8CD" w14:textId="34504605" w:rsidR="00B17AC5" w:rsidRDefault="00B17AC5" w:rsidP="00095ECE">
      <w:pPr>
        <w:autoSpaceDE w:val="0"/>
        <w:autoSpaceDN w:val="0"/>
        <w:adjustRightInd w:val="0"/>
        <w:spacing w:after="0" w:line="360" w:lineRule="auto"/>
        <w:jc w:val="both"/>
        <w:rPr>
          <w:rFonts w:ascii="Georgia" w:hAnsi="Georgia" w:cs="Helvetica-Bold"/>
          <w:b/>
          <w:i/>
          <w:sz w:val="24"/>
          <w:szCs w:val="24"/>
          <w:lang w:val="en-GB"/>
        </w:rPr>
      </w:pPr>
      <w:r>
        <w:rPr>
          <w:rFonts w:ascii="Georgia" w:hAnsi="Georgia" w:cs="Helvetica-Bold"/>
          <w:b/>
          <w:i/>
          <w:sz w:val="24"/>
          <w:szCs w:val="24"/>
          <w:lang w:val="en-GB"/>
        </w:rPr>
        <w:lastRenderedPageBreak/>
        <w:t>Reference:</w:t>
      </w:r>
    </w:p>
    <w:p w14:paraId="4214E6F9" w14:textId="3D202148"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Pr>
          <w:rFonts w:ascii="Georgia" w:hAnsi="Georgia" w:cs="Helvetica-Bold"/>
          <w:b/>
          <w:i/>
          <w:sz w:val="24"/>
          <w:szCs w:val="24"/>
          <w:lang w:val="en-GB"/>
        </w:rPr>
        <w:fldChar w:fldCharType="begin" w:fldLock="1"/>
      </w:r>
      <w:r>
        <w:rPr>
          <w:rFonts w:ascii="Georgia" w:hAnsi="Georgia" w:cs="Helvetica-Bold"/>
          <w:b/>
          <w:i/>
          <w:sz w:val="24"/>
          <w:szCs w:val="24"/>
          <w:lang w:val="en-GB"/>
        </w:rPr>
        <w:instrText xml:space="preserve">ADDIN Mendeley Bibliography CSL_BIBLIOGRAPHY </w:instrText>
      </w:r>
      <w:r>
        <w:rPr>
          <w:rFonts w:ascii="Georgia" w:hAnsi="Georgia" w:cs="Helvetica-Bold"/>
          <w:b/>
          <w:i/>
          <w:sz w:val="24"/>
          <w:szCs w:val="24"/>
          <w:lang w:val="en-GB"/>
        </w:rPr>
        <w:fldChar w:fldCharType="separate"/>
      </w:r>
      <w:r w:rsidRPr="00B17AC5">
        <w:rPr>
          <w:rFonts w:ascii="Georgia" w:hAnsi="Georgia" w:cs="Times New Roman"/>
          <w:noProof/>
          <w:sz w:val="24"/>
          <w:szCs w:val="24"/>
        </w:rPr>
        <w:t xml:space="preserve">1. </w:t>
      </w:r>
      <w:r w:rsidRPr="00B17AC5">
        <w:rPr>
          <w:rFonts w:ascii="Georgia" w:hAnsi="Georgia" w:cs="Times New Roman"/>
          <w:noProof/>
          <w:sz w:val="24"/>
          <w:szCs w:val="24"/>
        </w:rPr>
        <w:tab/>
        <w:t>Ghukasyan, R., Colonge, D., Nahapetyan, S., Ollivier, V., Gasparyan, B., Monchot, H., Chataigner C. Kalavan-2 (North of Lake Sevan, Armenia): A new late middle paleolithic site in the Lesser Caucasus. Archaeol Ethnol Anthropol Eurasia. 2011;38: 39–51. doi:10.1016/j.aeae.2011.02.003</w:t>
      </w:r>
    </w:p>
    <w:p w14:paraId="36EDC3E9"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2. </w:t>
      </w:r>
      <w:r w:rsidRPr="00B17AC5">
        <w:rPr>
          <w:rFonts w:ascii="Georgia" w:hAnsi="Georgia" w:cs="Times New Roman"/>
          <w:noProof/>
          <w:sz w:val="24"/>
          <w:szCs w:val="24"/>
        </w:rPr>
        <w:tab/>
        <w:t>Cherkinsky A, Chataigner C.  14 C Ages of Bone Fractions from Armenian Prehistoric Sites . Radiocarbon. 2010;52: 569–577. doi:10.1017/s0033822200045604</w:t>
      </w:r>
    </w:p>
    <w:p w14:paraId="5A81993C"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3. </w:t>
      </w:r>
      <w:r w:rsidRPr="00B17AC5">
        <w:rPr>
          <w:rFonts w:ascii="Georgia" w:hAnsi="Georgia" w:cs="Times New Roman"/>
          <w:noProof/>
          <w:sz w:val="24"/>
          <w:szCs w:val="24"/>
        </w:rPr>
        <w:tab/>
        <w:t>Tsukamoto S, Murray AS, Huot S, Watanuki T, Denby PM, Bøtter-Jensen L. Luminescence property of volcanic quartz and the use of red isothermal TL for dating tephras. Radiat Meas. 2007;42: 190–197. doi:10.1016/j.radmeas.2006.07.008</w:t>
      </w:r>
    </w:p>
    <w:p w14:paraId="38E07999"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4. </w:t>
      </w:r>
      <w:r w:rsidRPr="00B17AC5">
        <w:rPr>
          <w:rFonts w:ascii="Georgia" w:hAnsi="Georgia" w:cs="Times New Roman"/>
          <w:noProof/>
          <w:sz w:val="24"/>
          <w:szCs w:val="24"/>
        </w:rPr>
        <w:tab/>
        <w:t>Buylaert JP, Murray AS, Thomsen KJ, Jain M. Testing the potential of an elevated temperature IRSL signal from K-feldspar. Radiat Meas. 2009;44: 560–565. doi:10.1016/j.radmeas.2009.02.007</w:t>
      </w:r>
    </w:p>
    <w:p w14:paraId="16A5C484"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5. </w:t>
      </w:r>
      <w:r w:rsidRPr="00B17AC5">
        <w:rPr>
          <w:rFonts w:ascii="Georgia" w:hAnsi="Georgia" w:cs="Times New Roman"/>
          <w:noProof/>
          <w:sz w:val="24"/>
          <w:szCs w:val="24"/>
        </w:rPr>
        <w:tab/>
        <w:t>Huntley, D.J., Lamothe M. Ubiquity of anomalous fading in K-feldspars and the measurement and correction for it in optical dating. Can J Earth Sci. 2001;38: 1093–1106. doi:10.1139/cjes-38-7-1093</w:t>
      </w:r>
    </w:p>
    <w:p w14:paraId="7070BEF0"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6. </w:t>
      </w:r>
      <w:r w:rsidRPr="00B17AC5">
        <w:rPr>
          <w:rFonts w:ascii="Georgia" w:hAnsi="Georgia" w:cs="Times New Roman"/>
          <w:noProof/>
          <w:sz w:val="24"/>
          <w:szCs w:val="24"/>
        </w:rPr>
        <w:tab/>
        <w:t>Prescott JR, Hutton JT. Cosmic ray contributions to dose rates for luminescence and ESR dating: Large depths and long-term time variations. Radiat Meas. 1994;23: 497–500. doi:10.1016/1350-4487(94)90086-8</w:t>
      </w:r>
    </w:p>
    <w:p w14:paraId="3059E5DD"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7. </w:t>
      </w:r>
      <w:r w:rsidRPr="00B17AC5">
        <w:rPr>
          <w:rFonts w:ascii="Georgia" w:hAnsi="Georgia" w:cs="Times New Roman"/>
          <w:noProof/>
          <w:sz w:val="24"/>
          <w:szCs w:val="24"/>
        </w:rPr>
        <w:tab/>
        <w:t xml:space="preserve">Guérin, G., Mercier, N., Adamiec G. Dose-rate conversion factors: update. Anc TL. 2011;29: 5–8. </w:t>
      </w:r>
    </w:p>
    <w:p w14:paraId="03D41FB0"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8. </w:t>
      </w:r>
      <w:r w:rsidRPr="00B17AC5">
        <w:rPr>
          <w:rFonts w:ascii="Georgia" w:hAnsi="Georgia" w:cs="Times New Roman"/>
          <w:noProof/>
          <w:sz w:val="24"/>
          <w:szCs w:val="24"/>
        </w:rPr>
        <w:tab/>
        <w:t xml:space="preserve">Blockley, S.P.E., Pyne-O’Donnell, S.D.F., Lowe, J.J., Matthews, I.P., Stone, A., Pollard, A.M., Turney, C.S.M. and Molyneux EG. A new and less destructive laboratory procedure for the physical separation of distal glass tephra shards from sediments. Quat Sci Rev. 2005;24: 1952–1960. </w:t>
      </w:r>
    </w:p>
    <w:p w14:paraId="7BD05297"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cs="Times New Roman"/>
          <w:noProof/>
          <w:sz w:val="24"/>
          <w:szCs w:val="24"/>
        </w:rPr>
      </w:pPr>
      <w:r w:rsidRPr="00B17AC5">
        <w:rPr>
          <w:rFonts w:ascii="Georgia" w:hAnsi="Georgia" w:cs="Times New Roman"/>
          <w:noProof/>
          <w:sz w:val="24"/>
          <w:szCs w:val="24"/>
        </w:rPr>
        <w:t xml:space="preserve">9. </w:t>
      </w:r>
      <w:r w:rsidRPr="00B17AC5">
        <w:rPr>
          <w:rFonts w:ascii="Georgia" w:hAnsi="Georgia" w:cs="Times New Roman"/>
          <w:noProof/>
          <w:sz w:val="24"/>
          <w:szCs w:val="24"/>
        </w:rPr>
        <w:tab/>
        <w:t xml:space="preserve">Gehrels, M.J., Newnham, R.M., Lowe, D.J., Wynne, S., Hazell, Z.J., Caseldine C. Towards rapid assay of cryptotephra in peat cores: review and evaluation of various methods. Quat Int. 2008;178: 68–84. </w:t>
      </w:r>
    </w:p>
    <w:p w14:paraId="01FD58C8" w14:textId="77777777" w:rsidR="00B17AC5" w:rsidRPr="00B17AC5" w:rsidRDefault="00B17AC5" w:rsidP="00B17AC5">
      <w:pPr>
        <w:widowControl w:val="0"/>
        <w:autoSpaceDE w:val="0"/>
        <w:autoSpaceDN w:val="0"/>
        <w:adjustRightInd w:val="0"/>
        <w:spacing w:after="0" w:line="360" w:lineRule="auto"/>
        <w:ind w:left="640" w:hanging="640"/>
        <w:rPr>
          <w:rFonts w:ascii="Georgia" w:hAnsi="Georgia"/>
          <w:noProof/>
          <w:sz w:val="24"/>
        </w:rPr>
      </w:pPr>
      <w:r w:rsidRPr="00B17AC5">
        <w:rPr>
          <w:rFonts w:ascii="Georgia" w:hAnsi="Georgia" w:cs="Times New Roman"/>
          <w:noProof/>
          <w:sz w:val="24"/>
          <w:szCs w:val="24"/>
        </w:rPr>
        <w:t xml:space="preserve">10. </w:t>
      </w:r>
      <w:r w:rsidRPr="00B17AC5">
        <w:rPr>
          <w:rFonts w:ascii="Georgia" w:hAnsi="Georgia" w:cs="Times New Roman"/>
          <w:noProof/>
          <w:sz w:val="24"/>
          <w:szCs w:val="24"/>
        </w:rPr>
        <w:tab/>
        <w:t xml:space="preserve">Hayward C. High spatial resolution electron probe microanalysis of tephras and melt inclusions without beam-induced chemical modification. The Holocene. </w:t>
      </w:r>
      <w:r w:rsidRPr="00B17AC5">
        <w:rPr>
          <w:rFonts w:ascii="Georgia" w:hAnsi="Georgia" w:cs="Times New Roman"/>
          <w:noProof/>
          <w:sz w:val="24"/>
          <w:szCs w:val="24"/>
        </w:rPr>
        <w:lastRenderedPageBreak/>
        <w:t>2012;22: 119–125. Available: 119-125</w:t>
      </w:r>
    </w:p>
    <w:p w14:paraId="5BE884DB" w14:textId="16AB1A64" w:rsidR="003633AD" w:rsidRPr="003633AD" w:rsidRDefault="00B17AC5" w:rsidP="00095ECE">
      <w:pPr>
        <w:autoSpaceDE w:val="0"/>
        <w:autoSpaceDN w:val="0"/>
        <w:adjustRightInd w:val="0"/>
        <w:spacing w:after="0" w:line="360" w:lineRule="auto"/>
        <w:jc w:val="both"/>
        <w:rPr>
          <w:rFonts w:ascii="Georgia" w:hAnsi="Georgia"/>
          <w:sz w:val="24"/>
          <w:szCs w:val="24"/>
          <w:lang w:val="en-GB"/>
        </w:rPr>
      </w:pPr>
      <w:r>
        <w:rPr>
          <w:rFonts w:ascii="Georgia" w:hAnsi="Georgia" w:cs="Helvetica-Bold"/>
          <w:b/>
          <w:i/>
          <w:sz w:val="24"/>
          <w:szCs w:val="24"/>
          <w:lang w:val="en-GB"/>
        </w:rPr>
        <w:fldChar w:fldCharType="end"/>
      </w:r>
      <w:r w:rsidR="00B251DE" w:rsidRPr="00B251DE">
        <w:rPr>
          <w:rFonts w:ascii="Georgia" w:hAnsi="Georgia" w:cs="Helvetica-Bold"/>
          <w:b/>
          <w:i/>
          <w:sz w:val="24"/>
          <w:szCs w:val="24"/>
          <w:lang w:val="en-GB"/>
        </w:rPr>
        <w:br/>
      </w:r>
    </w:p>
    <w:p w14:paraId="573F17E0" w14:textId="77777777" w:rsidR="003633AD" w:rsidRPr="003633AD" w:rsidRDefault="003633AD" w:rsidP="00095ECE">
      <w:pPr>
        <w:jc w:val="both"/>
        <w:rPr>
          <w:rFonts w:ascii="Georgia" w:hAnsi="Georgia"/>
          <w:sz w:val="28"/>
          <w:szCs w:val="28"/>
          <w:lang w:val="en-GB"/>
        </w:rPr>
      </w:pPr>
    </w:p>
    <w:sectPr w:rsidR="003633AD" w:rsidRPr="003633AD">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LU0NDE3NDEzMrZQ0lEKTi0uzszPAykwrwUARImpbSwAAAA="/>
  </w:docVars>
  <w:rsids>
    <w:rsidRoot w:val="003633AD"/>
    <w:rsid w:val="00095ECE"/>
    <w:rsid w:val="00124899"/>
    <w:rsid w:val="001704A0"/>
    <w:rsid w:val="00177140"/>
    <w:rsid w:val="001D2C55"/>
    <w:rsid w:val="0021285B"/>
    <w:rsid w:val="002812F8"/>
    <w:rsid w:val="003633AD"/>
    <w:rsid w:val="003B1A35"/>
    <w:rsid w:val="004347FE"/>
    <w:rsid w:val="00454876"/>
    <w:rsid w:val="004D7A05"/>
    <w:rsid w:val="004F0478"/>
    <w:rsid w:val="00576F55"/>
    <w:rsid w:val="005F3058"/>
    <w:rsid w:val="006108BC"/>
    <w:rsid w:val="0082694B"/>
    <w:rsid w:val="00844B30"/>
    <w:rsid w:val="00864DA4"/>
    <w:rsid w:val="008C28B1"/>
    <w:rsid w:val="00954157"/>
    <w:rsid w:val="00965261"/>
    <w:rsid w:val="009A23DA"/>
    <w:rsid w:val="00AD7DD4"/>
    <w:rsid w:val="00B17AC5"/>
    <w:rsid w:val="00B251DE"/>
    <w:rsid w:val="00C5785A"/>
    <w:rsid w:val="00CD4E75"/>
    <w:rsid w:val="00DB4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AB74"/>
  <w15:chartTrackingRefBased/>
  <w15:docId w15:val="{FBF489EA-3DDC-4A22-9D32-95090346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0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AD"/>
    <w:rPr>
      <w:rFonts w:ascii="Segoe UI" w:hAnsi="Segoe UI" w:cs="Segoe UI"/>
      <w:sz w:val="18"/>
      <w:szCs w:val="18"/>
    </w:rPr>
  </w:style>
  <w:style w:type="character" w:customStyle="1" w:styleId="Heading2Char">
    <w:name w:val="Heading 2 Char"/>
    <w:basedOn w:val="DefaultParagraphFont"/>
    <w:link w:val="Heading2"/>
    <w:uiPriority w:val="9"/>
    <w:rsid w:val="006108B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B4A6C"/>
    <w:rPr>
      <w:sz w:val="16"/>
      <w:szCs w:val="16"/>
    </w:rPr>
  </w:style>
  <w:style w:type="paragraph" w:styleId="CommentText">
    <w:name w:val="annotation text"/>
    <w:basedOn w:val="Normal"/>
    <w:link w:val="CommentTextChar"/>
    <w:uiPriority w:val="99"/>
    <w:semiHidden/>
    <w:unhideWhenUsed/>
    <w:rsid w:val="00DB4A6C"/>
    <w:pPr>
      <w:spacing w:line="240" w:lineRule="auto"/>
    </w:pPr>
    <w:rPr>
      <w:sz w:val="20"/>
      <w:szCs w:val="20"/>
    </w:rPr>
  </w:style>
  <w:style w:type="character" w:customStyle="1" w:styleId="CommentTextChar">
    <w:name w:val="Comment Text Char"/>
    <w:basedOn w:val="DefaultParagraphFont"/>
    <w:link w:val="CommentText"/>
    <w:uiPriority w:val="99"/>
    <w:semiHidden/>
    <w:rsid w:val="00DB4A6C"/>
    <w:rPr>
      <w:sz w:val="20"/>
      <w:szCs w:val="20"/>
    </w:rPr>
  </w:style>
  <w:style w:type="paragraph" w:styleId="CommentSubject">
    <w:name w:val="annotation subject"/>
    <w:basedOn w:val="CommentText"/>
    <w:next w:val="CommentText"/>
    <w:link w:val="CommentSubjectChar"/>
    <w:uiPriority w:val="99"/>
    <w:semiHidden/>
    <w:unhideWhenUsed/>
    <w:rsid w:val="00DB4A6C"/>
    <w:rPr>
      <w:b/>
      <w:bCs/>
    </w:rPr>
  </w:style>
  <w:style w:type="character" w:customStyle="1" w:styleId="CommentSubjectChar">
    <w:name w:val="Comment Subject Char"/>
    <w:basedOn w:val="CommentTextChar"/>
    <w:link w:val="CommentSubject"/>
    <w:uiPriority w:val="99"/>
    <w:semiHidden/>
    <w:rsid w:val="00DB4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4F8D-B8FA-4CA3-8866-A302B067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Malinsky Buller</dc:creator>
  <cp:keywords/>
  <dc:description/>
  <cp:lastModifiedBy>chn off27</cp:lastModifiedBy>
  <cp:revision>5</cp:revision>
  <dcterms:created xsi:type="dcterms:W3CDTF">2020-09-26T13:30:00Z</dcterms:created>
  <dcterms:modified xsi:type="dcterms:W3CDTF">2021-01-17T13:09:00Z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8cdf9092-2d65-3904-b5f4-2805fc6ac8d6</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http://www.zotero.org/styles/journal-of-anthropological-archaeology</vt:lpwstr>
  </property>
  <property fmtid="{D5CDD505-2E9C-101B-9397-08002B2CF9AE}" pid="18" name="Mendeley Recent Style Name 6_1">
    <vt:lpwstr>Journal of Anthropological Archaeology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