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3BE0" w14:textId="279E39D8" w:rsidR="00C23E11" w:rsidRDefault="00A4204B" w:rsidP="007D5F80">
      <w:pPr>
        <w:pStyle w:val="Heading2"/>
      </w:pPr>
      <w:r>
        <w:t xml:space="preserve">S3 </w:t>
      </w:r>
      <w:r w:rsidR="000B4822" w:rsidRPr="000B4822">
        <w:t>Appendix</w:t>
      </w:r>
    </w:p>
    <w:p w14:paraId="1E11C490" w14:textId="77777777" w:rsidR="000B4822" w:rsidRDefault="000B4822">
      <w:pPr>
        <w:rPr>
          <w:sz w:val="18"/>
          <w:szCs w:val="18"/>
        </w:rPr>
      </w:pPr>
    </w:p>
    <w:p w14:paraId="2AAE8707" w14:textId="77777777" w:rsidR="00B25E01" w:rsidRPr="000B4822" w:rsidRDefault="00B25E01">
      <w:pPr>
        <w:rPr>
          <w:sz w:val="18"/>
          <w:szCs w:val="18"/>
        </w:rPr>
      </w:pPr>
      <w:r>
        <w:rPr>
          <w:sz w:val="18"/>
          <w:szCs w:val="18"/>
        </w:rPr>
        <w:t xml:space="preserve">Table 1. </w:t>
      </w:r>
      <w:r w:rsidRPr="00256CBB">
        <w:rPr>
          <w:sz w:val="18"/>
          <w:szCs w:val="18"/>
        </w:rPr>
        <w:t>Conversion table with raw mean scores on the</w:t>
      </w:r>
      <w:r>
        <w:rPr>
          <w:sz w:val="18"/>
          <w:szCs w:val="18"/>
        </w:rPr>
        <w:t xml:space="preserve"> Exhaustion subscale of the Burnout Assessment Tool </w:t>
      </w:r>
      <w:r w:rsidRPr="00256CBB">
        <w:rPr>
          <w:sz w:val="18"/>
          <w:szCs w:val="18"/>
        </w:rPr>
        <w:t>and their corresponding interval scale (metric</w:t>
      </w:r>
      <w:r>
        <w:rPr>
          <w:sz w:val="18"/>
          <w:szCs w:val="18"/>
        </w:rPr>
        <w:t xml:space="preserve"> and logit</w:t>
      </w:r>
      <w:r w:rsidRPr="00256CBB">
        <w:rPr>
          <w:sz w:val="18"/>
          <w:szCs w:val="18"/>
        </w:rPr>
        <w:t>) equivalents based on Rasch analysis</w:t>
      </w:r>
      <w:r>
        <w:rPr>
          <w:sz w:val="18"/>
          <w:szCs w:val="18"/>
        </w:rPr>
        <w:t xml:space="preserve"> (n=2978)</w:t>
      </w:r>
      <w:r w:rsidRPr="00256CBB">
        <w:rPr>
          <w:sz w:val="18"/>
          <w:szCs w:val="18"/>
        </w:rPr>
        <w:t>.</w:t>
      </w:r>
    </w:p>
    <w:tbl>
      <w:tblPr>
        <w:tblW w:w="4666" w:type="dxa"/>
        <w:tblLayout w:type="fixed"/>
        <w:tblLook w:val="04A0" w:firstRow="1" w:lastRow="0" w:firstColumn="1" w:lastColumn="0" w:noHBand="0" w:noVBand="1"/>
      </w:tblPr>
      <w:tblGrid>
        <w:gridCol w:w="680"/>
        <w:gridCol w:w="737"/>
        <w:gridCol w:w="680"/>
        <w:gridCol w:w="236"/>
        <w:gridCol w:w="680"/>
        <w:gridCol w:w="737"/>
        <w:gridCol w:w="680"/>
        <w:gridCol w:w="236"/>
      </w:tblGrid>
      <w:tr w:rsidR="000B4822" w:rsidRPr="007D5F80" w14:paraId="44C8913C" w14:textId="77777777" w:rsidTr="000B482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EF2A9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FEC14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Metric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074F5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Logit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5D13D5F6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41AFA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BD625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Metric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2FD70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Logit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43E1B424" w14:textId="77777777" w:rsidR="000B4822" w:rsidRPr="007D5F80" w:rsidRDefault="000B4822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5989E939" w14:textId="77777777" w:rsidTr="000B482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819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583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B7125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0475278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33AEA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BFBCBE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B8A5D5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CBEA9EF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4A2E2AF3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20C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297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A1E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48EA31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3A6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5A09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F66C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7900D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7DA7D207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793A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94D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6DB3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656763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C0B98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A84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F2F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996B8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70152287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57C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ED53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562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C8F20F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10FF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07E4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3760B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345106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4373DFD7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7C9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AE4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E82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4FEC5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C20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671F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15A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1DCDFA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5D8B90EA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F03C9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1734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EFE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97F5E4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1EC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63779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D08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DE3DE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1D098074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55F8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F9B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B2AB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3B533E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49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27C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5A32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01EC6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5D2AC8F9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928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C56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3B669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9BF60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F888F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C91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E3E6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D6364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4786A93B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D1E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1FE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B518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BF2612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45DE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26D5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590E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748107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2DAB0499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2569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F2FA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45C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0A3EE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9863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BC6E9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ACB4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852A0D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064B95A2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2D3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487A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597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73E2F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6DC3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9FC3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F87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509F3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6AE2CBEC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1FFA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6F2B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AB0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6D0CF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9328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260C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5CE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8BA26B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67529F2A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008B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85DF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FB0BF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2C8F97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D659B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FA54E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6B7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279A2F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7C512C68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00E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C596A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F38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51487A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4044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69A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D727F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3E5BB7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225A6983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831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3BF5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E77D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439D2C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17714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208CB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8150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DACF95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7779F8A6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E8D07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4EF21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22169790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7C134B2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2A0F7226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2D9ADB58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28DD9A02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86A0CCD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0B4822" w:rsidRPr="007D5F80" w14:paraId="18DFF129" w14:textId="77777777" w:rsidTr="000B482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4F2E4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6CE98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09F25" w14:textId="77777777" w:rsidR="000B4822" w:rsidRPr="007D5F80" w:rsidRDefault="000B4822" w:rsidP="000B482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B25E0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62715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625E5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8B728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741C3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2B394" w14:textId="77777777" w:rsidR="000B4822" w:rsidRPr="007D5F80" w:rsidRDefault="000B4822" w:rsidP="000B482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23374CE" w14:textId="77777777" w:rsidR="000B4822" w:rsidRDefault="000B4822">
      <w:pPr>
        <w:rPr>
          <w:sz w:val="18"/>
          <w:szCs w:val="18"/>
        </w:rPr>
      </w:pPr>
    </w:p>
    <w:p w14:paraId="6B14E48A" w14:textId="77777777" w:rsidR="000B4822" w:rsidRDefault="000B482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907CF1" w14:textId="77777777" w:rsidR="007D5F80" w:rsidRDefault="00B25E0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Table 2. </w:t>
      </w:r>
      <w:r w:rsidRPr="00256CBB">
        <w:rPr>
          <w:sz w:val="18"/>
          <w:szCs w:val="18"/>
        </w:rPr>
        <w:t>Conversion table with raw mean scores on the</w:t>
      </w:r>
      <w:r>
        <w:rPr>
          <w:sz w:val="18"/>
          <w:szCs w:val="18"/>
        </w:rPr>
        <w:t xml:space="preserve"> Mental distance subscale of the Burnout Assessment Tool </w:t>
      </w:r>
      <w:r w:rsidRPr="00256CBB">
        <w:rPr>
          <w:sz w:val="18"/>
          <w:szCs w:val="18"/>
        </w:rPr>
        <w:t>and their corresponding interval scale (metric</w:t>
      </w:r>
      <w:r>
        <w:rPr>
          <w:sz w:val="18"/>
          <w:szCs w:val="18"/>
        </w:rPr>
        <w:t xml:space="preserve"> and logit</w:t>
      </w:r>
      <w:r w:rsidRPr="00256CBB">
        <w:rPr>
          <w:sz w:val="18"/>
          <w:szCs w:val="18"/>
        </w:rPr>
        <w:t>) equivalents based on Rasch analysis</w:t>
      </w:r>
      <w:r>
        <w:rPr>
          <w:sz w:val="18"/>
          <w:szCs w:val="18"/>
        </w:rPr>
        <w:t xml:space="preserve"> (n=2978)</w:t>
      </w:r>
      <w:r w:rsidRPr="00256CBB">
        <w:rPr>
          <w:sz w:val="18"/>
          <w:szCs w:val="18"/>
        </w:rPr>
        <w:t>.</w:t>
      </w:r>
    </w:p>
    <w:tbl>
      <w:tblPr>
        <w:tblW w:w="2097" w:type="dxa"/>
        <w:tblLayout w:type="fixed"/>
        <w:tblLook w:val="04A0" w:firstRow="1" w:lastRow="0" w:firstColumn="1" w:lastColumn="0" w:noHBand="0" w:noVBand="1"/>
      </w:tblPr>
      <w:tblGrid>
        <w:gridCol w:w="680"/>
        <w:gridCol w:w="737"/>
        <w:gridCol w:w="680"/>
      </w:tblGrid>
      <w:tr w:rsidR="00B25E01" w:rsidRPr="007D5F80" w14:paraId="718F0E8B" w14:textId="77777777" w:rsidTr="00740D6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5F84E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37825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Metric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84D292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Logit</w:t>
            </w:r>
          </w:p>
        </w:tc>
      </w:tr>
      <w:tr w:rsidR="00B25E01" w:rsidRPr="007D5F80" w14:paraId="4B00C1E1" w14:textId="77777777" w:rsidTr="00740D6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CCB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DA8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2660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B25E01" w:rsidRPr="007D5F80" w14:paraId="383B19E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BC7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FD8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68E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</w:tr>
      <w:tr w:rsidR="00B25E01" w:rsidRPr="007D5F80" w14:paraId="5FBA653A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6EA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EDE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08A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</w:tr>
      <w:tr w:rsidR="00B25E01" w:rsidRPr="007D5F80" w14:paraId="21439AEA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404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E3D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3997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</w:tr>
      <w:tr w:rsidR="00B25E01" w:rsidRPr="007D5F80" w14:paraId="16112C1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C25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B04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BAF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</w:tr>
      <w:tr w:rsidR="00B25E01" w:rsidRPr="007D5F80" w14:paraId="3B8662A8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25C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ED1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E5E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B25E01" w:rsidRPr="007D5F80" w14:paraId="65605D8F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8B4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81E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5E7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B25E01" w:rsidRPr="007D5F80" w14:paraId="693EA6D8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137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626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5C18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B25E01" w:rsidRPr="007D5F80" w14:paraId="5A2E3548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92E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40A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D18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B25E01" w:rsidRPr="007D5F80" w14:paraId="62E6E57C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F40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A25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0C01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B25E01" w:rsidRPr="007D5F80" w14:paraId="52541B9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B4C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950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5149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</w:tr>
      <w:tr w:rsidR="00B25E01" w:rsidRPr="007D5F80" w14:paraId="02C2AD73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E3F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D990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809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B25E01" w:rsidRPr="007D5F80" w14:paraId="054F796A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B5A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575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6470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B25E01" w:rsidRPr="007D5F80" w14:paraId="3CAE1D11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8EE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3307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3B0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B25E01" w:rsidRPr="007D5F80" w14:paraId="74D937D1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E99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477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630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B25E01" w:rsidRPr="007D5F80" w14:paraId="025151FA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4E2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FAE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232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B25E01" w:rsidRPr="007D5F80" w14:paraId="16D1017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A50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189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A3C8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</w:tr>
      <w:tr w:rsidR="00B25E01" w:rsidRPr="007D5F80" w14:paraId="52832ADD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77A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A68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4C2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</w:tr>
      <w:tr w:rsidR="00B25E01" w:rsidRPr="007D5F80" w14:paraId="1E7F3C46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510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47B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628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</w:tr>
      <w:tr w:rsidR="00B25E01" w:rsidRPr="007D5F80" w14:paraId="56F1848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3811B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D3E0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731064A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B25E01" w:rsidRPr="007D5F80" w14:paraId="4531ED77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500D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DDF8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B99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</w:tbl>
    <w:p w14:paraId="276FCCDE" w14:textId="77777777" w:rsidR="00B25E01" w:rsidRDefault="00B25E01">
      <w:pPr>
        <w:rPr>
          <w:sz w:val="18"/>
          <w:szCs w:val="18"/>
        </w:rPr>
      </w:pPr>
    </w:p>
    <w:p w14:paraId="071323F0" w14:textId="77777777" w:rsidR="007D5F80" w:rsidRDefault="007D5F8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4566603" w14:textId="77777777" w:rsidR="00B25E01" w:rsidRPr="000B4822" w:rsidRDefault="00B25E01" w:rsidP="00B25E0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Table 3. </w:t>
      </w:r>
      <w:r w:rsidRPr="00256CBB">
        <w:rPr>
          <w:sz w:val="18"/>
          <w:szCs w:val="18"/>
        </w:rPr>
        <w:t>Conversion table with raw mean scores on the</w:t>
      </w:r>
      <w:r>
        <w:rPr>
          <w:sz w:val="18"/>
          <w:szCs w:val="18"/>
        </w:rPr>
        <w:t xml:space="preserve"> Cognitive impairment subscale of the Burnout Assessment Tool </w:t>
      </w:r>
      <w:r w:rsidRPr="00256CBB">
        <w:rPr>
          <w:sz w:val="18"/>
          <w:szCs w:val="18"/>
        </w:rPr>
        <w:t>and their corresponding interval scale (metric</w:t>
      </w:r>
      <w:r>
        <w:rPr>
          <w:sz w:val="18"/>
          <w:szCs w:val="18"/>
        </w:rPr>
        <w:t xml:space="preserve"> and logit</w:t>
      </w:r>
      <w:r w:rsidRPr="00256CBB">
        <w:rPr>
          <w:sz w:val="18"/>
          <w:szCs w:val="18"/>
        </w:rPr>
        <w:t>) equivalents based on Rasch analysis</w:t>
      </w:r>
      <w:r>
        <w:rPr>
          <w:sz w:val="18"/>
          <w:szCs w:val="18"/>
        </w:rPr>
        <w:t xml:space="preserve"> (n=2978)</w:t>
      </w:r>
      <w:r w:rsidRPr="00256CBB">
        <w:rPr>
          <w:sz w:val="18"/>
          <w:szCs w:val="18"/>
        </w:rPr>
        <w:t>.</w:t>
      </w:r>
    </w:p>
    <w:tbl>
      <w:tblPr>
        <w:tblW w:w="2097" w:type="dxa"/>
        <w:tblLayout w:type="fixed"/>
        <w:tblLook w:val="04A0" w:firstRow="1" w:lastRow="0" w:firstColumn="1" w:lastColumn="0" w:noHBand="0" w:noVBand="1"/>
      </w:tblPr>
      <w:tblGrid>
        <w:gridCol w:w="680"/>
        <w:gridCol w:w="737"/>
        <w:gridCol w:w="680"/>
      </w:tblGrid>
      <w:tr w:rsidR="00B25E01" w:rsidRPr="007D5F80" w14:paraId="66D64763" w14:textId="77777777" w:rsidTr="00740D6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440EF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BBB03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Metric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21FAF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Logit</w:t>
            </w:r>
          </w:p>
        </w:tc>
      </w:tr>
      <w:tr w:rsidR="00B25E01" w:rsidRPr="007D5F80" w14:paraId="5C399EE2" w14:textId="77777777" w:rsidTr="00740D6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9C1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B8F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F77B1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B25E01" w:rsidRPr="007D5F80" w14:paraId="08EF09E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1E2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F17D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39C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B25E01" w:rsidRPr="007D5F80" w14:paraId="01105827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3DA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51B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6F2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B25E01" w:rsidRPr="007D5F80" w14:paraId="6FC30724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79C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B3B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2C6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</w:tr>
      <w:tr w:rsidR="00B25E01" w:rsidRPr="007D5F80" w14:paraId="604A6492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D1D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C06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24DA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</w:tr>
      <w:tr w:rsidR="00B25E01" w:rsidRPr="007D5F80" w14:paraId="227B9CB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31D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030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7837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</w:tr>
      <w:tr w:rsidR="00B25E01" w:rsidRPr="007D5F80" w14:paraId="49B927D3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6DCB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049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D46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B25E01" w:rsidRPr="007D5F80" w14:paraId="6B5B253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AC6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FB0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729C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B25E01" w:rsidRPr="007D5F80" w14:paraId="20F4AE6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977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F2A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71A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B25E01" w:rsidRPr="007D5F80" w14:paraId="727DFB9F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590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B48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D91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B25E01" w:rsidRPr="007D5F80" w14:paraId="3E195EC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B078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E78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772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B25E01" w:rsidRPr="007D5F80" w14:paraId="6EA0B8D8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6CD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08F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CBD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B25E01" w:rsidRPr="007D5F80" w14:paraId="15F17335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355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789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E3C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B25E01" w:rsidRPr="007D5F80" w14:paraId="45B2834E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D67A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7D9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DB9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B25E01" w:rsidRPr="007D5F80" w14:paraId="74289F0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119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A7E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DC91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B25E01" w:rsidRPr="007D5F80" w14:paraId="723A38C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567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FB9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441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B25E01" w:rsidRPr="007D5F80" w14:paraId="00F440C1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B44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4E2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81A4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B25E01" w:rsidRPr="007D5F80" w14:paraId="7D425D01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D95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E04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4BF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</w:tr>
      <w:tr w:rsidR="00B25E01" w:rsidRPr="007D5F80" w14:paraId="28EF94E2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EF7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7FA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08A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</w:tr>
      <w:tr w:rsidR="00B25E01" w:rsidRPr="007D5F80" w14:paraId="301FA998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2F6E0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BF64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7243DA6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B25E01" w:rsidRPr="007D5F80" w14:paraId="65C9B3F5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9FAF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DD24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829D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</w:tr>
    </w:tbl>
    <w:p w14:paraId="0609A735" w14:textId="77777777" w:rsidR="00B25E01" w:rsidRDefault="00B25E01">
      <w:pPr>
        <w:rPr>
          <w:sz w:val="18"/>
          <w:szCs w:val="18"/>
        </w:rPr>
      </w:pPr>
    </w:p>
    <w:p w14:paraId="3B6050A1" w14:textId="77777777" w:rsidR="007D5F80" w:rsidRDefault="007D5F8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902090D" w14:textId="77777777" w:rsidR="000B4822" w:rsidRDefault="00B25E0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Table 4. </w:t>
      </w:r>
      <w:r w:rsidRPr="00256CBB">
        <w:rPr>
          <w:sz w:val="18"/>
          <w:szCs w:val="18"/>
        </w:rPr>
        <w:t>Conversion table with raw mean scores on the</w:t>
      </w:r>
      <w:r>
        <w:rPr>
          <w:sz w:val="18"/>
          <w:szCs w:val="18"/>
        </w:rPr>
        <w:t xml:space="preserve"> Emotional impairment subscale of the Burnout Assessment Tool </w:t>
      </w:r>
      <w:r w:rsidRPr="00256CBB">
        <w:rPr>
          <w:sz w:val="18"/>
          <w:szCs w:val="18"/>
        </w:rPr>
        <w:t>and their corresponding interval scale (metric</w:t>
      </w:r>
      <w:r>
        <w:rPr>
          <w:sz w:val="18"/>
          <w:szCs w:val="18"/>
        </w:rPr>
        <w:t xml:space="preserve"> and logit</w:t>
      </w:r>
      <w:r w:rsidRPr="00256CBB">
        <w:rPr>
          <w:sz w:val="18"/>
          <w:szCs w:val="18"/>
        </w:rPr>
        <w:t>) equivalents based on Rasch analysis</w:t>
      </w:r>
      <w:r>
        <w:rPr>
          <w:sz w:val="18"/>
          <w:szCs w:val="18"/>
        </w:rPr>
        <w:t xml:space="preserve"> (n=2978)</w:t>
      </w:r>
      <w:r w:rsidRPr="00256CBB">
        <w:rPr>
          <w:sz w:val="18"/>
          <w:szCs w:val="18"/>
        </w:rPr>
        <w:t>.</w:t>
      </w:r>
    </w:p>
    <w:tbl>
      <w:tblPr>
        <w:tblW w:w="2097" w:type="dxa"/>
        <w:tblLayout w:type="fixed"/>
        <w:tblLook w:val="04A0" w:firstRow="1" w:lastRow="0" w:firstColumn="1" w:lastColumn="0" w:noHBand="0" w:noVBand="1"/>
      </w:tblPr>
      <w:tblGrid>
        <w:gridCol w:w="680"/>
        <w:gridCol w:w="737"/>
        <w:gridCol w:w="680"/>
      </w:tblGrid>
      <w:tr w:rsidR="00B25E01" w:rsidRPr="007D5F80" w14:paraId="0F3EA5E6" w14:textId="77777777" w:rsidTr="00740D6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22C62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DA4C2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Metric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769BAB" w14:textId="77777777" w:rsidR="00B25E01" w:rsidRPr="007D5F80" w:rsidRDefault="00B25E01" w:rsidP="00740D6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7D5F8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Logit</w:t>
            </w:r>
          </w:p>
        </w:tc>
      </w:tr>
      <w:tr w:rsidR="00B25E01" w:rsidRPr="007D5F80" w14:paraId="612A80B6" w14:textId="77777777" w:rsidTr="00740D6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139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5F3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A6B99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B25E01" w:rsidRPr="007D5F80" w14:paraId="642EE0A8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C26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7903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4AF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</w:tr>
      <w:tr w:rsidR="00B25E01" w:rsidRPr="007D5F80" w14:paraId="05825FE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767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2FC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FE6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B25E01" w:rsidRPr="007D5F80" w14:paraId="235B6FA3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D44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096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2F4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</w:tr>
      <w:tr w:rsidR="00B25E01" w:rsidRPr="007D5F80" w14:paraId="750ABABD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7B5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51C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C40B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B25E01" w:rsidRPr="007D5F80" w14:paraId="10D93A62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C8F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742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67F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B25E01" w:rsidRPr="007D5F80" w14:paraId="63657F2A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6D0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BFC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6FB59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B25E01" w:rsidRPr="007D5F80" w14:paraId="3928F02E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556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61B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03E0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B25E01" w:rsidRPr="007D5F80" w14:paraId="0CF66AEB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F9F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553E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D21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B25E01" w:rsidRPr="007D5F80" w14:paraId="1BCF1481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7ED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737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7E0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01</w:t>
            </w:r>
          </w:p>
        </w:tc>
      </w:tr>
      <w:tr w:rsidR="00B25E01" w:rsidRPr="007D5F80" w14:paraId="54F7EF7E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636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CF7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1EA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B25E01" w:rsidRPr="007D5F80" w14:paraId="1A67DBAD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942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A52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0B0D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B25E01" w:rsidRPr="007D5F80" w14:paraId="3D0D4F99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292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9F6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110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B25E01" w:rsidRPr="007D5F80" w14:paraId="41646F87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6897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31A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F5B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B25E01" w:rsidRPr="007D5F80" w14:paraId="757E9FEF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5AEB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D12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683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B25E01" w:rsidRPr="007D5F80" w14:paraId="03DF6909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815F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E29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B25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</w:tr>
      <w:tr w:rsidR="00B25E01" w:rsidRPr="007D5F80" w14:paraId="3DA6C97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1EF1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BE85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CC48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</w:tr>
      <w:tr w:rsidR="00B25E01" w:rsidRPr="007D5F80" w14:paraId="3740A76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9B0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AD5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AD2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</w:p>
        </w:tc>
      </w:tr>
      <w:tr w:rsidR="00B25E01" w:rsidRPr="007D5F80" w14:paraId="0448C653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E64A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8B9C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4BAA3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B25E01" w:rsidRPr="007D5F80" w14:paraId="6ED2B2C0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ED2016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F4E63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2B301642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B25E01" w:rsidRPr="007D5F80" w14:paraId="310F1DEE" w14:textId="77777777" w:rsidTr="00740D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0594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CBC80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84294" w14:textId="77777777" w:rsidR="00B25E01" w:rsidRPr="007D5F80" w:rsidRDefault="00B25E01" w:rsidP="00740D6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D5F80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</w:tbl>
    <w:p w14:paraId="2BFBF82C" w14:textId="77777777" w:rsidR="00B25E01" w:rsidRPr="000B4822" w:rsidRDefault="00B25E01">
      <w:pPr>
        <w:rPr>
          <w:sz w:val="18"/>
          <w:szCs w:val="18"/>
        </w:rPr>
      </w:pPr>
    </w:p>
    <w:sectPr w:rsidR="00B25E01" w:rsidRPr="000B4822" w:rsidSect="00BE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22"/>
    <w:rsid w:val="000B4822"/>
    <w:rsid w:val="007D5F80"/>
    <w:rsid w:val="00A4204B"/>
    <w:rsid w:val="00B25E01"/>
    <w:rsid w:val="00BE441C"/>
    <w:rsid w:val="00C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3229"/>
  <w15:chartTrackingRefBased/>
  <w15:docId w15:val="{47E9E6DC-F7D3-456B-9B8A-648C0F3E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F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Hadzibajramovic</dc:creator>
  <cp:keywords/>
  <dc:description/>
  <cp:lastModifiedBy>chn off31</cp:lastModifiedBy>
  <cp:revision>2</cp:revision>
  <dcterms:created xsi:type="dcterms:W3CDTF">2019-11-12T10:02:00Z</dcterms:created>
  <dcterms:modified xsi:type="dcterms:W3CDTF">2020-11-17T09:01:00Z</dcterms:modified>
</cp:coreProperties>
</file>