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0190" w14:textId="77777777" w:rsidR="00450F91" w:rsidRPr="00B553B8" w:rsidRDefault="00450F91" w:rsidP="00450F91">
      <w:pPr>
        <w:pStyle w:val="TableTitle"/>
        <w:jc w:val="center"/>
        <w:rPr>
          <w:b/>
          <w:sz w:val="28"/>
        </w:rPr>
      </w:pPr>
      <w:r w:rsidRPr="00B553B8">
        <w:rPr>
          <w:b/>
          <w:sz w:val="28"/>
        </w:rPr>
        <w:t>STROBE Statement</w:t>
      </w:r>
    </w:p>
    <w:p w14:paraId="1DB9E12F" w14:textId="77777777" w:rsidR="00450F91" w:rsidRDefault="00450F91" w:rsidP="00450F91">
      <w:pPr>
        <w:pStyle w:val="TableTitle"/>
        <w:spacing w:after="40" w:line="240" w:lineRule="auto"/>
        <w:jc w:val="center"/>
      </w:pPr>
      <w:r>
        <w:t>C</w:t>
      </w:r>
      <w:r w:rsidRPr="003F652A">
        <w:t xml:space="preserve">hecklist of items that should be </w:t>
      </w:r>
      <w:r>
        <w:t xml:space="preserve">included </w:t>
      </w:r>
      <w:r w:rsidRPr="003F652A">
        <w:t>in r</w:t>
      </w:r>
      <w:r>
        <w:t>eports of observational studies</w:t>
      </w:r>
    </w:p>
    <w:tbl>
      <w:tblPr>
        <w:tblW w:w="15572" w:type="dxa"/>
        <w:jc w:val="center"/>
        <w:tblBorders>
          <w:insideH w:val="single" w:sz="4" w:space="0" w:color="auto"/>
        </w:tblBorders>
        <w:tblLayout w:type="fixed"/>
        <w:tblLook w:val="0000" w:firstRow="0" w:lastRow="0" w:firstColumn="0" w:lastColumn="0" w:noHBand="0" w:noVBand="0"/>
      </w:tblPr>
      <w:tblGrid>
        <w:gridCol w:w="2434"/>
        <w:gridCol w:w="630"/>
        <w:gridCol w:w="11248"/>
        <w:gridCol w:w="1260"/>
      </w:tblGrid>
      <w:tr w:rsidR="00450F91" w:rsidRPr="0022554A" w14:paraId="62C6EC7E" w14:textId="77777777" w:rsidTr="00D5465A">
        <w:trPr>
          <w:trHeight w:val="581"/>
          <w:jc w:val="center"/>
        </w:trPr>
        <w:tc>
          <w:tcPr>
            <w:tcW w:w="2434" w:type="dxa"/>
            <w:shd w:val="clear" w:color="auto" w:fill="F2F2F2"/>
            <w:vAlign w:val="center"/>
          </w:tcPr>
          <w:p w14:paraId="7F0082D1" w14:textId="77777777" w:rsidR="00450F91" w:rsidRPr="007C1ACB" w:rsidRDefault="00450F91" w:rsidP="00450F91">
            <w:pPr>
              <w:tabs>
                <w:tab w:val="left" w:pos="5400"/>
              </w:tabs>
              <w:jc w:val="center"/>
              <w:rPr>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7C1ACB">
              <w:rPr>
                <w:b/>
                <w:sz w:val="20"/>
              </w:rPr>
              <w:t>Section/Topic</w:t>
            </w:r>
          </w:p>
        </w:tc>
        <w:tc>
          <w:tcPr>
            <w:tcW w:w="630" w:type="dxa"/>
            <w:shd w:val="clear" w:color="auto" w:fill="F2F2F2"/>
            <w:vAlign w:val="center"/>
          </w:tcPr>
          <w:p w14:paraId="51A77559"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11248" w:type="dxa"/>
            <w:shd w:val="clear" w:color="auto" w:fill="F2F2F2"/>
            <w:vAlign w:val="center"/>
          </w:tcPr>
          <w:p w14:paraId="204DC70D"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1260" w:type="dxa"/>
            <w:shd w:val="clear" w:color="auto" w:fill="F2F2F2"/>
            <w:vAlign w:val="center"/>
          </w:tcPr>
          <w:p w14:paraId="62DA10E4" w14:textId="77777777" w:rsidR="00450F91" w:rsidRPr="0022554A" w:rsidRDefault="00450F91" w:rsidP="00450F91">
            <w:pPr>
              <w:pStyle w:val="TableHeader"/>
              <w:tabs>
                <w:tab w:val="left" w:pos="5400"/>
              </w:tabs>
              <w:jc w:val="center"/>
              <w:rPr>
                <w:bCs/>
                <w:sz w:val="20"/>
              </w:rPr>
            </w:pPr>
            <w:r>
              <w:rPr>
                <w:bCs/>
                <w:sz w:val="20"/>
              </w:rPr>
              <w:t>Reported on Page No</w:t>
            </w:r>
          </w:p>
        </w:tc>
      </w:tr>
      <w:tr w:rsidR="00450F91" w:rsidRPr="0022554A" w14:paraId="39DD87A3" w14:textId="77777777" w:rsidTr="00D5465A">
        <w:trPr>
          <w:trHeight w:val="291"/>
          <w:jc w:val="center"/>
        </w:trPr>
        <w:tc>
          <w:tcPr>
            <w:tcW w:w="2434" w:type="dxa"/>
            <w:vMerge w:val="restart"/>
            <w:vAlign w:val="center"/>
          </w:tcPr>
          <w:p w14:paraId="046B8CAC" w14:textId="77777777" w:rsidR="00450F91" w:rsidRPr="002602FB" w:rsidRDefault="00450F91" w:rsidP="00450F91">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 xml:space="preserve">Title and </w:t>
            </w:r>
            <w:r>
              <w:rPr>
                <w:b/>
                <w:sz w:val="20"/>
              </w:rPr>
              <w:t>a</w:t>
            </w:r>
            <w:r w:rsidRPr="002602FB">
              <w:rPr>
                <w:b/>
                <w:sz w:val="20"/>
              </w:rPr>
              <w:t>bstract</w:t>
            </w:r>
            <w:bookmarkEnd w:id="9"/>
            <w:bookmarkEnd w:id="10"/>
          </w:p>
        </w:tc>
        <w:tc>
          <w:tcPr>
            <w:tcW w:w="630" w:type="dxa"/>
            <w:vMerge w:val="restart"/>
            <w:vAlign w:val="center"/>
          </w:tcPr>
          <w:p w14:paraId="2D004F5E" w14:textId="77777777" w:rsidR="00450F91" w:rsidRPr="0022554A" w:rsidRDefault="00450F91" w:rsidP="00450F91">
            <w:pPr>
              <w:tabs>
                <w:tab w:val="left" w:pos="5400"/>
              </w:tabs>
              <w:jc w:val="center"/>
              <w:rPr>
                <w:sz w:val="20"/>
              </w:rPr>
            </w:pPr>
          </w:p>
        </w:tc>
        <w:tc>
          <w:tcPr>
            <w:tcW w:w="11248" w:type="dxa"/>
          </w:tcPr>
          <w:p w14:paraId="7FF19B6B" w14:textId="77777777" w:rsidR="00450F91" w:rsidRPr="008F20EF" w:rsidRDefault="00450F91" w:rsidP="008F20EF">
            <w:pPr>
              <w:pStyle w:val="CommentText"/>
              <w:rPr>
                <w:b/>
                <w:sz w:val="36"/>
                <w:szCs w:val="36"/>
              </w:rPr>
            </w:pPr>
            <w:r w:rsidRPr="0022554A">
              <w:t>(</w:t>
            </w:r>
            <w:r w:rsidRPr="0022554A">
              <w:rPr>
                <w:i/>
              </w:rPr>
              <w:t>a</w:t>
            </w:r>
            <w:r w:rsidRPr="0022554A">
              <w:t xml:space="preserve">) </w:t>
            </w:r>
            <w:r w:rsidR="008F20EF">
              <w:rPr>
                <w:b/>
              </w:rPr>
              <w:t>U</w:t>
            </w:r>
            <w:r w:rsidR="008F20EF" w:rsidRPr="008F20EF">
              <w:rPr>
                <w:b/>
              </w:rPr>
              <w:t>ndernutrition and its d</w:t>
            </w:r>
            <w:r w:rsidR="008F20EF">
              <w:rPr>
                <w:b/>
              </w:rPr>
              <w:t xml:space="preserve">eterminants among adolescent </w:t>
            </w:r>
            <w:r w:rsidR="008F20EF" w:rsidRPr="008F20EF">
              <w:rPr>
                <w:b/>
              </w:rPr>
              <w:t>girl</w:t>
            </w:r>
            <w:r w:rsidR="008F20EF">
              <w:rPr>
                <w:b/>
              </w:rPr>
              <w:t>s in low land area of southern E</w:t>
            </w:r>
            <w:r w:rsidR="008F20EF" w:rsidRPr="008F20EF">
              <w:rPr>
                <w:b/>
              </w:rPr>
              <w:t>thiopia</w:t>
            </w:r>
            <w:r w:rsidR="008F20EF">
              <w:rPr>
                <w:b/>
              </w:rPr>
              <w:t xml:space="preserve">: Community based cross-sectional study </w:t>
            </w:r>
            <w:r w:rsidR="008F20EF" w:rsidRPr="00A354CB">
              <w:rPr>
                <w:b/>
                <w:sz w:val="36"/>
                <w:szCs w:val="36"/>
              </w:rPr>
              <w:t xml:space="preserve"> </w:t>
            </w:r>
            <w:r w:rsidR="008F20EF">
              <w:rPr>
                <w:b/>
                <w:sz w:val="36"/>
                <w:szCs w:val="36"/>
              </w:rPr>
              <w:t xml:space="preserve"> </w:t>
            </w:r>
          </w:p>
        </w:tc>
        <w:tc>
          <w:tcPr>
            <w:tcW w:w="1260" w:type="dxa"/>
          </w:tcPr>
          <w:p w14:paraId="72E442A4" w14:textId="77777777" w:rsidR="00450F91" w:rsidRPr="0022554A" w:rsidRDefault="00060A2E" w:rsidP="00245761">
            <w:pPr>
              <w:tabs>
                <w:tab w:val="left" w:pos="5400"/>
              </w:tabs>
              <w:jc w:val="center"/>
              <w:rPr>
                <w:sz w:val="20"/>
              </w:rPr>
            </w:pPr>
            <w:r>
              <w:rPr>
                <w:sz w:val="20"/>
              </w:rPr>
              <w:t>1</w:t>
            </w:r>
          </w:p>
        </w:tc>
      </w:tr>
      <w:tr w:rsidR="00450F91" w:rsidRPr="0022554A" w14:paraId="22D8F880" w14:textId="77777777" w:rsidTr="00D5465A">
        <w:trPr>
          <w:trHeight w:val="145"/>
          <w:jc w:val="center"/>
        </w:trPr>
        <w:tc>
          <w:tcPr>
            <w:tcW w:w="2434" w:type="dxa"/>
            <w:vMerge/>
          </w:tcPr>
          <w:p w14:paraId="02A94E03" w14:textId="77777777" w:rsidR="00450F91" w:rsidRPr="0022554A" w:rsidRDefault="00450F91" w:rsidP="00450F91">
            <w:pPr>
              <w:tabs>
                <w:tab w:val="left" w:pos="5400"/>
              </w:tabs>
              <w:rPr>
                <w:bCs/>
                <w:sz w:val="20"/>
              </w:rPr>
            </w:pPr>
            <w:bookmarkStart w:id="11" w:name="bold6" w:colFirst="0" w:colLast="0"/>
            <w:bookmarkStart w:id="12" w:name="italic7" w:colFirst="0" w:colLast="0"/>
          </w:p>
        </w:tc>
        <w:tc>
          <w:tcPr>
            <w:tcW w:w="630" w:type="dxa"/>
            <w:vMerge/>
          </w:tcPr>
          <w:p w14:paraId="34227BBE" w14:textId="77777777" w:rsidR="00450F91" w:rsidRPr="0022554A" w:rsidRDefault="00450F91" w:rsidP="00450F91">
            <w:pPr>
              <w:tabs>
                <w:tab w:val="left" w:pos="5400"/>
              </w:tabs>
              <w:jc w:val="center"/>
              <w:rPr>
                <w:sz w:val="20"/>
              </w:rPr>
            </w:pPr>
          </w:p>
        </w:tc>
        <w:tc>
          <w:tcPr>
            <w:tcW w:w="11248" w:type="dxa"/>
          </w:tcPr>
          <w:p w14:paraId="29F1F9C6" w14:textId="77777777" w:rsidR="00450F91" w:rsidRPr="009A3E22" w:rsidRDefault="00450F91" w:rsidP="009A3E22">
            <w:pPr>
              <w:spacing w:after="200" w:line="360" w:lineRule="auto"/>
              <w:jc w:val="both"/>
              <w:rPr>
                <w:i/>
              </w:rPr>
            </w:pPr>
            <w:r w:rsidRPr="0022554A">
              <w:rPr>
                <w:sz w:val="20"/>
              </w:rPr>
              <w:t>(</w:t>
            </w:r>
            <w:r w:rsidRPr="0022554A">
              <w:rPr>
                <w:i/>
                <w:sz w:val="20"/>
              </w:rPr>
              <w:t>b</w:t>
            </w:r>
            <w:r w:rsidRPr="004C50E7">
              <w:rPr>
                <w:sz w:val="20"/>
              </w:rPr>
              <w:t xml:space="preserve">) </w:t>
            </w:r>
            <w:r w:rsidR="006A0757" w:rsidRPr="004C50E7">
              <w:rPr>
                <w:i/>
                <w:sz w:val="20"/>
              </w:rPr>
              <w:t>Undernutrition is one of the most common causes of morbidity and mortality among adolescent girls worldwide, especially in South-East Asia and Africa</w:t>
            </w:r>
            <w:r w:rsidR="006A0757" w:rsidRPr="004C50E7">
              <w:rPr>
                <w:rFonts w:eastAsia="MinionPro-Regular"/>
                <w:i/>
                <w:sz w:val="20"/>
              </w:rPr>
              <w:t>.</w:t>
            </w:r>
            <w:r w:rsidR="006A0757" w:rsidRPr="004C50E7">
              <w:rPr>
                <w:i/>
                <w:color w:val="000000"/>
                <w:sz w:val="20"/>
              </w:rPr>
              <w:t xml:space="preserve"> </w:t>
            </w:r>
            <w:r w:rsidR="006A0757" w:rsidRPr="004C50E7">
              <w:rPr>
                <w:i/>
                <w:sz w:val="20"/>
              </w:rPr>
              <w:t xml:space="preserve">The objective of this study was to assess the nutritional status and associated factors </w:t>
            </w:r>
            <w:r w:rsidR="006A0757" w:rsidRPr="004C50E7">
              <w:rPr>
                <w:rStyle w:val="CommentReference"/>
                <w:i/>
                <w:sz w:val="20"/>
              </w:rPr>
              <w:t xml:space="preserve">among </w:t>
            </w:r>
            <w:r w:rsidR="006A0757" w:rsidRPr="004C50E7">
              <w:rPr>
                <w:i/>
                <w:sz w:val="20"/>
              </w:rPr>
              <w:t>adolescent girls in the Wolaita and Hadiya zones</w:t>
            </w:r>
            <w:r w:rsidR="006A0757" w:rsidRPr="004C50E7">
              <w:rPr>
                <w:sz w:val="20"/>
              </w:rPr>
              <w:t xml:space="preserve"> of </w:t>
            </w:r>
            <w:r w:rsidR="006A0757" w:rsidRPr="004C50E7">
              <w:rPr>
                <w:i/>
                <w:sz w:val="20"/>
              </w:rPr>
              <w:t>Southern Ethiopia. A community-based cross-sectional s</w:t>
            </w:r>
            <w:r w:rsidR="006A0757" w:rsidRPr="004C50E7">
              <w:rPr>
                <w:bCs/>
                <w:i/>
                <w:color w:val="000000"/>
                <w:sz w:val="20"/>
              </w:rPr>
              <w:t xml:space="preserve">tudy </w:t>
            </w:r>
            <w:r w:rsidR="006A0757" w:rsidRPr="004C50E7">
              <w:rPr>
                <w:i/>
                <w:sz w:val="20"/>
              </w:rPr>
              <w:t>was</w:t>
            </w:r>
            <w:r w:rsidR="006A0757" w:rsidRPr="004C50E7">
              <w:rPr>
                <w:bCs/>
                <w:i/>
                <w:color w:val="000000"/>
                <w:sz w:val="20"/>
              </w:rPr>
              <w:t xml:space="preserve"> conducted,</w:t>
            </w:r>
            <w:r w:rsidR="006A0757" w:rsidRPr="004C50E7">
              <w:rPr>
                <w:bCs/>
                <w:i/>
                <w:sz w:val="20"/>
              </w:rPr>
              <w:t xml:space="preserve"> </w:t>
            </w:r>
            <w:r w:rsidR="006A0757" w:rsidRPr="004C50E7">
              <w:rPr>
                <w:i/>
                <w:sz w:val="20"/>
              </w:rPr>
              <w:t xml:space="preserve">and a multistage random sampling method was used to select a sample of 843 adolescent girls. Anthropometric measurements were collected from all participants and entered in the WHO Anthro plus software for Z-score analysis. The data was analyzed using EPI-data 4.4.2 and SPSS version 21.0. The odds ratios for logistic regression along with a 95% confidence interval (CI) were </w:t>
            </w:r>
            <w:r w:rsidR="006A0757" w:rsidRPr="004C50E7">
              <w:rPr>
                <w:color w:val="222222"/>
                <w:sz w:val="20"/>
                <w:shd w:val="clear" w:color="auto" w:fill="FFFFFF"/>
              </w:rPr>
              <w:t>generated</w:t>
            </w:r>
            <w:r w:rsidR="00810F72" w:rsidRPr="004C50E7">
              <w:rPr>
                <w:i/>
                <w:sz w:val="20"/>
              </w:rPr>
              <w:t>. A P- value &lt;</w:t>
            </w:r>
            <w:r w:rsidR="006A0757" w:rsidRPr="004C50E7">
              <w:rPr>
                <w:i/>
                <w:sz w:val="20"/>
              </w:rPr>
              <w:t>0.05 was declared as the level of statistical significance. Thinness (27.5%) and stunting (8.8%) are found to be public health problems in the study area. Age, large family size, low monthly income, not taking deworming tablets, low educational status of the father, the source of food for the family only from market, not visited by health extension workers, and not washing hand with soap before eating and after using the toilet were positively associated with poor nutritional status of adolescent girls in the Wolaita and Hadiya zones, Southern Ethiopia.</w:t>
            </w:r>
            <w:r w:rsidR="006A0757" w:rsidRPr="00A354CB">
              <w:rPr>
                <w:i/>
              </w:rPr>
              <w:t xml:space="preserve"> </w:t>
            </w:r>
          </w:p>
        </w:tc>
        <w:tc>
          <w:tcPr>
            <w:tcW w:w="1260" w:type="dxa"/>
          </w:tcPr>
          <w:p w14:paraId="4307F1ED" w14:textId="77777777" w:rsidR="00450F91" w:rsidRPr="0022554A" w:rsidRDefault="008F20EF" w:rsidP="00450F91">
            <w:pPr>
              <w:tabs>
                <w:tab w:val="left" w:pos="5400"/>
              </w:tabs>
              <w:jc w:val="center"/>
              <w:rPr>
                <w:sz w:val="20"/>
              </w:rPr>
            </w:pPr>
            <w:r>
              <w:rPr>
                <w:sz w:val="20"/>
              </w:rPr>
              <w:t>2</w:t>
            </w:r>
          </w:p>
        </w:tc>
      </w:tr>
      <w:tr w:rsidR="00450F91" w:rsidRPr="0022554A" w14:paraId="48711185" w14:textId="77777777" w:rsidTr="00D5465A">
        <w:trPr>
          <w:trHeight w:val="251"/>
          <w:jc w:val="center"/>
        </w:trPr>
        <w:tc>
          <w:tcPr>
            <w:tcW w:w="15572" w:type="dxa"/>
            <w:gridSpan w:val="4"/>
            <w:shd w:val="clear" w:color="auto" w:fill="F2F2F2"/>
            <w:vAlign w:val="center"/>
          </w:tcPr>
          <w:p w14:paraId="78C21373" w14:textId="77777777" w:rsidR="00450F91" w:rsidRPr="0022554A" w:rsidRDefault="00450F91" w:rsidP="00450F91">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50F91" w:rsidRPr="0022554A" w14:paraId="2D9274EA" w14:textId="77777777" w:rsidTr="00D5465A">
        <w:trPr>
          <w:trHeight w:val="291"/>
          <w:jc w:val="center"/>
        </w:trPr>
        <w:tc>
          <w:tcPr>
            <w:tcW w:w="2434" w:type="dxa"/>
            <w:vAlign w:val="center"/>
          </w:tcPr>
          <w:p w14:paraId="34BA0724" w14:textId="77777777" w:rsidR="00450F91" w:rsidRPr="0022554A" w:rsidRDefault="00450F91" w:rsidP="00450F91">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Pr>
                <w:bCs/>
                <w:sz w:val="20"/>
              </w:rPr>
              <w:t>r</w:t>
            </w:r>
            <w:r w:rsidRPr="0022554A">
              <w:rPr>
                <w:bCs/>
                <w:sz w:val="20"/>
              </w:rPr>
              <w:t>ationale</w:t>
            </w:r>
            <w:bookmarkEnd w:id="17"/>
            <w:bookmarkEnd w:id="18"/>
          </w:p>
        </w:tc>
        <w:tc>
          <w:tcPr>
            <w:tcW w:w="630" w:type="dxa"/>
            <w:vAlign w:val="center"/>
          </w:tcPr>
          <w:p w14:paraId="5FB0B22A" w14:textId="77777777" w:rsidR="00450F91" w:rsidRPr="0022554A" w:rsidRDefault="00450F91" w:rsidP="00450F91">
            <w:pPr>
              <w:tabs>
                <w:tab w:val="left" w:pos="5400"/>
              </w:tabs>
              <w:jc w:val="center"/>
              <w:rPr>
                <w:sz w:val="20"/>
              </w:rPr>
            </w:pPr>
            <w:r w:rsidRPr="0022554A">
              <w:rPr>
                <w:sz w:val="20"/>
              </w:rPr>
              <w:t>2</w:t>
            </w:r>
          </w:p>
        </w:tc>
        <w:tc>
          <w:tcPr>
            <w:tcW w:w="11248" w:type="dxa"/>
          </w:tcPr>
          <w:p w14:paraId="18AFD70B" w14:textId="77777777" w:rsidR="00450F91" w:rsidRPr="00884C95" w:rsidRDefault="009A3E22" w:rsidP="00D66C0A">
            <w:pPr>
              <w:spacing w:line="360" w:lineRule="auto"/>
              <w:ind w:right="-360"/>
              <w:jc w:val="both"/>
              <w:rPr>
                <w:sz w:val="20"/>
              </w:rPr>
            </w:pPr>
            <w:r w:rsidRPr="00884C95">
              <w:rPr>
                <w:sz w:val="20"/>
              </w:rPr>
              <w:t xml:space="preserve">Adolescence represents a window of opportunity to prepare nutritionally healthy adult life. Some nutritional problems originating early in life can be potentially corrected, in addition to addressing and maintaining the nutritional status. It may also be timely period to shape and consolidate healthy eating and lifestyle behaviors, thereby preventing or postponing the onset of nutrition-related chronic disease in adulthood. A good understanding of nutritional status of adolescent girls will have many important public health and policy implications. </w:t>
            </w:r>
          </w:p>
        </w:tc>
        <w:tc>
          <w:tcPr>
            <w:tcW w:w="1260" w:type="dxa"/>
            <w:vAlign w:val="center"/>
          </w:tcPr>
          <w:p w14:paraId="2CD9760C" w14:textId="77777777" w:rsidR="00450F91" w:rsidRPr="0022554A" w:rsidRDefault="009A3E22" w:rsidP="00450F91">
            <w:pPr>
              <w:tabs>
                <w:tab w:val="left" w:pos="5400"/>
              </w:tabs>
              <w:jc w:val="center"/>
              <w:rPr>
                <w:sz w:val="20"/>
              </w:rPr>
            </w:pPr>
            <w:r>
              <w:rPr>
                <w:sz w:val="20"/>
              </w:rPr>
              <w:t>2</w:t>
            </w:r>
          </w:p>
        </w:tc>
      </w:tr>
      <w:tr w:rsidR="00450F91" w:rsidRPr="0022554A" w14:paraId="41C2F647" w14:textId="77777777" w:rsidTr="00D5465A">
        <w:trPr>
          <w:trHeight w:val="307"/>
          <w:jc w:val="center"/>
        </w:trPr>
        <w:tc>
          <w:tcPr>
            <w:tcW w:w="2434" w:type="dxa"/>
            <w:vAlign w:val="center"/>
          </w:tcPr>
          <w:p w14:paraId="669C0494" w14:textId="77777777" w:rsidR="00450F91" w:rsidRPr="0022554A" w:rsidRDefault="00450F91" w:rsidP="00450F91">
            <w:pPr>
              <w:tabs>
                <w:tab w:val="left" w:pos="5400"/>
              </w:tabs>
              <w:rPr>
                <w:bCs/>
                <w:sz w:val="20"/>
              </w:rPr>
            </w:pPr>
            <w:bookmarkStart w:id="19" w:name="bold10" w:colFirst="0" w:colLast="0"/>
            <w:bookmarkStart w:id="20" w:name="italic11" w:colFirst="0" w:colLast="0"/>
            <w:r w:rsidRPr="0022554A">
              <w:rPr>
                <w:bCs/>
                <w:sz w:val="20"/>
              </w:rPr>
              <w:t>Objectives</w:t>
            </w:r>
          </w:p>
        </w:tc>
        <w:tc>
          <w:tcPr>
            <w:tcW w:w="630" w:type="dxa"/>
            <w:vAlign w:val="center"/>
          </w:tcPr>
          <w:p w14:paraId="0A689E3A" w14:textId="77777777" w:rsidR="00450F91" w:rsidRPr="0022554A" w:rsidRDefault="00450F91" w:rsidP="00450F91">
            <w:pPr>
              <w:tabs>
                <w:tab w:val="left" w:pos="5400"/>
              </w:tabs>
              <w:jc w:val="center"/>
              <w:rPr>
                <w:sz w:val="20"/>
              </w:rPr>
            </w:pPr>
            <w:r w:rsidRPr="0022554A">
              <w:rPr>
                <w:sz w:val="20"/>
              </w:rPr>
              <w:t>3</w:t>
            </w:r>
          </w:p>
        </w:tc>
        <w:tc>
          <w:tcPr>
            <w:tcW w:w="11248" w:type="dxa"/>
          </w:tcPr>
          <w:p w14:paraId="6A8ABF3B" w14:textId="77777777" w:rsidR="00D5465A" w:rsidRPr="00924E9D" w:rsidRDefault="00D5465A" w:rsidP="00D5465A">
            <w:pPr>
              <w:spacing w:line="240" w:lineRule="auto"/>
              <w:ind w:right="-360"/>
              <w:rPr>
                <w:sz w:val="20"/>
              </w:rPr>
            </w:pPr>
            <w:r w:rsidRPr="00924E9D">
              <w:rPr>
                <w:sz w:val="20"/>
              </w:rPr>
              <w:t xml:space="preserve">1. To determine prevalence of thinness and stunting </w:t>
            </w:r>
            <w:r w:rsidRPr="00924E9D">
              <w:rPr>
                <w:rStyle w:val="CommentReference"/>
                <w:sz w:val="20"/>
              </w:rPr>
              <w:t xml:space="preserve">among </w:t>
            </w:r>
            <w:r w:rsidRPr="00924E9D">
              <w:rPr>
                <w:sz w:val="20"/>
              </w:rPr>
              <w:t xml:space="preserve">adolescent girls in Southern Ethiopia   </w:t>
            </w:r>
          </w:p>
          <w:p w14:paraId="67D7220F" w14:textId="77777777" w:rsidR="00D5465A" w:rsidRPr="00924E9D" w:rsidRDefault="00D5465A" w:rsidP="00D5465A">
            <w:pPr>
              <w:spacing w:line="240" w:lineRule="auto"/>
              <w:ind w:right="-360"/>
              <w:rPr>
                <w:sz w:val="20"/>
              </w:rPr>
            </w:pPr>
            <w:r w:rsidRPr="00924E9D">
              <w:rPr>
                <w:sz w:val="20"/>
              </w:rPr>
              <w:t xml:space="preserve">2. To identify determinants of thinness and stunting among adolescent girls in Southern Ethiopia </w:t>
            </w:r>
          </w:p>
          <w:p w14:paraId="43427B4E" w14:textId="77777777" w:rsidR="00450F91" w:rsidRPr="0022554A" w:rsidRDefault="00450F91" w:rsidP="00450F91">
            <w:pPr>
              <w:tabs>
                <w:tab w:val="left" w:pos="5400"/>
              </w:tabs>
              <w:rPr>
                <w:sz w:val="20"/>
              </w:rPr>
            </w:pPr>
          </w:p>
        </w:tc>
        <w:tc>
          <w:tcPr>
            <w:tcW w:w="1260" w:type="dxa"/>
            <w:vAlign w:val="center"/>
          </w:tcPr>
          <w:p w14:paraId="688141B7" w14:textId="77777777" w:rsidR="00450F91" w:rsidRPr="0022554A" w:rsidRDefault="003F29B7" w:rsidP="00450F91">
            <w:pPr>
              <w:tabs>
                <w:tab w:val="left" w:pos="5400"/>
              </w:tabs>
              <w:jc w:val="center"/>
              <w:rPr>
                <w:sz w:val="20"/>
              </w:rPr>
            </w:pPr>
            <w:r>
              <w:rPr>
                <w:sz w:val="20"/>
              </w:rPr>
              <w:t>2</w:t>
            </w:r>
          </w:p>
        </w:tc>
      </w:tr>
      <w:tr w:rsidR="00450F91" w:rsidRPr="0022554A" w14:paraId="09713899" w14:textId="77777777" w:rsidTr="00D5465A">
        <w:trPr>
          <w:trHeight w:val="355"/>
          <w:jc w:val="center"/>
        </w:trPr>
        <w:tc>
          <w:tcPr>
            <w:tcW w:w="15572" w:type="dxa"/>
            <w:gridSpan w:val="4"/>
            <w:shd w:val="clear" w:color="auto" w:fill="F2F2F2"/>
          </w:tcPr>
          <w:p w14:paraId="6F6ED1BD" w14:textId="77777777" w:rsidR="00450F91" w:rsidRPr="0022554A" w:rsidRDefault="00450F91" w:rsidP="00450F91">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50F91" w:rsidRPr="0022554A" w14:paraId="69D2B56A" w14:textId="77777777" w:rsidTr="00D5465A">
        <w:trPr>
          <w:trHeight w:val="291"/>
          <w:jc w:val="center"/>
        </w:trPr>
        <w:tc>
          <w:tcPr>
            <w:tcW w:w="2434" w:type="dxa"/>
            <w:vAlign w:val="center"/>
          </w:tcPr>
          <w:p w14:paraId="5794FFA6" w14:textId="77777777" w:rsidR="00450F91" w:rsidRPr="0022554A" w:rsidRDefault="00450F91" w:rsidP="00450F91">
            <w:pPr>
              <w:tabs>
                <w:tab w:val="left" w:pos="5400"/>
              </w:tabs>
              <w:rPr>
                <w:bCs/>
                <w:sz w:val="20"/>
              </w:rPr>
            </w:pPr>
            <w:bookmarkStart w:id="23" w:name="bold12" w:colFirst="0" w:colLast="0"/>
            <w:bookmarkStart w:id="24" w:name="italic13" w:colFirst="0" w:colLast="0"/>
            <w:r w:rsidRPr="0022554A">
              <w:rPr>
                <w:bCs/>
                <w:sz w:val="20"/>
              </w:rPr>
              <w:t xml:space="preserve">Study </w:t>
            </w:r>
            <w:r>
              <w:rPr>
                <w:bCs/>
                <w:sz w:val="20"/>
              </w:rPr>
              <w:t>d</w:t>
            </w:r>
            <w:r w:rsidRPr="0022554A">
              <w:rPr>
                <w:bCs/>
                <w:sz w:val="20"/>
              </w:rPr>
              <w:t>esign</w:t>
            </w:r>
          </w:p>
        </w:tc>
        <w:tc>
          <w:tcPr>
            <w:tcW w:w="630" w:type="dxa"/>
            <w:vAlign w:val="center"/>
          </w:tcPr>
          <w:p w14:paraId="0A207ABE" w14:textId="77777777" w:rsidR="00450F91" w:rsidRPr="0022554A" w:rsidRDefault="00450F91" w:rsidP="00450F91">
            <w:pPr>
              <w:tabs>
                <w:tab w:val="left" w:pos="5400"/>
              </w:tabs>
              <w:jc w:val="center"/>
              <w:rPr>
                <w:sz w:val="20"/>
              </w:rPr>
            </w:pPr>
            <w:r w:rsidRPr="0022554A">
              <w:rPr>
                <w:sz w:val="20"/>
              </w:rPr>
              <w:t>4</w:t>
            </w:r>
          </w:p>
        </w:tc>
        <w:tc>
          <w:tcPr>
            <w:tcW w:w="11248" w:type="dxa"/>
          </w:tcPr>
          <w:p w14:paraId="1B119308" w14:textId="77777777" w:rsidR="00450F91" w:rsidRPr="00D770E7" w:rsidRDefault="003F29B7" w:rsidP="00450F91">
            <w:pPr>
              <w:tabs>
                <w:tab w:val="left" w:pos="5400"/>
              </w:tabs>
              <w:rPr>
                <w:sz w:val="20"/>
              </w:rPr>
            </w:pPr>
            <w:r w:rsidRPr="00D770E7">
              <w:rPr>
                <w:sz w:val="20"/>
              </w:rPr>
              <w:t>A community-based cross-sectional s</w:t>
            </w:r>
            <w:r w:rsidRPr="00D770E7">
              <w:rPr>
                <w:bCs/>
                <w:color w:val="000000"/>
                <w:sz w:val="20"/>
              </w:rPr>
              <w:t xml:space="preserve">tudy </w:t>
            </w:r>
            <w:r w:rsidRPr="00D770E7">
              <w:rPr>
                <w:sz w:val="20"/>
              </w:rPr>
              <w:t>was</w:t>
            </w:r>
            <w:r w:rsidRPr="00D770E7">
              <w:rPr>
                <w:bCs/>
                <w:color w:val="000000"/>
                <w:sz w:val="20"/>
              </w:rPr>
              <w:t xml:space="preserve"> conducted</w:t>
            </w:r>
          </w:p>
        </w:tc>
        <w:tc>
          <w:tcPr>
            <w:tcW w:w="1260" w:type="dxa"/>
            <w:vAlign w:val="center"/>
          </w:tcPr>
          <w:p w14:paraId="0C4262BD" w14:textId="77777777" w:rsidR="00450F91" w:rsidRPr="0022554A" w:rsidRDefault="005332DB" w:rsidP="00450F91">
            <w:pPr>
              <w:tabs>
                <w:tab w:val="left" w:pos="5400"/>
              </w:tabs>
              <w:jc w:val="center"/>
              <w:rPr>
                <w:sz w:val="20"/>
              </w:rPr>
            </w:pPr>
            <w:r>
              <w:rPr>
                <w:sz w:val="20"/>
              </w:rPr>
              <w:t>5</w:t>
            </w:r>
          </w:p>
        </w:tc>
      </w:tr>
      <w:tr w:rsidR="00450F91" w:rsidRPr="0022554A" w14:paraId="0F3022D7" w14:textId="77777777" w:rsidTr="00D5465A">
        <w:trPr>
          <w:trHeight w:val="614"/>
          <w:jc w:val="center"/>
        </w:trPr>
        <w:tc>
          <w:tcPr>
            <w:tcW w:w="2434" w:type="dxa"/>
            <w:vAlign w:val="center"/>
          </w:tcPr>
          <w:p w14:paraId="53868BA8" w14:textId="77777777" w:rsidR="00450F91" w:rsidRPr="0022554A" w:rsidRDefault="00450F91" w:rsidP="00450F91">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30" w:type="dxa"/>
            <w:vAlign w:val="center"/>
          </w:tcPr>
          <w:p w14:paraId="6BA8984D" w14:textId="77777777" w:rsidR="00450F91" w:rsidRPr="0022554A" w:rsidRDefault="00450F91" w:rsidP="00450F91">
            <w:pPr>
              <w:tabs>
                <w:tab w:val="left" w:pos="5400"/>
              </w:tabs>
              <w:jc w:val="center"/>
              <w:rPr>
                <w:sz w:val="20"/>
              </w:rPr>
            </w:pPr>
            <w:r w:rsidRPr="0022554A">
              <w:rPr>
                <w:sz w:val="20"/>
              </w:rPr>
              <w:t>5</w:t>
            </w:r>
          </w:p>
        </w:tc>
        <w:tc>
          <w:tcPr>
            <w:tcW w:w="11248" w:type="dxa"/>
          </w:tcPr>
          <w:p w14:paraId="3DE7ADDF" w14:textId="77777777" w:rsidR="00450F91" w:rsidRPr="007C48CA" w:rsidRDefault="007C48CA" w:rsidP="00450F91">
            <w:pPr>
              <w:tabs>
                <w:tab w:val="left" w:pos="5400"/>
              </w:tabs>
              <w:rPr>
                <w:sz w:val="20"/>
              </w:rPr>
            </w:pPr>
            <w:r w:rsidRPr="007C48CA">
              <w:rPr>
                <w:sz w:val="20"/>
              </w:rPr>
              <w:t xml:space="preserve">The study was conducted in the Wolaita and Hadiya zones of Southern Ethiopia. These zones are predominantly dependent on agriculture, practicing mixed crop-livestock production and living in permanent settlements. </w:t>
            </w:r>
            <w:r w:rsidR="003C78D6">
              <w:rPr>
                <w:sz w:val="20"/>
              </w:rPr>
              <w:t xml:space="preserve">Data was collected from </w:t>
            </w:r>
            <w:r w:rsidR="003C78D6" w:rsidRPr="003C78D6">
              <w:rPr>
                <w:bCs/>
                <w:sz w:val="20"/>
                <w:shd w:val="clear" w:color="auto" w:fill="FFFFFF"/>
              </w:rPr>
              <w:t>April 30, 2019 to May 30, 2019</w:t>
            </w:r>
            <w:r w:rsidR="003C78D6">
              <w:rPr>
                <w:bCs/>
                <w:sz w:val="20"/>
                <w:shd w:val="clear" w:color="auto" w:fill="FFFFFF"/>
              </w:rPr>
              <w:t xml:space="preserve">. </w:t>
            </w:r>
          </w:p>
        </w:tc>
        <w:tc>
          <w:tcPr>
            <w:tcW w:w="1260" w:type="dxa"/>
            <w:vAlign w:val="center"/>
          </w:tcPr>
          <w:p w14:paraId="7C060D10" w14:textId="77777777" w:rsidR="00450F91" w:rsidRPr="0022554A" w:rsidRDefault="005332DB" w:rsidP="00450F91">
            <w:pPr>
              <w:tabs>
                <w:tab w:val="left" w:pos="5400"/>
              </w:tabs>
              <w:jc w:val="center"/>
              <w:rPr>
                <w:sz w:val="20"/>
              </w:rPr>
            </w:pPr>
            <w:r>
              <w:rPr>
                <w:sz w:val="20"/>
              </w:rPr>
              <w:t>5</w:t>
            </w:r>
          </w:p>
        </w:tc>
      </w:tr>
      <w:bookmarkEnd w:id="25"/>
      <w:bookmarkEnd w:id="26"/>
      <w:tr w:rsidR="00450F91" w:rsidRPr="0022554A" w14:paraId="560B7E9E" w14:textId="77777777" w:rsidTr="00D970D5">
        <w:trPr>
          <w:trHeight w:val="620"/>
          <w:jc w:val="center"/>
        </w:trPr>
        <w:tc>
          <w:tcPr>
            <w:tcW w:w="2434" w:type="dxa"/>
            <w:vAlign w:val="center"/>
          </w:tcPr>
          <w:p w14:paraId="44B547AE" w14:textId="77777777" w:rsidR="00450F91" w:rsidRPr="0022554A" w:rsidRDefault="00450F91" w:rsidP="00450F91">
            <w:pPr>
              <w:tabs>
                <w:tab w:val="left" w:pos="5400"/>
              </w:tabs>
              <w:rPr>
                <w:bCs/>
                <w:sz w:val="20"/>
              </w:rPr>
            </w:pPr>
            <w:r w:rsidRPr="0022554A">
              <w:rPr>
                <w:bCs/>
                <w:sz w:val="20"/>
              </w:rPr>
              <w:t>Participants</w:t>
            </w:r>
          </w:p>
        </w:tc>
        <w:tc>
          <w:tcPr>
            <w:tcW w:w="630" w:type="dxa"/>
            <w:vAlign w:val="center"/>
          </w:tcPr>
          <w:p w14:paraId="798BB32D" w14:textId="77777777" w:rsidR="00450F91" w:rsidRPr="0022554A" w:rsidRDefault="00D970D5" w:rsidP="00D970D5">
            <w:pPr>
              <w:tabs>
                <w:tab w:val="left" w:pos="5400"/>
              </w:tabs>
              <w:rPr>
                <w:sz w:val="20"/>
              </w:rPr>
            </w:pPr>
            <w:r>
              <w:rPr>
                <w:sz w:val="20"/>
              </w:rPr>
              <w:t>6</w:t>
            </w:r>
          </w:p>
        </w:tc>
        <w:tc>
          <w:tcPr>
            <w:tcW w:w="11248" w:type="dxa"/>
          </w:tcPr>
          <w:p w14:paraId="7F65C4CC" w14:textId="77777777" w:rsidR="00D770E7" w:rsidRPr="00D770E7" w:rsidRDefault="00450F91" w:rsidP="00D970D5">
            <w:pPr>
              <w:tabs>
                <w:tab w:val="left" w:pos="5400"/>
              </w:tabs>
              <w:rPr>
                <w:color w:val="00B050"/>
                <w:sz w:val="20"/>
              </w:rPr>
            </w:pPr>
            <w:r w:rsidRPr="008979F8">
              <w:rPr>
                <w:b/>
                <w:i/>
                <w:sz w:val="20"/>
              </w:rPr>
              <w:t>Cross-sectional study</w:t>
            </w:r>
            <w:r w:rsidR="00D970D5">
              <w:rPr>
                <w:i/>
                <w:sz w:val="20"/>
              </w:rPr>
              <w:t xml:space="preserve"> </w:t>
            </w:r>
            <w:r w:rsidRPr="0022554A">
              <w:rPr>
                <w:sz w:val="20"/>
              </w:rPr>
              <w:t>—</w:t>
            </w:r>
            <w:r w:rsidR="00D770E7" w:rsidRPr="00D770E7">
              <w:rPr>
                <w:color w:val="00B050"/>
                <w:sz w:val="20"/>
              </w:rPr>
              <w:t xml:space="preserve"> </w:t>
            </w:r>
            <w:r w:rsidR="00D770E7" w:rsidRPr="00F41ECA">
              <w:rPr>
                <w:sz w:val="20"/>
              </w:rPr>
              <w:t>Adolescent girls age range within 10-19years who are physically and mentally normal/not ill</w:t>
            </w:r>
            <w:r w:rsidR="00D770E7">
              <w:rPr>
                <w:color w:val="00B050"/>
                <w:sz w:val="20"/>
              </w:rPr>
              <w:t xml:space="preserve">.  </w:t>
            </w:r>
          </w:p>
        </w:tc>
        <w:tc>
          <w:tcPr>
            <w:tcW w:w="1260" w:type="dxa"/>
            <w:vAlign w:val="center"/>
          </w:tcPr>
          <w:p w14:paraId="7E3BC542" w14:textId="77777777" w:rsidR="00450F91" w:rsidRPr="0022554A" w:rsidRDefault="00450F91" w:rsidP="00D970D5">
            <w:pPr>
              <w:tabs>
                <w:tab w:val="left" w:pos="5400"/>
              </w:tabs>
              <w:rPr>
                <w:sz w:val="20"/>
              </w:rPr>
            </w:pPr>
          </w:p>
        </w:tc>
      </w:tr>
      <w:tr w:rsidR="00450F91" w:rsidRPr="0022554A" w14:paraId="35F019FF" w14:textId="77777777" w:rsidTr="0075154B">
        <w:trPr>
          <w:trHeight w:val="1430"/>
          <w:jc w:val="center"/>
        </w:trPr>
        <w:tc>
          <w:tcPr>
            <w:tcW w:w="2434" w:type="dxa"/>
            <w:vAlign w:val="center"/>
          </w:tcPr>
          <w:p w14:paraId="1205672A" w14:textId="77777777" w:rsidR="00450F91" w:rsidRPr="0022554A" w:rsidRDefault="00450F91" w:rsidP="00450F91">
            <w:pPr>
              <w:tabs>
                <w:tab w:val="left" w:pos="5400"/>
              </w:tabs>
              <w:rPr>
                <w:bCs/>
                <w:sz w:val="20"/>
              </w:rPr>
            </w:pPr>
            <w:bookmarkStart w:id="27" w:name="bold16" w:colFirst="0" w:colLast="0"/>
            <w:bookmarkStart w:id="28" w:name="italic17" w:colFirst="0" w:colLast="0"/>
            <w:r w:rsidRPr="0022554A">
              <w:rPr>
                <w:bCs/>
                <w:sz w:val="20"/>
              </w:rPr>
              <w:lastRenderedPageBreak/>
              <w:t>Variables</w:t>
            </w:r>
          </w:p>
        </w:tc>
        <w:tc>
          <w:tcPr>
            <w:tcW w:w="630" w:type="dxa"/>
            <w:vAlign w:val="center"/>
          </w:tcPr>
          <w:p w14:paraId="74538215" w14:textId="77777777" w:rsidR="00450F91" w:rsidRPr="0022554A" w:rsidRDefault="00450F91" w:rsidP="00450F91">
            <w:pPr>
              <w:tabs>
                <w:tab w:val="left" w:pos="5400"/>
              </w:tabs>
              <w:jc w:val="center"/>
              <w:rPr>
                <w:sz w:val="20"/>
              </w:rPr>
            </w:pPr>
            <w:r w:rsidRPr="0022554A">
              <w:rPr>
                <w:sz w:val="20"/>
              </w:rPr>
              <w:t>7</w:t>
            </w:r>
          </w:p>
        </w:tc>
        <w:tc>
          <w:tcPr>
            <w:tcW w:w="11248" w:type="dxa"/>
          </w:tcPr>
          <w:p w14:paraId="42B258F0" w14:textId="77777777" w:rsidR="00E20279" w:rsidRPr="00E20279" w:rsidRDefault="00E20279" w:rsidP="00450F91">
            <w:pPr>
              <w:tabs>
                <w:tab w:val="left" w:pos="5400"/>
              </w:tabs>
              <w:rPr>
                <w:b/>
                <w:sz w:val="20"/>
              </w:rPr>
            </w:pPr>
            <w:r w:rsidRPr="00E20279">
              <w:rPr>
                <w:b/>
                <w:sz w:val="20"/>
              </w:rPr>
              <w:t>Outcomes</w:t>
            </w:r>
            <w:r w:rsidR="008979F8">
              <w:rPr>
                <w:b/>
                <w:sz w:val="20"/>
              </w:rPr>
              <w:t xml:space="preserve"> variables </w:t>
            </w:r>
            <w:r w:rsidRPr="00E20279">
              <w:rPr>
                <w:b/>
                <w:sz w:val="20"/>
              </w:rPr>
              <w:t xml:space="preserve">- </w:t>
            </w:r>
            <w:r w:rsidR="008979F8" w:rsidRPr="008979F8">
              <w:rPr>
                <w:sz w:val="20"/>
              </w:rPr>
              <w:t>BMI-for-age Body mass index for age z-score and height-for-age z-score were the dependent variables</w:t>
            </w:r>
            <w:r w:rsidR="008979F8">
              <w:rPr>
                <w:szCs w:val="24"/>
              </w:rPr>
              <w:t xml:space="preserve"> </w:t>
            </w:r>
          </w:p>
          <w:p w14:paraId="4F0ACC06" w14:textId="77777777" w:rsidR="00450F91" w:rsidRPr="0022554A" w:rsidRDefault="008979F8" w:rsidP="008979F8">
            <w:pPr>
              <w:tabs>
                <w:tab w:val="left" w:pos="5400"/>
              </w:tabs>
              <w:rPr>
                <w:sz w:val="20"/>
              </w:rPr>
            </w:pPr>
            <w:r w:rsidRPr="008979F8">
              <w:rPr>
                <w:b/>
                <w:sz w:val="20"/>
              </w:rPr>
              <w:t>Predictors variables</w:t>
            </w:r>
            <w:r>
              <w:rPr>
                <w:sz w:val="20"/>
              </w:rPr>
              <w:t xml:space="preserve">: </w:t>
            </w:r>
            <w:r w:rsidR="00450F91" w:rsidRPr="0022554A">
              <w:rPr>
                <w:sz w:val="20"/>
              </w:rPr>
              <w:t xml:space="preserve"> </w:t>
            </w:r>
            <w:r w:rsidR="00D50528" w:rsidRPr="00D50528">
              <w:rPr>
                <w:sz w:val="20"/>
              </w:rPr>
              <w:t>A</w:t>
            </w:r>
            <w:r w:rsidR="00D50528" w:rsidRPr="00D50528">
              <w:rPr>
                <w:rFonts w:eastAsia="TimesNewRoman"/>
                <w:sz w:val="20"/>
              </w:rPr>
              <w:t xml:space="preserve">ge, educational status of the participant, family size, maternal and paternal educational level, access to nutritional </w:t>
            </w:r>
            <w:r w:rsidR="00D50528" w:rsidRPr="00D50528">
              <w:rPr>
                <w:sz w:val="20"/>
              </w:rPr>
              <w:t>counselling services in health facilities, deworming tablets, iron-folic acid supple</w:t>
            </w:r>
            <w:r w:rsidR="00D50528" w:rsidRPr="00D50528">
              <w:rPr>
                <w:sz w:val="20"/>
              </w:rPr>
              <w:softHyphen/>
              <w:t>mentation, household monthly income, source of food, and number of meals per day.</w:t>
            </w:r>
            <w:r w:rsidR="00D50528">
              <w:rPr>
                <w:szCs w:val="24"/>
              </w:rPr>
              <w:t xml:space="preserve"> </w:t>
            </w:r>
          </w:p>
        </w:tc>
        <w:tc>
          <w:tcPr>
            <w:tcW w:w="1260" w:type="dxa"/>
            <w:vAlign w:val="center"/>
          </w:tcPr>
          <w:p w14:paraId="6C41DE0A" w14:textId="77777777" w:rsidR="00450F91" w:rsidRPr="0022554A" w:rsidRDefault="00D50528" w:rsidP="00450F91">
            <w:pPr>
              <w:tabs>
                <w:tab w:val="left" w:pos="5400"/>
              </w:tabs>
              <w:jc w:val="center"/>
              <w:rPr>
                <w:sz w:val="20"/>
              </w:rPr>
            </w:pPr>
            <w:r>
              <w:rPr>
                <w:sz w:val="20"/>
              </w:rPr>
              <w:t>5</w:t>
            </w:r>
          </w:p>
        </w:tc>
      </w:tr>
      <w:tr w:rsidR="00450F91" w:rsidRPr="0022554A" w14:paraId="0D6FB047" w14:textId="77777777" w:rsidTr="00D5465A">
        <w:trPr>
          <w:trHeight w:val="297"/>
          <w:jc w:val="center"/>
        </w:trPr>
        <w:tc>
          <w:tcPr>
            <w:tcW w:w="2434" w:type="dxa"/>
            <w:vAlign w:val="center"/>
          </w:tcPr>
          <w:p w14:paraId="572228EC" w14:textId="77777777" w:rsidR="00450F91" w:rsidRPr="0022554A" w:rsidRDefault="00450F91" w:rsidP="00450F91">
            <w:pPr>
              <w:tabs>
                <w:tab w:val="left" w:pos="5400"/>
              </w:tabs>
              <w:rPr>
                <w:bCs/>
                <w:sz w:val="20"/>
              </w:rPr>
            </w:pPr>
            <w:bookmarkStart w:id="29" w:name="bold17"/>
            <w:bookmarkStart w:id="30" w:name="italic18"/>
            <w:bookmarkEnd w:id="27"/>
            <w:bookmarkEnd w:id="28"/>
            <w:r w:rsidRPr="0022554A">
              <w:rPr>
                <w:bCs/>
                <w:sz w:val="20"/>
              </w:rPr>
              <w:t xml:space="preserve">Data </w:t>
            </w:r>
            <w:r>
              <w:rPr>
                <w:bCs/>
                <w:sz w:val="20"/>
              </w:rPr>
              <w:t>s</w:t>
            </w:r>
            <w:r w:rsidRPr="0022554A">
              <w:rPr>
                <w:bCs/>
                <w:sz w:val="20"/>
              </w:rPr>
              <w:t>ources/</w:t>
            </w:r>
            <w:bookmarkStart w:id="31" w:name="bold18"/>
            <w:bookmarkStart w:id="32" w:name="italic19"/>
            <w:bookmarkEnd w:id="29"/>
            <w:bookmarkEnd w:id="30"/>
            <w:r>
              <w:rPr>
                <w:bCs/>
                <w:sz w:val="20"/>
              </w:rPr>
              <w:t>m</w:t>
            </w:r>
            <w:r w:rsidRPr="0022554A">
              <w:rPr>
                <w:bCs/>
                <w:sz w:val="20"/>
              </w:rPr>
              <w:t>easurement</w:t>
            </w:r>
            <w:bookmarkEnd w:id="31"/>
            <w:bookmarkEnd w:id="32"/>
          </w:p>
        </w:tc>
        <w:tc>
          <w:tcPr>
            <w:tcW w:w="630" w:type="dxa"/>
            <w:vAlign w:val="center"/>
          </w:tcPr>
          <w:p w14:paraId="5488C50B" w14:textId="77777777" w:rsidR="00450F91" w:rsidRPr="0022554A" w:rsidRDefault="00450F91" w:rsidP="00450F91">
            <w:pPr>
              <w:tabs>
                <w:tab w:val="left" w:pos="5400"/>
              </w:tabs>
              <w:jc w:val="center"/>
              <w:rPr>
                <w:sz w:val="20"/>
              </w:rPr>
            </w:pPr>
            <w:r w:rsidRPr="0022554A">
              <w:rPr>
                <w:sz w:val="20"/>
              </w:rPr>
              <w:t>8</w:t>
            </w:r>
            <w:bookmarkStart w:id="33" w:name="bold19"/>
            <w:r w:rsidRPr="0022554A">
              <w:rPr>
                <w:bCs/>
                <w:sz w:val="20"/>
              </w:rPr>
              <w:t>*</w:t>
            </w:r>
            <w:bookmarkEnd w:id="33"/>
          </w:p>
        </w:tc>
        <w:tc>
          <w:tcPr>
            <w:tcW w:w="11248" w:type="dxa"/>
          </w:tcPr>
          <w:p w14:paraId="1DFC12A3" w14:textId="77777777" w:rsidR="00450F91" w:rsidRPr="0022554A" w:rsidRDefault="00450F91" w:rsidP="008F0090">
            <w:pPr>
              <w:tabs>
                <w:tab w:val="left" w:pos="5400"/>
              </w:tabs>
              <w:jc w:val="both"/>
              <w:rPr>
                <w:sz w:val="20"/>
              </w:rPr>
            </w:pPr>
            <w:r w:rsidRPr="0022554A">
              <w:rPr>
                <w:i/>
                <w:sz w:val="20"/>
              </w:rPr>
              <w:t xml:space="preserve"> </w:t>
            </w:r>
            <w:r w:rsidR="00D55897" w:rsidRPr="00D55897">
              <w:rPr>
                <w:i/>
                <w:sz w:val="20"/>
              </w:rPr>
              <w:t xml:space="preserve">Data sources: </w:t>
            </w:r>
            <w:r w:rsidR="00D55897" w:rsidRPr="00D55897">
              <w:rPr>
                <w:sz w:val="20"/>
              </w:rPr>
              <w:t xml:space="preserve">Anthropometrics (height and weight) were measured on all sampled adolescent girls. </w:t>
            </w:r>
            <w:r w:rsidR="0075154B" w:rsidRPr="0075154B">
              <w:rPr>
                <w:sz w:val="20"/>
              </w:rPr>
              <w:t xml:space="preserve">Weight was measured to the nearest </w:t>
            </w:r>
            <w:bookmarkStart w:id="34" w:name="_Hlk26867325"/>
            <w:r w:rsidR="0075154B" w:rsidRPr="0075154B">
              <w:rPr>
                <w:sz w:val="20"/>
              </w:rPr>
              <w:t>100 g</w:t>
            </w:r>
            <w:bookmarkEnd w:id="34"/>
            <w:r w:rsidR="0075154B" w:rsidRPr="0075154B">
              <w:rPr>
                <w:sz w:val="20"/>
              </w:rPr>
              <w:t xml:space="preserve"> using a standard SECA digital scale while the participants wore light clothing and no shoes. The scale was calibrated</w:t>
            </w:r>
            <w:r w:rsidR="0075154B" w:rsidRPr="0075154B">
              <w:rPr>
                <w:sz w:val="20"/>
                <w:shd w:val="clear" w:color="auto" w:fill="FFFFFF"/>
              </w:rPr>
              <w:t xml:space="preserve"> </w:t>
            </w:r>
            <w:r w:rsidR="0075154B" w:rsidRPr="0075154B">
              <w:rPr>
                <w:sz w:val="20"/>
              </w:rPr>
              <w:t>after weighing each participant. Height was measured in a standing position to the nearest 0.1 cm using a vertical board with a detachable sliding headpiece. Measuring tape was attached to it. BMI-for- age z-scores and height-for-age</w:t>
            </w:r>
            <w:r w:rsidR="0075154B" w:rsidRPr="0075154B">
              <w:rPr>
                <w:b/>
                <w:sz w:val="20"/>
              </w:rPr>
              <w:t xml:space="preserve"> </w:t>
            </w:r>
            <w:r w:rsidR="0075154B" w:rsidRPr="0075154B">
              <w:rPr>
                <w:sz w:val="20"/>
              </w:rPr>
              <w:t>z-scores were calculated</w:t>
            </w:r>
            <w:r w:rsidR="0075154B">
              <w:rPr>
                <w:sz w:val="20"/>
              </w:rPr>
              <w:t xml:space="preserve">.  In addition to this socioeconomic and demographic data were collected by using </w:t>
            </w:r>
            <w:r w:rsidR="0075154B" w:rsidRPr="0075154B">
              <w:rPr>
                <w:sz w:val="20"/>
              </w:rPr>
              <w:t>structured interviewer-administered questionnaire</w:t>
            </w:r>
            <w:r w:rsidR="0075154B">
              <w:rPr>
                <w:szCs w:val="24"/>
              </w:rPr>
              <w:t xml:space="preserve">. </w:t>
            </w:r>
          </w:p>
        </w:tc>
        <w:tc>
          <w:tcPr>
            <w:tcW w:w="1260" w:type="dxa"/>
            <w:vAlign w:val="center"/>
          </w:tcPr>
          <w:p w14:paraId="6A63B04F" w14:textId="77777777" w:rsidR="00450F91" w:rsidRPr="004E4D9F" w:rsidRDefault="00245761" w:rsidP="00450F91">
            <w:pPr>
              <w:tabs>
                <w:tab w:val="left" w:pos="5400"/>
              </w:tabs>
              <w:jc w:val="center"/>
              <w:rPr>
                <w:sz w:val="20"/>
              </w:rPr>
            </w:pPr>
            <w:r>
              <w:rPr>
                <w:sz w:val="20"/>
              </w:rPr>
              <w:t>6-</w:t>
            </w:r>
            <w:r w:rsidR="008F0090">
              <w:rPr>
                <w:sz w:val="20"/>
              </w:rPr>
              <w:t>7</w:t>
            </w:r>
          </w:p>
        </w:tc>
      </w:tr>
      <w:tr w:rsidR="00450F91" w:rsidRPr="0022554A" w14:paraId="76AD63E4" w14:textId="77777777" w:rsidTr="00D5465A">
        <w:trPr>
          <w:trHeight w:val="291"/>
          <w:jc w:val="center"/>
        </w:trPr>
        <w:tc>
          <w:tcPr>
            <w:tcW w:w="2434" w:type="dxa"/>
            <w:vAlign w:val="center"/>
          </w:tcPr>
          <w:p w14:paraId="10CA44A6" w14:textId="77777777" w:rsidR="00450F91" w:rsidRPr="0022554A" w:rsidRDefault="00450F91" w:rsidP="00450F91">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630" w:type="dxa"/>
            <w:vAlign w:val="center"/>
          </w:tcPr>
          <w:p w14:paraId="3AB85844" w14:textId="77777777" w:rsidR="00450F91" w:rsidRPr="0022554A" w:rsidRDefault="00450F91" w:rsidP="00450F91">
            <w:pPr>
              <w:tabs>
                <w:tab w:val="left" w:pos="5400"/>
              </w:tabs>
              <w:jc w:val="center"/>
              <w:rPr>
                <w:sz w:val="20"/>
              </w:rPr>
            </w:pPr>
            <w:r w:rsidRPr="0022554A">
              <w:rPr>
                <w:sz w:val="20"/>
              </w:rPr>
              <w:t>9</w:t>
            </w:r>
          </w:p>
        </w:tc>
        <w:tc>
          <w:tcPr>
            <w:tcW w:w="11248" w:type="dxa"/>
          </w:tcPr>
          <w:p w14:paraId="4D1EF8E0" w14:textId="77777777" w:rsidR="00680F5E" w:rsidRDefault="00C2472B" w:rsidP="00C2472B">
            <w:pPr>
              <w:tabs>
                <w:tab w:val="left" w:pos="5400"/>
              </w:tabs>
              <w:rPr>
                <w:sz w:val="20"/>
              </w:rPr>
            </w:pPr>
            <w:r>
              <w:rPr>
                <w:sz w:val="20"/>
              </w:rPr>
              <w:t>-</w:t>
            </w:r>
            <w:r w:rsidRPr="00C2472B">
              <w:rPr>
                <w:sz w:val="20"/>
              </w:rPr>
              <w:t>The questionnaire was prepared in English and then translated to Amharic and rendered back to English to keep the consistency of the questions.</w:t>
            </w:r>
          </w:p>
          <w:p w14:paraId="383E90DA" w14:textId="77777777" w:rsidR="00F64598" w:rsidRDefault="00C2472B" w:rsidP="00C2472B">
            <w:pPr>
              <w:tabs>
                <w:tab w:val="left" w:pos="5400"/>
              </w:tabs>
              <w:rPr>
                <w:sz w:val="20"/>
              </w:rPr>
            </w:pPr>
            <w:r>
              <w:rPr>
                <w:color w:val="000000"/>
                <w:sz w:val="20"/>
              </w:rPr>
              <w:t xml:space="preserve">- </w:t>
            </w:r>
            <w:r w:rsidR="00F64598" w:rsidRPr="00F64598">
              <w:rPr>
                <w:sz w:val="20"/>
              </w:rPr>
              <w:t xml:space="preserve">Data collectors and supervisors were trained for 4 days to properly fill out the questionnaire and measure anthropometry. </w:t>
            </w:r>
          </w:p>
          <w:p w14:paraId="5347CF1D" w14:textId="77777777" w:rsidR="00C2472B" w:rsidRDefault="00F64598" w:rsidP="00C2472B">
            <w:pPr>
              <w:tabs>
                <w:tab w:val="left" w:pos="5400"/>
              </w:tabs>
              <w:rPr>
                <w:sz w:val="20"/>
              </w:rPr>
            </w:pPr>
            <w:r>
              <w:rPr>
                <w:sz w:val="20"/>
              </w:rPr>
              <w:t>-</w:t>
            </w:r>
            <w:r w:rsidRPr="00F64598">
              <w:rPr>
                <w:sz w:val="20"/>
              </w:rPr>
              <w:t xml:space="preserve">Data collectors were selected from each zone so they could communicate fluently in the local language and understand the socio-cultural </w:t>
            </w:r>
            <w:r>
              <w:rPr>
                <w:sz w:val="20"/>
              </w:rPr>
              <w:t xml:space="preserve"> </w:t>
            </w:r>
            <w:r w:rsidRPr="00F64598">
              <w:rPr>
                <w:sz w:val="20"/>
              </w:rPr>
              <w:t>practices of the community.</w:t>
            </w:r>
          </w:p>
          <w:p w14:paraId="04E17629" w14:textId="77777777" w:rsidR="00246330" w:rsidRDefault="00246330" w:rsidP="00C2472B">
            <w:pPr>
              <w:tabs>
                <w:tab w:val="left" w:pos="5400"/>
              </w:tabs>
              <w:rPr>
                <w:sz w:val="20"/>
              </w:rPr>
            </w:pPr>
            <w:r>
              <w:rPr>
                <w:szCs w:val="24"/>
              </w:rPr>
              <w:t>-</w:t>
            </w:r>
            <w:r w:rsidRPr="00246330">
              <w:rPr>
                <w:sz w:val="20"/>
              </w:rPr>
              <w:t>The questionnaire was pre-tested on 5% adolescent girls in a similar area to the study sites to ensure reliability.</w:t>
            </w:r>
          </w:p>
          <w:p w14:paraId="587EC894" w14:textId="77777777" w:rsidR="00FE70A4" w:rsidRPr="00FE70A4" w:rsidRDefault="00246330" w:rsidP="00C2472B">
            <w:pPr>
              <w:tabs>
                <w:tab w:val="left" w:pos="5400"/>
              </w:tabs>
              <w:rPr>
                <w:szCs w:val="24"/>
              </w:rPr>
            </w:pPr>
            <w:r>
              <w:rPr>
                <w:sz w:val="20"/>
              </w:rPr>
              <w:t xml:space="preserve">- </w:t>
            </w:r>
            <w:r w:rsidRPr="00246330">
              <w:rPr>
                <w:sz w:val="20"/>
              </w:rPr>
              <w:t>Anthropometric measurements were standardized</w:t>
            </w:r>
            <w:r>
              <w:rPr>
                <w:szCs w:val="24"/>
              </w:rPr>
              <w:t xml:space="preserve"> </w:t>
            </w:r>
            <w:r w:rsidR="00FE70A4">
              <w:rPr>
                <w:szCs w:val="24"/>
              </w:rPr>
              <w:t>.</w:t>
            </w:r>
            <w:r w:rsidR="00FE70A4" w:rsidRPr="00FE70A4">
              <w:rPr>
                <w:sz w:val="20"/>
              </w:rPr>
              <w:t>Technical error of measurement and coefficient of variance (CV) were computed for all data collectors by using ENA for SMART software. Data collators with unacceptable TEM and CV were allowed to repeat the steps again.</w:t>
            </w:r>
            <w:r w:rsidR="00FE70A4" w:rsidRPr="00F1733D">
              <w:rPr>
                <w:szCs w:val="24"/>
              </w:rPr>
              <w:t xml:space="preserve">   </w:t>
            </w:r>
          </w:p>
        </w:tc>
        <w:tc>
          <w:tcPr>
            <w:tcW w:w="1260" w:type="dxa"/>
            <w:vAlign w:val="center"/>
          </w:tcPr>
          <w:p w14:paraId="12E1ACC3" w14:textId="77777777" w:rsidR="00450F91" w:rsidRPr="0022554A" w:rsidRDefault="00F26854" w:rsidP="00450F91">
            <w:pPr>
              <w:tabs>
                <w:tab w:val="left" w:pos="5400"/>
              </w:tabs>
              <w:jc w:val="center"/>
              <w:rPr>
                <w:color w:val="000000"/>
                <w:sz w:val="20"/>
              </w:rPr>
            </w:pPr>
            <w:r>
              <w:rPr>
                <w:color w:val="000000"/>
                <w:sz w:val="20"/>
              </w:rPr>
              <w:t>7-8</w:t>
            </w:r>
          </w:p>
        </w:tc>
      </w:tr>
      <w:tr w:rsidR="00450F91" w:rsidRPr="0022554A" w14:paraId="4E90529B" w14:textId="77777777" w:rsidTr="00D5465A">
        <w:trPr>
          <w:trHeight w:val="307"/>
          <w:jc w:val="center"/>
        </w:trPr>
        <w:tc>
          <w:tcPr>
            <w:tcW w:w="2434" w:type="dxa"/>
            <w:vAlign w:val="center"/>
          </w:tcPr>
          <w:p w14:paraId="74DE24BA" w14:textId="77777777" w:rsidR="00450F91" w:rsidRPr="0022554A" w:rsidRDefault="00450F91" w:rsidP="00450F91">
            <w:pPr>
              <w:tabs>
                <w:tab w:val="left" w:pos="5400"/>
              </w:tabs>
              <w:rPr>
                <w:bCs/>
                <w:sz w:val="20"/>
              </w:rPr>
            </w:pPr>
            <w:bookmarkStart w:id="37" w:name="bold21" w:colFirst="0" w:colLast="0"/>
            <w:bookmarkStart w:id="38" w:name="italic21" w:colFirst="0" w:colLast="0"/>
            <w:bookmarkEnd w:id="35"/>
            <w:bookmarkEnd w:id="36"/>
            <w:r w:rsidRPr="0022554A">
              <w:rPr>
                <w:bCs/>
                <w:sz w:val="20"/>
              </w:rPr>
              <w:t xml:space="preserve">Study </w:t>
            </w:r>
            <w:r>
              <w:rPr>
                <w:bCs/>
                <w:sz w:val="20"/>
              </w:rPr>
              <w:t>s</w:t>
            </w:r>
            <w:r w:rsidRPr="0022554A">
              <w:rPr>
                <w:bCs/>
                <w:sz w:val="20"/>
              </w:rPr>
              <w:t>ize</w:t>
            </w:r>
          </w:p>
        </w:tc>
        <w:tc>
          <w:tcPr>
            <w:tcW w:w="630" w:type="dxa"/>
            <w:vAlign w:val="center"/>
          </w:tcPr>
          <w:p w14:paraId="0933DA00" w14:textId="77777777" w:rsidR="00450F91" w:rsidRPr="0022554A" w:rsidRDefault="00450F91" w:rsidP="00450F91">
            <w:pPr>
              <w:tabs>
                <w:tab w:val="left" w:pos="5400"/>
              </w:tabs>
              <w:jc w:val="center"/>
              <w:rPr>
                <w:sz w:val="20"/>
              </w:rPr>
            </w:pPr>
            <w:r w:rsidRPr="0022554A">
              <w:rPr>
                <w:sz w:val="20"/>
              </w:rPr>
              <w:t>10</w:t>
            </w:r>
          </w:p>
        </w:tc>
        <w:tc>
          <w:tcPr>
            <w:tcW w:w="11248" w:type="dxa"/>
          </w:tcPr>
          <w:p w14:paraId="253EF12B" w14:textId="11D6BBD3" w:rsidR="00B4345A" w:rsidRPr="0022554A" w:rsidRDefault="00B4345A" w:rsidP="00B4345A">
            <w:pPr>
              <w:jc w:val="both"/>
              <w:rPr>
                <w:sz w:val="20"/>
              </w:rPr>
            </w:pPr>
            <w:r w:rsidRPr="00193F40">
              <w:rPr>
                <w:sz w:val="20"/>
              </w:rPr>
              <w:t>A single population proportion formula, [n=z</w:t>
            </w:r>
            <m:oMath>
              <m:f>
                <m:fPr>
                  <m:ctrlPr>
                    <w:rPr>
                      <w:rFonts w:ascii="Cambria Math" w:hAnsi="Cambria Math"/>
                      <w:sz w:val="20"/>
                    </w:rPr>
                  </m:ctrlPr>
                </m:fPr>
                <m:num>
                  <m:r>
                    <w:rPr>
                      <w:rFonts w:ascii="Cambria Math" w:hAnsi="Cambria Math"/>
                      <w:sz w:val="20"/>
                    </w:rPr>
                    <m:t>∝</m:t>
                  </m:r>
                </m:num>
                <m:den>
                  <m:r>
                    <w:rPr>
                      <w:rFonts w:ascii="Cambria Math" w:hAnsi="Cambria Math"/>
                      <w:sz w:val="20"/>
                    </w:rPr>
                    <m:t>2</m:t>
                  </m:r>
                </m:den>
              </m:f>
            </m:oMath>
            <w:r w:rsidRPr="00193F40">
              <w:rPr>
                <w:sz w:val="20"/>
                <w:vertAlign w:val="superscript"/>
              </w:rPr>
              <w:t>2</w:t>
            </w:r>
            <w:r w:rsidRPr="00193F40">
              <w:rPr>
                <w:sz w:val="20"/>
              </w:rPr>
              <w:t>P (1-P) /d</w:t>
            </w:r>
            <w:r w:rsidRPr="00193F40">
              <w:rPr>
                <w:sz w:val="20"/>
                <w:vertAlign w:val="superscript"/>
              </w:rPr>
              <w:t>2</w:t>
            </w:r>
            <w:r w:rsidRPr="00193F40">
              <w:rPr>
                <w:sz w:val="20"/>
              </w:rPr>
              <w:t xml:space="preserve">] was used to estimate the sample size. From the literature review, the prevalence of thinness (24.4%) and stunting (29.4%) were used for sample size calculations. Sample size calculation by using thinness (24.4%) was   </w:t>
            </w:r>
            <w:r w:rsidRPr="00193F40">
              <w:rPr>
                <w:bCs/>
                <w:sz w:val="20"/>
              </w:rPr>
              <w:t>n</w:t>
            </w:r>
            <w:r w:rsidRPr="00193F40">
              <w:rPr>
                <w:rFonts w:eastAsia="Times New Roman"/>
                <w:bCs/>
                <w:sz w:val="20"/>
              </w:rPr>
              <w:t>= (</w:t>
            </w:r>
            <w:r w:rsidRPr="00193F40">
              <w:rPr>
                <w:rFonts w:eastAsia="Times New Roman"/>
                <w:bCs/>
                <w:sz w:val="20"/>
                <w:u w:val="single"/>
              </w:rPr>
              <w:t xml:space="preserve">Z </w:t>
            </w:r>
            <w:r w:rsidRPr="00193F40">
              <w:rPr>
                <w:rFonts w:eastAsia="Times New Roman"/>
                <w:bCs/>
                <w:sz w:val="20"/>
                <w:u w:val="single"/>
                <w:vertAlign w:val="subscript"/>
              </w:rPr>
              <w:t>α/2</w:t>
            </w:r>
            <w:r w:rsidRPr="00193F40">
              <w:rPr>
                <w:rFonts w:eastAsia="Times New Roman"/>
                <w:bCs/>
                <w:sz w:val="20"/>
                <w:u w:val="single"/>
              </w:rPr>
              <w:t>)</w:t>
            </w:r>
            <w:r w:rsidRPr="00193F40">
              <w:rPr>
                <w:rFonts w:eastAsia="Times New Roman"/>
                <w:bCs/>
                <w:sz w:val="20"/>
                <w:u w:val="single"/>
                <w:vertAlign w:val="superscript"/>
              </w:rPr>
              <w:t>2</w:t>
            </w:r>
            <w:r w:rsidRPr="00193F40">
              <w:rPr>
                <w:rFonts w:eastAsia="Times New Roman"/>
                <w:bCs/>
                <w:sz w:val="20"/>
                <w:u w:val="single"/>
              </w:rPr>
              <w:t>*p (1-p)/d</w:t>
            </w:r>
            <w:r w:rsidRPr="00193F40">
              <w:rPr>
                <w:rFonts w:eastAsia="Times New Roman"/>
                <w:bCs/>
                <w:sz w:val="20"/>
                <w:u w:val="single"/>
                <w:vertAlign w:val="superscript"/>
              </w:rPr>
              <w:t>2</w:t>
            </w:r>
            <w:r w:rsidRPr="00193F40">
              <w:rPr>
                <w:rFonts w:eastAsia="Times New Roman"/>
                <w:bCs/>
                <w:sz w:val="20"/>
                <w:vertAlign w:val="superscript"/>
              </w:rPr>
              <w:t xml:space="preserve"> </w:t>
            </w:r>
            <w:r w:rsidRPr="00193F40">
              <w:rPr>
                <w:rFonts w:eastAsia="Times New Roman"/>
                <w:bCs/>
                <w:sz w:val="20"/>
              </w:rPr>
              <w:t xml:space="preserve">= 748 and sample size calculation by using </w:t>
            </w:r>
            <w:r w:rsidRPr="00193F40">
              <w:rPr>
                <w:sz w:val="20"/>
              </w:rPr>
              <w:t xml:space="preserve">stunting (29.4%) was n= </w:t>
            </w:r>
            <w:r w:rsidRPr="00193F40">
              <w:rPr>
                <w:bCs/>
                <w:sz w:val="20"/>
              </w:rPr>
              <w:t>n</w:t>
            </w:r>
            <w:r w:rsidRPr="00193F40">
              <w:rPr>
                <w:rFonts w:eastAsia="Times New Roman"/>
                <w:bCs/>
                <w:sz w:val="20"/>
              </w:rPr>
              <w:t>= (</w:t>
            </w:r>
            <w:r w:rsidRPr="00193F40">
              <w:rPr>
                <w:rFonts w:eastAsia="Times New Roman"/>
                <w:bCs/>
                <w:sz w:val="20"/>
                <w:u w:val="single"/>
              </w:rPr>
              <w:t xml:space="preserve">Z </w:t>
            </w:r>
            <w:r w:rsidRPr="00193F40">
              <w:rPr>
                <w:rFonts w:eastAsia="Times New Roman"/>
                <w:bCs/>
                <w:sz w:val="20"/>
                <w:u w:val="single"/>
                <w:vertAlign w:val="subscript"/>
              </w:rPr>
              <w:t>α/2</w:t>
            </w:r>
            <w:r w:rsidRPr="00193F40">
              <w:rPr>
                <w:rFonts w:eastAsia="Times New Roman"/>
                <w:bCs/>
                <w:sz w:val="20"/>
                <w:u w:val="single"/>
              </w:rPr>
              <w:t>)</w:t>
            </w:r>
            <w:r w:rsidRPr="00193F40">
              <w:rPr>
                <w:rFonts w:eastAsia="Times New Roman"/>
                <w:bCs/>
                <w:sz w:val="20"/>
                <w:u w:val="single"/>
                <w:vertAlign w:val="superscript"/>
              </w:rPr>
              <w:t>2</w:t>
            </w:r>
            <w:r w:rsidRPr="00193F40">
              <w:rPr>
                <w:rFonts w:eastAsia="Times New Roman"/>
                <w:bCs/>
                <w:sz w:val="20"/>
                <w:u w:val="single"/>
              </w:rPr>
              <w:t>*p (1-p)/d</w:t>
            </w:r>
            <w:r w:rsidRPr="00193F40">
              <w:rPr>
                <w:rFonts w:eastAsia="Times New Roman"/>
                <w:bCs/>
                <w:sz w:val="20"/>
                <w:u w:val="single"/>
                <w:vertAlign w:val="superscript"/>
              </w:rPr>
              <w:t>2</w:t>
            </w:r>
            <w:r w:rsidRPr="00193F40">
              <w:rPr>
                <w:rFonts w:eastAsia="Times New Roman"/>
                <w:bCs/>
                <w:sz w:val="20"/>
                <w:vertAlign w:val="superscript"/>
              </w:rPr>
              <w:t xml:space="preserve"> </w:t>
            </w:r>
            <w:r w:rsidRPr="00193F40">
              <w:rPr>
                <w:rFonts w:eastAsia="Times New Roman"/>
                <w:bCs/>
                <w:sz w:val="20"/>
              </w:rPr>
              <w:t xml:space="preserve">= </w:t>
            </w:r>
            <w:r w:rsidRPr="00193F40">
              <w:rPr>
                <w:bCs/>
                <w:sz w:val="20"/>
              </w:rPr>
              <w:t>843</w:t>
            </w:r>
            <w:r w:rsidRPr="00193F40">
              <w:rPr>
                <w:b/>
                <w:bCs/>
                <w:sz w:val="20"/>
              </w:rPr>
              <w:t xml:space="preserve">. </w:t>
            </w:r>
            <w:r w:rsidRPr="00193F40">
              <w:rPr>
                <w:bCs/>
                <w:sz w:val="20"/>
              </w:rPr>
              <w:t>So that f</w:t>
            </w:r>
            <w:r w:rsidRPr="00193F40">
              <w:rPr>
                <w:sz w:val="20"/>
              </w:rPr>
              <w:t xml:space="preserve">or this study, stunting (29.4%) was selected to estimate the sample size as it gives a larger sample; considering a 95% confidence interval (CI) and d=0.05%, the initial sample size was 383. </w:t>
            </w:r>
            <w:r w:rsidRPr="00193F40">
              <w:rPr>
                <w:bCs/>
                <w:sz w:val="20"/>
              </w:rPr>
              <w:t xml:space="preserve">By adding 10% for non-response and a design effect of 2.4, the final sample size was </w:t>
            </w:r>
            <w:r w:rsidRPr="00193F40">
              <w:rPr>
                <w:b/>
                <w:bCs/>
                <w:sz w:val="20"/>
              </w:rPr>
              <w:t>843</w:t>
            </w:r>
            <w:r w:rsidRPr="00193F40">
              <w:rPr>
                <w:bCs/>
                <w:sz w:val="20"/>
              </w:rPr>
              <w:t>.   n</w:t>
            </w:r>
            <w:r w:rsidRPr="00193F40">
              <w:rPr>
                <w:rFonts w:eastAsia="Times New Roman"/>
                <w:bCs/>
                <w:sz w:val="20"/>
              </w:rPr>
              <w:t>= (</w:t>
            </w:r>
            <w:r w:rsidRPr="00193F40">
              <w:rPr>
                <w:rFonts w:eastAsia="Times New Roman"/>
                <w:bCs/>
                <w:sz w:val="20"/>
                <w:u w:val="single"/>
              </w:rPr>
              <w:t xml:space="preserve">Z </w:t>
            </w:r>
            <w:r w:rsidRPr="00193F40">
              <w:rPr>
                <w:rFonts w:eastAsia="Times New Roman"/>
                <w:bCs/>
                <w:sz w:val="20"/>
                <w:u w:val="single"/>
                <w:vertAlign w:val="subscript"/>
              </w:rPr>
              <w:t>α/2</w:t>
            </w:r>
            <w:r w:rsidRPr="00193F40">
              <w:rPr>
                <w:rFonts w:eastAsia="Times New Roman"/>
                <w:bCs/>
                <w:sz w:val="20"/>
                <w:u w:val="single"/>
              </w:rPr>
              <w:t>)</w:t>
            </w:r>
            <w:r w:rsidRPr="00193F40">
              <w:rPr>
                <w:rFonts w:eastAsia="Times New Roman"/>
                <w:bCs/>
                <w:sz w:val="20"/>
                <w:u w:val="single"/>
                <w:vertAlign w:val="superscript"/>
              </w:rPr>
              <w:t>2</w:t>
            </w:r>
            <w:r w:rsidRPr="00193F40">
              <w:rPr>
                <w:rFonts w:eastAsia="Times New Roman"/>
                <w:bCs/>
                <w:sz w:val="20"/>
                <w:u w:val="single"/>
              </w:rPr>
              <w:t>*p (1-p) DE /</w:t>
            </w:r>
            <w:r w:rsidRPr="00193F40">
              <w:rPr>
                <w:rFonts w:eastAsia="Times New Roman"/>
                <w:bCs/>
                <w:sz w:val="20"/>
              </w:rPr>
              <w:t>d</w:t>
            </w:r>
            <w:r w:rsidRPr="00193F40">
              <w:rPr>
                <w:rFonts w:eastAsia="Times New Roman"/>
                <w:bCs/>
                <w:sz w:val="20"/>
                <w:vertAlign w:val="superscript"/>
              </w:rPr>
              <w:t>2</w:t>
            </w:r>
            <w:r w:rsidRPr="00193F40">
              <w:rPr>
                <w:rFonts w:eastAsia="Times New Roman"/>
                <w:bCs/>
                <w:sz w:val="20"/>
                <w:vertAlign w:val="subscript"/>
              </w:rPr>
              <w:t xml:space="preserve">. </w:t>
            </w:r>
            <w:r w:rsidRPr="00193F40">
              <w:rPr>
                <w:sz w:val="20"/>
              </w:rPr>
              <w:t>Where: Z = Standard normal distribution value at 95% CI = (1.96)</w:t>
            </w:r>
            <w:r w:rsidRPr="00193F40">
              <w:rPr>
                <w:sz w:val="20"/>
                <w:vertAlign w:val="superscript"/>
              </w:rPr>
              <w:t>2</w:t>
            </w:r>
            <w:r w:rsidRPr="00193F40">
              <w:rPr>
                <w:sz w:val="20"/>
              </w:rPr>
              <w:t xml:space="preserve">, DE </w:t>
            </w:r>
            <w:r w:rsidRPr="00193F40">
              <w:rPr>
                <w:b/>
                <w:sz w:val="20"/>
              </w:rPr>
              <w:t xml:space="preserve">= </w:t>
            </w:r>
            <w:r w:rsidRPr="00193F40">
              <w:rPr>
                <w:bCs/>
                <w:sz w:val="20"/>
              </w:rPr>
              <w:t>design effect, and</w:t>
            </w:r>
            <w:r w:rsidRPr="00193F40">
              <w:rPr>
                <w:sz w:val="20"/>
              </w:rPr>
              <w:t xml:space="preserve"> d = 0.05 (5% margin of error). </w:t>
            </w:r>
          </w:p>
        </w:tc>
        <w:tc>
          <w:tcPr>
            <w:tcW w:w="1260" w:type="dxa"/>
            <w:vAlign w:val="center"/>
          </w:tcPr>
          <w:p w14:paraId="7AB6B6D0" w14:textId="77777777" w:rsidR="00450F91" w:rsidRPr="0022554A" w:rsidRDefault="00B4345A" w:rsidP="00450F91">
            <w:pPr>
              <w:tabs>
                <w:tab w:val="left" w:pos="5400"/>
              </w:tabs>
              <w:jc w:val="center"/>
              <w:rPr>
                <w:sz w:val="20"/>
              </w:rPr>
            </w:pPr>
            <w:r>
              <w:rPr>
                <w:sz w:val="20"/>
              </w:rPr>
              <w:t>5</w:t>
            </w:r>
            <w:r w:rsidR="00245761">
              <w:rPr>
                <w:sz w:val="20"/>
              </w:rPr>
              <w:t>-</w:t>
            </w:r>
            <w:r>
              <w:rPr>
                <w:sz w:val="20"/>
              </w:rPr>
              <w:t>6</w:t>
            </w:r>
          </w:p>
        </w:tc>
      </w:tr>
      <w:tr w:rsidR="00450F91" w:rsidRPr="0022554A" w14:paraId="5C17DDC9" w14:textId="77777777" w:rsidTr="00D5465A">
        <w:trPr>
          <w:trHeight w:val="296"/>
          <w:jc w:val="center"/>
        </w:trPr>
        <w:tc>
          <w:tcPr>
            <w:tcW w:w="2434" w:type="dxa"/>
            <w:tcBorders>
              <w:bottom w:val="single" w:sz="4" w:space="0" w:color="auto"/>
            </w:tcBorders>
            <w:vAlign w:val="center"/>
          </w:tcPr>
          <w:p w14:paraId="11BDE6B1" w14:textId="77777777" w:rsidR="00450F91" w:rsidRPr="0022554A" w:rsidRDefault="00450F91" w:rsidP="00450F91">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w:t>
            </w:r>
            <w:r>
              <w:rPr>
                <w:bCs/>
                <w:sz w:val="20"/>
              </w:rPr>
              <w:t>v</w:t>
            </w:r>
            <w:r w:rsidRPr="0022554A">
              <w:rPr>
                <w:bCs/>
                <w:sz w:val="20"/>
              </w:rPr>
              <w:t>ariables</w:t>
            </w:r>
            <w:bookmarkEnd w:id="41"/>
            <w:bookmarkEnd w:id="42"/>
          </w:p>
        </w:tc>
        <w:tc>
          <w:tcPr>
            <w:tcW w:w="630" w:type="dxa"/>
            <w:tcBorders>
              <w:bottom w:val="single" w:sz="4" w:space="0" w:color="auto"/>
            </w:tcBorders>
            <w:vAlign w:val="center"/>
          </w:tcPr>
          <w:p w14:paraId="3D47DABC" w14:textId="77777777" w:rsidR="00450F91" w:rsidRPr="0022554A" w:rsidRDefault="00450F91" w:rsidP="00450F91">
            <w:pPr>
              <w:tabs>
                <w:tab w:val="left" w:pos="5400"/>
              </w:tabs>
              <w:jc w:val="center"/>
              <w:rPr>
                <w:sz w:val="20"/>
              </w:rPr>
            </w:pPr>
            <w:r w:rsidRPr="0022554A">
              <w:rPr>
                <w:sz w:val="20"/>
              </w:rPr>
              <w:t>11</w:t>
            </w:r>
          </w:p>
        </w:tc>
        <w:tc>
          <w:tcPr>
            <w:tcW w:w="11248" w:type="dxa"/>
            <w:vAlign w:val="center"/>
          </w:tcPr>
          <w:p w14:paraId="089F2E40" w14:textId="77777777" w:rsidR="00450F91" w:rsidRPr="00DE60D3" w:rsidRDefault="00DE60D3" w:rsidP="00450F91">
            <w:pPr>
              <w:tabs>
                <w:tab w:val="left" w:pos="5400"/>
              </w:tabs>
              <w:rPr>
                <w:sz w:val="20"/>
              </w:rPr>
            </w:pPr>
            <w:r w:rsidRPr="00DE60D3">
              <w:rPr>
                <w:sz w:val="20"/>
              </w:rPr>
              <w:t>First, the data was checked for completeness and consistency for data entry and cleaning. Then,   data was entered in the computer using EPI-data version 4.4.2 and exported to SPSS version 21.0 for further analysis.</w:t>
            </w:r>
          </w:p>
        </w:tc>
        <w:tc>
          <w:tcPr>
            <w:tcW w:w="1260" w:type="dxa"/>
            <w:vAlign w:val="center"/>
          </w:tcPr>
          <w:p w14:paraId="5DBDF975" w14:textId="77777777" w:rsidR="00450F91" w:rsidRPr="0022554A" w:rsidRDefault="00245761" w:rsidP="00450F91">
            <w:pPr>
              <w:tabs>
                <w:tab w:val="left" w:pos="5400"/>
              </w:tabs>
              <w:jc w:val="center"/>
              <w:rPr>
                <w:sz w:val="20"/>
              </w:rPr>
            </w:pPr>
            <w:r>
              <w:rPr>
                <w:sz w:val="20"/>
              </w:rPr>
              <w:t>7</w:t>
            </w:r>
          </w:p>
        </w:tc>
      </w:tr>
      <w:tr w:rsidR="00450F91" w:rsidRPr="0022554A" w14:paraId="29BD6B81" w14:textId="77777777" w:rsidTr="00D5465A">
        <w:trPr>
          <w:trHeight w:val="307"/>
          <w:jc w:val="center"/>
        </w:trPr>
        <w:tc>
          <w:tcPr>
            <w:tcW w:w="2434" w:type="dxa"/>
            <w:tcBorders>
              <w:top w:val="single" w:sz="4" w:space="0" w:color="auto"/>
              <w:bottom w:val="single" w:sz="4" w:space="0" w:color="auto"/>
            </w:tcBorders>
            <w:vAlign w:val="center"/>
          </w:tcPr>
          <w:p w14:paraId="1AA45185" w14:textId="77777777" w:rsidR="00450F91" w:rsidRPr="0022554A" w:rsidRDefault="00450F91" w:rsidP="00450F91">
            <w:pPr>
              <w:tabs>
                <w:tab w:val="left" w:pos="5400"/>
              </w:tabs>
              <w:rPr>
                <w:sz w:val="20"/>
              </w:rPr>
            </w:pPr>
            <w:bookmarkStart w:id="43" w:name="italic24"/>
            <w:r w:rsidRPr="0022554A">
              <w:rPr>
                <w:sz w:val="20"/>
              </w:rPr>
              <w:t>Statistical</w:t>
            </w:r>
            <w:bookmarkStart w:id="44" w:name="italic25"/>
            <w:bookmarkEnd w:id="43"/>
            <w:r w:rsidRPr="0022554A">
              <w:rPr>
                <w:sz w:val="20"/>
              </w:rPr>
              <w:t xml:space="preserve"> </w:t>
            </w:r>
            <w:r>
              <w:rPr>
                <w:sz w:val="20"/>
              </w:rPr>
              <w:t>m</w:t>
            </w:r>
            <w:r w:rsidRPr="0022554A">
              <w:rPr>
                <w:sz w:val="20"/>
              </w:rPr>
              <w:t>ethods</w:t>
            </w:r>
            <w:bookmarkEnd w:id="44"/>
          </w:p>
        </w:tc>
        <w:tc>
          <w:tcPr>
            <w:tcW w:w="630" w:type="dxa"/>
            <w:tcBorders>
              <w:top w:val="single" w:sz="4" w:space="0" w:color="auto"/>
              <w:bottom w:val="single" w:sz="4" w:space="0" w:color="auto"/>
            </w:tcBorders>
            <w:vAlign w:val="center"/>
          </w:tcPr>
          <w:p w14:paraId="2CD82B91" w14:textId="77777777" w:rsidR="00450F91" w:rsidRPr="0022554A" w:rsidRDefault="00450F91" w:rsidP="00450F91">
            <w:pPr>
              <w:tabs>
                <w:tab w:val="left" w:pos="5400"/>
              </w:tabs>
              <w:jc w:val="center"/>
              <w:rPr>
                <w:sz w:val="20"/>
              </w:rPr>
            </w:pPr>
            <w:r w:rsidRPr="0022554A">
              <w:rPr>
                <w:sz w:val="20"/>
              </w:rPr>
              <w:t>12</w:t>
            </w:r>
          </w:p>
        </w:tc>
        <w:tc>
          <w:tcPr>
            <w:tcW w:w="11248" w:type="dxa"/>
          </w:tcPr>
          <w:p w14:paraId="7C0C21C1" w14:textId="77777777" w:rsidR="005F32F0" w:rsidRPr="005F32F0" w:rsidRDefault="005F32F0" w:rsidP="005F32F0">
            <w:pPr>
              <w:tabs>
                <w:tab w:val="left" w:pos="5400"/>
              </w:tabs>
              <w:rPr>
                <w:sz w:val="20"/>
              </w:rPr>
            </w:pPr>
            <w:r w:rsidRPr="005F32F0">
              <w:rPr>
                <w:sz w:val="20"/>
              </w:rPr>
              <w:t xml:space="preserve">Descriptive statistics such as frequencies, proportions, and cross-tabulation were used to present the data. In addition, bivariate logistic regression analysis was performed to assess the association between independent and dependent variables. Variables that showed an association (p-value ≤ 0.25) in the bivariate analysis were included in the final multivariate logistic regression model. Odds ratios for </w:t>
            </w:r>
            <w:r w:rsidRPr="003E705A">
              <w:rPr>
                <w:sz w:val="20"/>
                <w:u w:val="single"/>
              </w:rPr>
              <w:t>logistic regression along with a 95% CI were estimated. A p-value less than 0.05 was declared statistically significant.</w:t>
            </w:r>
          </w:p>
        </w:tc>
        <w:tc>
          <w:tcPr>
            <w:tcW w:w="1260" w:type="dxa"/>
            <w:vAlign w:val="center"/>
          </w:tcPr>
          <w:p w14:paraId="7877DF46" w14:textId="77777777" w:rsidR="00450F91" w:rsidRPr="0022554A" w:rsidRDefault="00245761" w:rsidP="00450F91">
            <w:pPr>
              <w:tabs>
                <w:tab w:val="left" w:pos="5400"/>
              </w:tabs>
              <w:jc w:val="center"/>
              <w:rPr>
                <w:sz w:val="20"/>
              </w:rPr>
            </w:pPr>
            <w:r>
              <w:rPr>
                <w:sz w:val="20"/>
              </w:rPr>
              <w:t>7-8</w:t>
            </w:r>
          </w:p>
        </w:tc>
      </w:tr>
    </w:tbl>
    <w:p w14:paraId="62D1FD11" w14:textId="77777777" w:rsidR="00450F91" w:rsidRDefault="00450F91" w:rsidP="00450F91">
      <w:pPr>
        <w:spacing w:line="240" w:lineRule="auto"/>
        <w:rPr>
          <w:sz w:val="6"/>
        </w:rPr>
      </w:pPr>
      <w:bookmarkStart w:id="45" w:name="bold27" w:colFirst="0" w:colLast="0"/>
      <w:bookmarkStart w:id="46" w:name="italic29" w:colFirst="0" w:colLast="0"/>
    </w:p>
    <w:p w14:paraId="2CE660C6" w14:textId="77777777" w:rsidR="00450F91" w:rsidRDefault="00450F91" w:rsidP="00450F91">
      <w:pPr>
        <w:spacing w:line="240" w:lineRule="auto"/>
        <w:rPr>
          <w:sz w:val="6"/>
        </w:rPr>
      </w:pPr>
    </w:p>
    <w:p w14:paraId="1D1B5F7A" w14:textId="77777777" w:rsidR="00450F91" w:rsidRDefault="00450F91" w:rsidP="00450F91">
      <w:pPr>
        <w:spacing w:line="240" w:lineRule="auto"/>
        <w:rPr>
          <w:sz w:val="6"/>
        </w:rPr>
      </w:pPr>
    </w:p>
    <w:p w14:paraId="3E2A931A" w14:textId="77777777" w:rsidR="00450F91" w:rsidRPr="007C1ACB" w:rsidRDefault="00450F91" w:rsidP="00450F91">
      <w:pPr>
        <w:spacing w:line="240" w:lineRule="auto"/>
        <w:rPr>
          <w:sz w:val="6"/>
        </w:rPr>
      </w:pPr>
    </w:p>
    <w:tbl>
      <w:tblPr>
        <w:tblW w:w="5129" w:type="pct"/>
        <w:jc w:val="center"/>
        <w:tblBorders>
          <w:insideH w:val="single" w:sz="4" w:space="0" w:color="auto"/>
        </w:tblBorders>
        <w:tblLook w:val="0000" w:firstRow="0" w:lastRow="0" w:firstColumn="0" w:lastColumn="0" w:noHBand="0" w:noVBand="0"/>
      </w:tblPr>
      <w:tblGrid>
        <w:gridCol w:w="2323"/>
        <w:gridCol w:w="647"/>
        <w:gridCol w:w="10597"/>
        <w:gridCol w:w="1205"/>
      </w:tblGrid>
      <w:tr w:rsidR="00450F91" w:rsidRPr="0022554A" w14:paraId="422C73CE" w14:textId="77777777" w:rsidTr="00FA7C7D">
        <w:trPr>
          <w:trHeight w:val="594"/>
          <w:jc w:val="center"/>
        </w:trPr>
        <w:tc>
          <w:tcPr>
            <w:tcW w:w="786" w:type="pct"/>
            <w:vAlign w:val="center"/>
          </w:tcPr>
          <w:p w14:paraId="025A26BD" w14:textId="77777777" w:rsidR="00450F91" w:rsidRPr="00F257C9" w:rsidRDefault="00450F91" w:rsidP="00450F91">
            <w:pPr>
              <w:tabs>
                <w:tab w:val="left" w:pos="5400"/>
              </w:tabs>
              <w:rPr>
                <w:bCs/>
                <w:sz w:val="20"/>
              </w:rPr>
            </w:pPr>
            <w:bookmarkStart w:id="47" w:name="bold29"/>
            <w:bookmarkStart w:id="48" w:name="italic31"/>
            <w:bookmarkEnd w:id="45"/>
            <w:bookmarkEnd w:id="46"/>
            <w:r w:rsidRPr="00F257C9">
              <w:rPr>
                <w:bCs/>
                <w:sz w:val="20"/>
              </w:rPr>
              <w:t>Participants</w:t>
            </w:r>
            <w:bookmarkEnd w:id="47"/>
            <w:bookmarkEnd w:id="48"/>
          </w:p>
        </w:tc>
        <w:tc>
          <w:tcPr>
            <w:tcW w:w="219" w:type="pct"/>
            <w:vAlign w:val="center"/>
          </w:tcPr>
          <w:p w14:paraId="578CCF6A" w14:textId="77777777" w:rsidR="00450F91" w:rsidRPr="0022554A" w:rsidRDefault="00450F91" w:rsidP="00450F91">
            <w:pPr>
              <w:tabs>
                <w:tab w:val="left" w:pos="5400"/>
              </w:tabs>
              <w:jc w:val="center"/>
              <w:rPr>
                <w:sz w:val="20"/>
              </w:rPr>
            </w:pPr>
            <w:r w:rsidRPr="0022554A">
              <w:rPr>
                <w:sz w:val="20"/>
              </w:rPr>
              <w:t>13</w:t>
            </w:r>
            <w:bookmarkStart w:id="49" w:name="bold30"/>
            <w:r w:rsidRPr="0022554A">
              <w:rPr>
                <w:bCs/>
                <w:sz w:val="20"/>
              </w:rPr>
              <w:t>*</w:t>
            </w:r>
            <w:bookmarkEnd w:id="49"/>
          </w:p>
        </w:tc>
        <w:tc>
          <w:tcPr>
            <w:tcW w:w="3587" w:type="pct"/>
          </w:tcPr>
          <w:p w14:paraId="4FFDFC89" w14:textId="77777777" w:rsidR="00450F91" w:rsidRPr="0022554A" w:rsidRDefault="00674DF2" w:rsidP="00674DF2">
            <w:pPr>
              <w:tabs>
                <w:tab w:val="left" w:pos="5400"/>
              </w:tabs>
              <w:rPr>
                <w:sz w:val="20"/>
              </w:rPr>
            </w:pPr>
            <w:r>
              <w:rPr>
                <w:sz w:val="20"/>
              </w:rPr>
              <w:t xml:space="preserve">For this study 843 adolescent girls </w:t>
            </w:r>
            <w:r w:rsidR="00106FBB">
              <w:rPr>
                <w:sz w:val="20"/>
              </w:rPr>
              <w:t xml:space="preserve">planned to be included in the study. But only 820 adolescent girls were participated in the study. From the total 23 adolescent girls were refused to participate.  </w:t>
            </w:r>
          </w:p>
        </w:tc>
        <w:tc>
          <w:tcPr>
            <w:tcW w:w="408" w:type="pct"/>
            <w:vAlign w:val="center"/>
          </w:tcPr>
          <w:p w14:paraId="5DCDFB3E" w14:textId="77777777" w:rsidR="00450F91" w:rsidRDefault="00245761" w:rsidP="00450F91">
            <w:pPr>
              <w:tabs>
                <w:tab w:val="left" w:pos="5400"/>
              </w:tabs>
              <w:jc w:val="center"/>
              <w:rPr>
                <w:sz w:val="20"/>
              </w:rPr>
            </w:pPr>
            <w:r>
              <w:rPr>
                <w:sz w:val="20"/>
              </w:rPr>
              <w:t>9</w:t>
            </w:r>
          </w:p>
        </w:tc>
      </w:tr>
      <w:tr w:rsidR="00450F91" w:rsidRPr="0022554A" w14:paraId="68CA9897" w14:textId="77777777" w:rsidTr="00FA7C7D">
        <w:trPr>
          <w:trHeight w:val="2050"/>
          <w:jc w:val="center"/>
        </w:trPr>
        <w:tc>
          <w:tcPr>
            <w:tcW w:w="786" w:type="pct"/>
            <w:vMerge w:val="restart"/>
            <w:vAlign w:val="center"/>
          </w:tcPr>
          <w:p w14:paraId="3E639076" w14:textId="77777777" w:rsidR="00450F91" w:rsidRPr="0022554A" w:rsidRDefault="00450F91" w:rsidP="00450F91">
            <w:pPr>
              <w:tabs>
                <w:tab w:val="left" w:pos="5400"/>
              </w:tabs>
              <w:rPr>
                <w:bCs/>
                <w:sz w:val="20"/>
              </w:rPr>
            </w:pPr>
            <w:bookmarkStart w:id="50" w:name="bold33"/>
            <w:bookmarkStart w:id="51" w:name="italic34"/>
            <w:r w:rsidRPr="0022554A">
              <w:rPr>
                <w:bCs/>
                <w:sz w:val="20"/>
              </w:rPr>
              <w:lastRenderedPageBreak/>
              <w:t xml:space="preserve">Descriptive </w:t>
            </w:r>
            <w:bookmarkStart w:id="52" w:name="bold34"/>
            <w:bookmarkStart w:id="53" w:name="italic35"/>
            <w:bookmarkEnd w:id="50"/>
            <w:bookmarkEnd w:id="51"/>
            <w:r>
              <w:rPr>
                <w:bCs/>
                <w:sz w:val="20"/>
              </w:rPr>
              <w:t>d</w:t>
            </w:r>
            <w:r w:rsidRPr="0022554A">
              <w:rPr>
                <w:bCs/>
                <w:sz w:val="20"/>
              </w:rPr>
              <w:t>ata</w:t>
            </w:r>
            <w:bookmarkEnd w:id="52"/>
            <w:bookmarkEnd w:id="53"/>
          </w:p>
        </w:tc>
        <w:tc>
          <w:tcPr>
            <w:tcW w:w="219" w:type="pct"/>
            <w:vMerge w:val="restart"/>
            <w:vAlign w:val="center"/>
          </w:tcPr>
          <w:p w14:paraId="0CA9C48E" w14:textId="77777777" w:rsidR="00450F91" w:rsidRPr="0022554A" w:rsidRDefault="00450F91" w:rsidP="00450F91">
            <w:pPr>
              <w:tabs>
                <w:tab w:val="left" w:pos="5400"/>
              </w:tabs>
              <w:jc w:val="center"/>
              <w:rPr>
                <w:sz w:val="20"/>
              </w:rPr>
            </w:pPr>
            <w:r w:rsidRPr="0022554A">
              <w:rPr>
                <w:sz w:val="20"/>
              </w:rPr>
              <w:t>14</w:t>
            </w:r>
          </w:p>
        </w:tc>
        <w:tc>
          <w:tcPr>
            <w:tcW w:w="3587" w:type="pct"/>
          </w:tcPr>
          <w:p w14:paraId="67E62C36" w14:textId="77777777" w:rsidR="00106FBB" w:rsidRPr="00841030" w:rsidRDefault="00841030" w:rsidP="00841030">
            <w:pPr>
              <w:tabs>
                <w:tab w:val="left" w:pos="5400"/>
              </w:tabs>
              <w:jc w:val="both"/>
              <w:rPr>
                <w:sz w:val="20"/>
              </w:rPr>
            </w:pPr>
            <w:r w:rsidRPr="00841030">
              <w:rPr>
                <w:sz w:val="20"/>
              </w:rPr>
              <w:t>The mean age of the study participants was 14.6 (±1.9) years, the mean family size was 6.56 (±1.83) persons, while 69.3% of the households had ≥ 5 family members and 30.7% had &lt; 5 family members. Most of the study participants (93.3%) were in grades 1-8 and only 0.2% had college and University education. Most of the study participants were Protestant (</w:t>
            </w:r>
            <w:r w:rsidRPr="00841030">
              <w:rPr>
                <w:color w:val="000000"/>
                <w:sz w:val="20"/>
              </w:rPr>
              <w:t>65.0</w:t>
            </w:r>
            <w:r w:rsidRPr="00841030">
              <w:rPr>
                <w:sz w:val="20"/>
              </w:rPr>
              <w:t xml:space="preserve">%), but </w:t>
            </w:r>
            <w:r w:rsidRPr="00841030">
              <w:rPr>
                <w:color w:val="000000"/>
                <w:sz w:val="20"/>
              </w:rPr>
              <w:t>34.3</w:t>
            </w:r>
            <w:r w:rsidRPr="00841030">
              <w:rPr>
                <w:sz w:val="20"/>
              </w:rPr>
              <w:t>% were Orthodox Christian, and only 0.7% were Muslims. About one third (</w:t>
            </w:r>
            <w:r w:rsidRPr="00841030">
              <w:rPr>
                <w:color w:val="000000"/>
                <w:sz w:val="20"/>
              </w:rPr>
              <w:t>33.4%) of the study participants were from households that have less than 1000 ETBirr(31.25 USD) m</w:t>
            </w:r>
            <w:r w:rsidRPr="00841030">
              <w:rPr>
                <w:bCs/>
                <w:color w:val="000000"/>
                <w:sz w:val="20"/>
              </w:rPr>
              <w:t xml:space="preserve">onthly income and </w:t>
            </w:r>
            <w:r w:rsidRPr="00841030">
              <w:rPr>
                <w:color w:val="000000"/>
                <w:sz w:val="20"/>
              </w:rPr>
              <w:t xml:space="preserve">30.3% are from households that have greater than </w:t>
            </w:r>
            <w:r w:rsidRPr="00841030">
              <w:rPr>
                <w:color w:val="222222"/>
                <w:sz w:val="20"/>
                <w:shd w:val="clear" w:color="auto" w:fill="FFFFFF"/>
              </w:rPr>
              <w:t xml:space="preserve">2000 ETBirr </w:t>
            </w:r>
            <w:r w:rsidRPr="00841030">
              <w:rPr>
                <w:rFonts w:ascii="Arial" w:hAnsi="Arial" w:cs="Arial"/>
                <w:color w:val="222222"/>
                <w:sz w:val="20"/>
                <w:shd w:val="clear" w:color="auto" w:fill="FFFFFF"/>
              </w:rPr>
              <w:t>(</w:t>
            </w:r>
            <w:r w:rsidRPr="00841030">
              <w:rPr>
                <w:color w:val="000000"/>
                <w:sz w:val="20"/>
              </w:rPr>
              <w:t>62.5USD) m</w:t>
            </w:r>
            <w:r w:rsidRPr="00841030">
              <w:rPr>
                <w:bCs/>
                <w:color w:val="000000"/>
                <w:sz w:val="20"/>
              </w:rPr>
              <w:t>onthly income.</w:t>
            </w:r>
          </w:p>
        </w:tc>
        <w:tc>
          <w:tcPr>
            <w:tcW w:w="408" w:type="pct"/>
            <w:vAlign w:val="center"/>
          </w:tcPr>
          <w:p w14:paraId="043B0F67" w14:textId="77777777" w:rsidR="00450F91" w:rsidRDefault="00245761" w:rsidP="00450F91">
            <w:pPr>
              <w:tabs>
                <w:tab w:val="left" w:pos="5400"/>
              </w:tabs>
              <w:jc w:val="center"/>
              <w:rPr>
                <w:sz w:val="20"/>
              </w:rPr>
            </w:pPr>
            <w:r>
              <w:rPr>
                <w:sz w:val="20"/>
              </w:rPr>
              <w:t>9</w:t>
            </w:r>
          </w:p>
        </w:tc>
      </w:tr>
      <w:tr w:rsidR="00450F91" w:rsidRPr="0022554A" w14:paraId="5C044EA4" w14:textId="77777777" w:rsidTr="00FA7C7D">
        <w:trPr>
          <w:trHeight w:val="438"/>
          <w:jc w:val="center"/>
        </w:trPr>
        <w:tc>
          <w:tcPr>
            <w:tcW w:w="786" w:type="pct"/>
            <w:vMerge/>
            <w:vAlign w:val="center"/>
          </w:tcPr>
          <w:p w14:paraId="3F4CBF35" w14:textId="77777777" w:rsidR="00450F91" w:rsidRPr="0022554A" w:rsidRDefault="00450F91" w:rsidP="00450F91">
            <w:pPr>
              <w:tabs>
                <w:tab w:val="left" w:pos="5400"/>
              </w:tabs>
              <w:rPr>
                <w:bCs/>
                <w:sz w:val="20"/>
              </w:rPr>
            </w:pPr>
            <w:bookmarkStart w:id="54" w:name="bold36" w:colFirst="0" w:colLast="0"/>
            <w:bookmarkStart w:id="55" w:name="italic36" w:colFirst="0" w:colLast="0"/>
          </w:p>
        </w:tc>
        <w:tc>
          <w:tcPr>
            <w:tcW w:w="219" w:type="pct"/>
            <w:vMerge/>
            <w:vAlign w:val="center"/>
          </w:tcPr>
          <w:p w14:paraId="7E5032BC" w14:textId="77777777" w:rsidR="00450F91" w:rsidRPr="0022554A" w:rsidRDefault="00450F91" w:rsidP="00450F91">
            <w:pPr>
              <w:tabs>
                <w:tab w:val="left" w:pos="5400"/>
              </w:tabs>
              <w:jc w:val="center"/>
              <w:rPr>
                <w:sz w:val="20"/>
              </w:rPr>
            </w:pPr>
          </w:p>
        </w:tc>
        <w:tc>
          <w:tcPr>
            <w:tcW w:w="3587" w:type="pct"/>
          </w:tcPr>
          <w:p w14:paraId="65B7585F" w14:textId="77777777" w:rsidR="00450F91" w:rsidRPr="0022554A" w:rsidRDefault="00450F91" w:rsidP="00A13EEB">
            <w:pPr>
              <w:tabs>
                <w:tab w:val="left" w:pos="5400"/>
              </w:tabs>
              <w:rPr>
                <w:sz w:val="20"/>
              </w:rPr>
            </w:pPr>
            <w:r>
              <w:rPr>
                <w:sz w:val="20"/>
              </w:rPr>
              <w:t xml:space="preserve"> </w:t>
            </w:r>
            <w:r w:rsidR="00841030">
              <w:rPr>
                <w:sz w:val="20"/>
              </w:rPr>
              <w:t>N</w:t>
            </w:r>
            <w:r w:rsidR="00A13EEB">
              <w:rPr>
                <w:sz w:val="20"/>
              </w:rPr>
              <w:t>o</w:t>
            </w:r>
            <w:r w:rsidRPr="0022554A">
              <w:rPr>
                <w:sz w:val="20"/>
              </w:rPr>
              <w:t xml:space="preserve"> participants with missing data </w:t>
            </w:r>
            <w:r w:rsidR="00841030">
              <w:rPr>
                <w:sz w:val="20"/>
              </w:rPr>
              <w:t xml:space="preserve">in our study. </w:t>
            </w:r>
          </w:p>
        </w:tc>
        <w:tc>
          <w:tcPr>
            <w:tcW w:w="408" w:type="pct"/>
            <w:vAlign w:val="center"/>
          </w:tcPr>
          <w:p w14:paraId="45C61AF0" w14:textId="77777777" w:rsidR="00450F91" w:rsidRDefault="00450F91" w:rsidP="00450F91">
            <w:pPr>
              <w:tabs>
                <w:tab w:val="left" w:pos="5400"/>
              </w:tabs>
              <w:jc w:val="center"/>
              <w:rPr>
                <w:sz w:val="20"/>
              </w:rPr>
            </w:pPr>
          </w:p>
        </w:tc>
      </w:tr>
      <w:tr w:rsidR="00450F91" w:rsidRPr="0022554A" w14:paraId="0AE69BE0" w14:textId="77777777" w:rsidTr="00FA7C7D">
        <w:trPr>
          <w:trHeight w:val="295"/>
          <w:jc w:val="center"/>
        </w:trPr>
        <w:tc>
          <w:tcPr>
            <w:tcW w:w="786" w:type="pct"/>
            <w:vMerge/>
            <w:vAlign w:val="center"/>
          </w:tcPr>
          <w:p w14:paraId="2C49C12C" w14:textId="77777777" w:rsidR="00450F91" w:rsidRPr="0022554A" w:rsidRDefault="00450F91" w:rsidP="00450F91">
            <w:pPr>
              <w:tabs>
                <w:tab w:val="left" w:pos="5400"/>
              </w:tabs>
              <w:rPr>
                <w:bCs/>
                <w:sz w:val="20"/>
              </w:rPr>
            </w:pPr>
            <w:bookmarkStart w:id="56" w:name="bold38" w:colFirst="0" w:colLast="0"/>
            <w:bookmarkStart w:id="57" w:name="italic38" w:colFirst="0" w:colLast="0"/>
            <w:bookmarkEnd w:id="54"/>
            <w:bookmarkEnd w:id="55"/>
          </w:p>
        </w:tc>
        <w:tc>
          <w:tcPr>
            <w:tcW w:w="219" w:type="pct"/>
            <w:vMerge/>
            <w:vAlign w:val="center"/>
          </w:tcPr>
          <w:p w14:paraId="2484756D" w14:textId="77777777" w:rsidR="00450F91" w:rsidRPr="0022554A" w:rsidRDefault="00450F91" w:rsidP="00450F91">
            <w:pPr>
              <w:tabs>
                <w:tab w:val="left" w:pos="5400"/>
              </w:tabs>
              <w:jc w:val="center"/>
              <w:rPr>
                <w:sz w:val="20"/>
              </w:rPr>
            </w:pPr>
          </w:p>
        </w:tc>
        <w:tc>
          <w:tcPr>
            <w:tcW w:w="3587" w:type="pct"/>
          </w:tcPr>
          <w:p w14:paraId="0899922B" w14:textId="77777777" w:rsidR="00450F91" w:rsidRDefault="00450F91" w:rsidP="004A0404">
            <w:pPr>
              <w:tabs>
                <w:tab w:val="left" w:pos="5400"/>
              </w:tabs>
              <w:jc w:val="both"/>
              <w:rPr>
                <w:sz w:val="20"/>
              </w:rPr>
            </w:pPr>
            <w:r>
              <w:rPr>
                <w:i/>
                <w:sz w:val="20"/>
              </w:rPr>
              <w:t>Cross-sectional</w:t>
            </w:r>
            <w:r w:rsidRPr="0022554A">
              <w:rPr>
                <w:i/>
                <w:sz w:val="20"/>
              </w:rPr>
              <w:t xml:space="preserve"> study—</w:t>
            </w:r>
            <w:r w:rsidRPr="0022554A">
              <w:rPr>
                <w:sz w:val="20"/>
              </w:rPr>
              <w:t>Report numbers of outcome events or summary measures</w:t>
            </w:r>
          </w:p>
          <w:p w14:paraId="06893E9C" w14:textId="77777777" w:rsidR="00F075F0" w:rsidRPr="00F075F0" w:rsidRDefault="00F075F0" w:rsidP="004A0404">
            <w:pPr>
              <w:tabs>
                <w:tab w:val="left" w:pos="5400"/>
              </w:tabs>
              <w:jc w:val="both"/>
              <w:rPr>
                <w:i/>
                <w:color w:val="00B050"/>
                <w:szCs w:val="24"/>
              </w:rPr>
            </w:pPr>
            <w:r w:rsidRPr="009E1B49">
              <w:rPr>
                <w:b/>
                <w:sz w:val="20"/>
              </w:rPr>
              <w:t>Response:</w:t>
            </w:r>
            <w:r w:rsidRPr="00F075F0">
              <w:rPr>
                <w:color w:val="00B050"/>
                <w:szCs w:val="24"/>
              </w:rPr>
              <w:t xml:space="preserve"> </w:t>
            </w:r>
            <w:r w:rsidR="006F663B" w:rsidRPr="00841030">
              <w:rPr>
                <w:sz w:val="20"/>
              </w:rPr>
              <w:t>The mean age of the study participants was 14.6 (±1.9) years, the mean family size was 6.56 (±1.83) persons, while 69.3% of the households had ≥ 5 family members and 30.7% had &lt; 5 family members. Most of the study participants (93.3%) were in grades 1-8 and only 0.2% had college and University education.</w:t>
            </w:r>
          </w:p>
        </w:tc>
        <w:tc>
          <w:tcPr>
            <w:tcW w:w="408" w:type="pct"/>
            <w:vAlign w:val="center"/>
          </w:tcPr>
          <w:p w14:paraId="5A33A8FB" w14:textId="77777777" w:rsidR="00450F91" w:rsidRPr="004E4D9F" w:rsidRDefault="00450F91" w:rsidP="00450F91">
            <w:pPr>
              <w:tabs>
                <w:tab w:val="left" w:pos="5400"/>
              </w:tabs>
              <w:jc w:val="center"/>
              <w:rPr>
                <w:sz w:val="20"/>
              </w:rPr>
            </w:pPr>
          </w:p>
        </w:tc>
      </w:tr>
      <w:tr w:rsidR="00450F91" w:rsidRPr="0022554A" w14:paraId="77E69489" w14:textId="77777777" w:rsidTr="00FA7C7D">
        <w:trPr>
          <w:trHeight w:val="594"/>
          <w:jc w:val="center"/>
        </w:trPr>
        <w:tc>
          <w:tcPr>
            <w:tcW w:w="786" w:type="pct"/>
            <w:vAlign w:val="center"/>
          </w:tcPr>
          <w:p w14:paraId="4BF68910" w14:textId="77777777" w:rsidR="00450F91" w:rsidRPr="0022554A" w:rsidRDefault="00450F91" w:rsidP="00450F91">
            <w:pPr>
              <w:tabs>
                <w:tab w:val="left" w:pos="5400"/>
              </w:tabs>
              <w:rPr>
                <w:bCs/>
                <w:sz w:val="20"/>
              </w:rPr>
            </w:pPr>
            <w:bookmarkStart w:id="58" w:name="italic40" w:colFirst="0" w:colLast="0"/>
            <w:bookmarkStart w:id="59" w:name="bold41" w:colFirst="0" w:colLast="0"/>
            <w:bookmarkEnd w:id="56"/>
            <w:bookmarkEnd w:id="57"/>
            <w:r w:rsidRPr="0022554A">
              <w:rPr>
                <w:bCs/>
                <w:sz w:val="20"/>
              </w:rPr>
              <w:t xml:space="preserve">Main </w:t>
            </w:r>
            <w:r>
              <w:rPr>
                <w:bCs/>
                <w:sz w:val="20"/>
              </w:rPr>
              <w:t>r</w:t>
            </w:r>
            <w:r w:rsidRPr="0022554A">
              <w:rPr>
                <w:bCs/>
                <w:sz w:val="20"/>
              </w:rPr>
              <w:t>esults</w:t>
            </w:r>
          </w:p>
        </w:tc>
        <w:tc>
          <w:tcPr>
            <w:tcW w:w="219" w:type="pct"/>
            <w:vAlign w:val="center"/>
          </w:tcPr>
          <w:p w14:paraId="4BF4F67D" w14:textId="77777777" w:rsidR="00450F91" w:rsidRPr="0022554A" w:rsidRDefault="00450F91" w:rsidP="00450F91">
            <w:pPr>
              <w:tabs>
                <w:tab w:val="left" w:pos="5400"/>
              </w:tabs>
              <w:jc w:val="center"/>
              <w:rPr>
                <w:sz w:val="20"/>
              </w:rPr>
            </w:pPr>
            <w:r w:rsidRPr="0022554A">
              <w:rPr>
                <w:sz w:val="20"/>
              </w:rPr>
              <w:t>16</w:t>
            </w:r>
          </w:p>
        </w:tc>
        <w:tc>
          <w:tcPr>
            <w:tcW w:w="3587" w:type="pct"/>
          </w:tcPr>
          <w:p w14:paraId="0FA104C9" w14:textId="77777777" w:rsidR="00450F91" w:rsidRPr="00884C95" w:rsidRDefault="007422E6" w:rsidP="007422E6">
            <w:pPr>
              <w:tabs>
                <w:tab w:val="left" w:pos="5400"/>
              </w:tabs>
              <w:jc w:val="both"/>
              <w:rPr>
                <w:sz w:val="20"/>
              </w:rPr>
            </w:pPr>
            <w:r w:rsidRPr="00884C95">
              <w:rPr>
                <w:i/>
                <w:sz w:val="20"/>
              </w:rPr>
              <w:t>Thinness (27.5%) and stunting (8.8%) are found to be public health problems in the study area. Age [AOR(adjusted odds ratio)  (95% CI) = 2.91 (2.03-4.173)], large family size [AOR (95% CI) = 1.63(1.105-2.396)], low  monthly income [AOR (95% CI) = 2.54(1.66-3.87)], not taking deworming tablets [AOR (95% CI) = 1.56(1.11-21)], low educational status of the father [AOR (95% CI) = 2.45(1.02-5.86)], the source of food for the family only from market  [AOR (95% CI) = 5.14(2.1-12.8)], not visited by health extension workers [AOR (95% CI) = 1.72(1.7-2.4)], and not washing hand with soap before eating and after using the toilet [AOR (95% CI) = 2.25(1.079-4.675)] were positively associated with poor nutritional status of adolescent girls</w:t>
            </w:r>
          </w:p>
        </w:tc>
        <w:tc>
          <w:tcPr>
            <w:tcW w:w="408" w:type="pct"/>
            <w:vAlign w:val="center"/>
          </w:tcPr>
          <w:p w14:paraId="2F4151A9" w14:textId="77777777" w:rsidR="00450F91" w:rsidRPr="0022554A" w:rsidRDefault="00CA5DAD" w:rsidP="00450F91">
            <w:pPr>
              <w:tabs>
                <w:tab w:val="left" w:pos="5400"/>
              </w:tabs>
              <w:jc w:val="center"/>
              <w:rPr>
                <w:sz w:val="20"/>
              </w:rPr>
            </w:pPr>
            <w:r>
              <w:rPr>
                <w:sz w:val="20"/>
              </w:rPr>
              <w:t xml:space="preserve">15-18 </w:t>
            </w:r>
          </w:p>
        </w:tc>
      </w:tr>
      <w:tr w:rsidR="00450F91" w:rsidRPr="0022554A" w14:paraId="50219211" w14:textId="77777777" w:rsidTr="00FA7C7D">
        <w:trPr>
          <w:trHeight w:val="289"/>
          <w:jc w:val="center"/>
        </w:trPr>
        <w:tc>
          <w:tcPr>
            <w:tcW w:w="786" w:type="pct"/>
            <w:vAlign w:val="center"/>
          </w:tcPr>
          <w:p w14:paraId="63DD4B4C" w14:textId="77777777" w:rsidR="00450F91" w:rsidRPr="0022554A" w:rsidRDefault="00450F91" w:rsidP="00450F91">
            <w:pPr>
              <w:tabs>
                <w:tab w:val="left" w:pos="5400"/>
              </w:tabs>
              <w:rPr>
                <w:bCs/>
                <w:sz w:val="20"/>
              </w:rPr>
            </w:pPr>
            <w:bookmarkStart w:id="60" w:name="italic43"/>
            <w:bookmarkStart w:id="61" w:name="bold44"/>
            <w:bookmarkEnd w:id="58"/>
            <w:bookmarkEnd w:id="59"/>
            <w:r w:rsidRPr="0022554A">
              <w:rPr>
                <w:bCs/>
                <w:sz w:val="20"/>
              </w:rPr>
              <w:t xml:space="preserve">Other </w:t>
            </w:r>
            <w:r>
              <w:rPr>
                <w:bCs/>
                <w:sz w:val="20"/>
              </w:rPr>
              <w:t>a</w:t>
            </w:r>
            <w:r w:rsidRPr="0022554A">
              <w:rPr>
                <w:bCs/>
                <w:sz w:val="20"/>
              </w:rPr>
              <w:t>nalyses</w:t>
            </w:r>
            <w:bookmarkEnd w:id="60"/>
            <w:bookmarkEnd w:id="61"/>
          </w:p>
        </w:tc>
        <w:tc>
          <w:tcPr>
            <w:tcW w:w="219" w:type="pct"/>
            <w:vAlign w:val="center"/>
          </w:tcPr>
          <w:p w14:paraId="3B9E8271" w14:textId="77777777" w:rsidR="00450F91" w:rsidRPr="0022554A" w:rsidRDefault="00450F91" w:rsidP="00450F91">
            <w:pPr>
              <w:tabs>
                <w:tab w:val="left" w:pos="5400"/>
              </w:tabs>
              <w:jc w:val="center"/>
              <w:rPr>
                <w:sz w:val="20"/>
              </w:rPr>
            </w:pPr>
            <w:r w:rsidRPr="0022554A">
              <w:rPr>
                <w:sz w:val="20"/>
              </w:rPr>
              <w:t>17</w:t>
            </w:r>
          </w:p>
        </w:tc>
        <w:tc>
          <w:tcPr>
            <w:tcW w:w="3587" w:type="pct"/>
          </w:tcPr>
          <w:p w14:paraId="4AFF0F1A" w14:textId="77777777" w:rsidR="00450F91" w:rsidRPr="0022554A" w:rsidRDefault="006F663B" w:rsidP="006F663B">
            <w:pPr>
              <w:tabs>
                <w:tab w:val="left" w:pos="5400"/>
              </w:tabs>
              <w:rPr>
                <w:sz w:val="20"/>
              </w:rPr>
            </w:pPr>
            <w:r>
              <w:rPr>
                <w:sz w:val="20"/>
              </w:rPr>
              <w:t xml:space="preserve">No </w:t>
            </w:r>
            <w:r w:rsidR="00450F91" w:rsidRPr="0022554A">
              <w:rPr>
                <w:sz w:val="20"/>
              </w:rPr>
              <w:t xml:space="preserve">other analyses </w:t>
            </w:r>
            <w:r>
              <w:rPr>
                <w:sz w:val="20"/>
              </w:rPr>
              <w:t xml:space="preserve">were </w:t>
            </w:r>
            <w:r w:rsidR="00450F91" w:rsidRPr="0022554A">
              <w:rPr>
                <w:sz w:val="20"/>
              </w:rPr>
              <w:t>done</w:t>
            </w:r>
            <w:r w:rsidR="00DE5282">
              <w:rPr>
                <w:sz w:val="20"/>
              </w:rPr>
              <w:t xml:space="preserve">. </w:t>
            </w:r>
          </w:p>
        </w:tc>
        <w:tc>
          <w:tcPr>
            <w:tcW w:w="408" w:type="pct"/>
            <w:vAlign w:val="center"/>
          </w:tcPr>
          <w:p w14:paraId="35F3416C" w14:textId="77777777" w:rsidR="00450F91" w:rsidRPr="0022554A" w:rsidRDefault="006F663B" w:rsidP="00450F91">
            <w:pPr>
              <w:tabs>
                <w:tab w:val="left" w:pos="5400"/>
              </w:tabs>
              <w:jc w:val="center"/>
              <w:rPr>
                <w:sz w:val="20"/>
              </w:rPr>
            </w:pPr>
            <w:r>
              <w:rPr>
                <w:sz w:val="20"/>
              </w:rPr>
              <w:t>NA</w:t>
            </w:r>
          </w:p>
        </w:tc>
      </w:tr>
      <w:tr w:rsidR="00450F91" w:rsidRPr="0022554A" w14:paraId="5B9887FC" w14:textId="77777777" w:rsidTr="00FA7C7D">
        <w:trPr>
          <w:trHeight w:val="353"/>
          <w:jc w:val="center"/>
        </w:trPr>
        <w:tc>
          <w:tcPr>
            <w:tcW w:w="5000" w:type="pct"/>
            <w:gridSpan w:val="4"/>
            <w:shd w:val="clear" w:color="auto" w:fill="F2F2F2"/>
            <w:vAlign w:val="center"/>
          </w:tcPr>
          <w:p w14:paraId="32ED7B1B" w14:textId="77777777" w:rsidR="00450F91" w:rsidRPr="0022554A" w:rsidRDefault="00450F91" w:rsidP="00450F91">
            <w:pPr>
              <w:pStyle w:val="TableSubHead"/>
              <w:tabs>
                <w:tab w:val="left" w:pos="5400"/>
              </w:tabs>
              <w:rPr>
                <w:sz w:val="20"/>
              </w:rPr>
            </w:pPr>
            <w:bookmarkStart w:id="62" w:name="italic44"/>
            <w:bookmarkStart w:id="63" w:name="bold45"/>
            <w:r w:rsidRPr="0022554A">
              <w:rPr>
                <w:sz w:val="20"/>
              </w:rPr>
              <w:t>Discussion</w:t>
            </w:r>
            <w:bookmarkEnd w:id="62"/>
            <w:bookmarkEnd w:id="63"/>
          </w:p>
        </w:tc>
      </w:tr>
      <w:tr w:rsidR="00450F91" w:rsidRPr="0022554A" w14:paraId="58115218" w14:textId="77777777" w:rsidTr="00FA7C7D">
        <w:trPr>
          <w:trHeight w:val="289"/>
          <w:jc w:val="center"/>
        </w:trPr>
        <w:tc>
          <w:tcPr>
            <w:tcW w:w="786" w:type="pct"/>
            <w:vAlign w:val="center"/>
          </w:tcPr>
          <w:p w14:paraId="05A5ABD6" w14:textId="77777777" w:rsidR="00450F91" w:rsidRPr="0022554A" w:rsidRDefault="00450F91" w:rsidP="00450F91">
            <w:pPr>
              <w:tabs>
                <w:tab w:val="left" w:pos="5400"/>
              </w:tabs>
              <w:rPr>
                <w:bCs/>
                <w:sz w:val="20"/>
              </w:rPr>
            </w:pPr>
            <w:bookmarkStart w:id="64" w:name="italic45" w:colFirst="0" w:colLast="0"/>
            <w:bookmarkStart w:id="65" w:name="bold46" w:colFirst="0" w:colLast="0"/>
            <w:r>
              <w:rPr>
                <w:bCs/>
                <w:sz w:val="20"/>
              </w:rPr>
              <w:t>Key r</w:t>
            </w:r>
            <w:r w:rsidRPr="0022554A">
              <w:rPr>
                <w:bCs/>
                <w:sz w:val="20"/>
              </w:rPr>
              <w:t>esults</w:t>
            </w:r>
          </w:p>
        </w:tc>
        <w:tc>
          <w:tcPr>
            <w:tcW w:w="219" w:type="pct"/>
            <w:vAlign w:val="center"/>
          </w:tcPr>
          <w:p w14:paraId="3FBDE9B0" w14:textId="77777777" w:rsidR="00450F91" w:rsidRPr="0022554A" w:rsidRDefault="00450F91" w:rsidP="00450F91">
            <w:pPr>
              <w:tabs>
                <w:tab w:val="left" w:pos="5400"/>
              </w:tabs>
              <w:jc w:val="center"/>
              <w:rPr>
                <w:sz w:val="20"/>
              </w:rPr>
            </w:pPr>
            <w:r w:rsidRPr="0022554A">
              <w:rPr>
                <w:sz w:val="20"/>
              </w:rPr>
              <w:t>18</w:t>
            </w:r>
          </w:p>
        </w:tc>
        <w:tc>
          <w:tcPr>
            <w:tcW w:w="3587" w:type="pct"/>
          </w:tcPr>
          <w:p w14:paraId="73BAE092" w14:textId="77777777" w:rsidR="00450F91" w:rsidRDefault="004D5C36" w:rsidP="00450F91">
            <w:pPr>
              <w:tabs>
                <w:tab w:val="left" w:pos="5400"/>
              </w:tabs>
              <w:rPr>
                <w:bCs/>
                <w:iCs/>
                <w:szCs w:val="24"/>
              </w:rPr>
            </w:pPr>
            <w:r>
              <w:rPr>
                <w:bCs/>
                <w:iCs/>
                <w:szCs w:val="24"/>
              </w:rPr>
              <w:t xml:space="preserve"> </w:t>
            </w:r>
            <w:r w:rsidR="00BA4E43">
              <w:rPr>
                <w:bCs/>
                <w:iCs/>
                <w:szCs w:val="24"/>
              </w:rPr>
              <w:t xml:space="preserve"> </w:t>
            </w:r>
            <w:r w:rsidR="002560C7">
              <w:rPr>
                <w:bCs/>
                <w:iCs/>
                <w:szCs w:val="24"/>
              </w:rPr>
              <w:t>-</w:t>
            </w:r>
            <w:r w:rsidR="002560C7" w:rsidRPr="00A354CB">
              <w:rPr>
                <w:bCs/>
                <w:iCs/>
                <w:szCs w:val="24"/>
              </w:rPr>
              <w:t xml:space="preserve">19.5% of the </w:t>
            </w:r>
            <w:r w:rsidR="002560C7">
              <w:rPr>
                <w:bCs/>
                <w:iCs/>
                <w:szCs w:val="24"/>
              </w:rPr>
              <w:t>adolescent girls</w:t>
            </w:r>
            <w:r w:rsidR="002560C7" w:rsidRPr="00A354CB">
              <w:rPr>
                <w:bCs/>
                <w:iCs/>
                <w:szCs w:val="24"/>
              </w:rPr>
              <w:t xml:space="preserve"> were moderately thin and 8% were severely thin</w:t>
            </w:r>
            <w:r w:rsidR="00571A21">
              <w:rPr>
                <w:bCs/>
                <w:iCs/>
                <w:szCs w:val="24"/>
              </w:rPr>
              <w:t xml:space="preserve">. </w:t>
            </w:r>
            <w:r w:rsidR="002560C7">
              <w:rPr>
                <w:bCs/>
                <w:iCs/>
                <w:szCs w:val="24"/>
              </w:rPr>
              <w:t xml:space="preserve"> </w:t>
            </w:r>
          </w:p>
          <w:p w14:paraId="634646DC" w14:textId="77777777" w:rsidR="002560C7" w:rsidRPr="0022554A" w:rsidRDefault="004D5C36" w:rsidP="003344EC">
            <w:pPr>
              <w:tabs>
                <w:tab w:val="left" w:pos="5400"/>
              </w:tabs>
              <w:rPr>
                <w:sz w:val="20"/>
              </w:rPr>
            </w:pPr>
            <w:r>
              <w:rPr>
                <w:sz w:val="20"/>
              </w:rPr>
              <w:t xml:space="preserve">  </w:t>
            </w:r>
            <w:r w:rsidR="002560C7">
              <w:rPr>
                <w:sz w:val="20"/>
              </w:rPr>
              <w:t xml:space="preserve">- </w:t>
            </w:r>
            <w:r w:rsidR="003344EC">
              <w:rPr>
                <w:color w:val="000000"/>
                <w:szCs w:val="24"/>
              </w:rPr>
              <w:t xml:space="preserve">7.8% </w:t>
            </w:r>
            <w:r w:rsidR="003344EC" w:rsidRPr="00A354CB">
              <w:rPr>
                <w:bCs/>
                <w:iCs/>
                <w:szCs w:val="24"/>
              </w:rPr>
              <w:t xml:space="preserve">of the </w:t>
            </w:r>
            <w:r w:rsidR="003344EC">
              <w:rPr>
                <w:bCs/>
                <w:iCs/>
                <w:szCs w:val="24"/>
              </w:rPr>
              <w:t>adolescent girls</w:t>
            </w:r>
            <w:r w:rsidR="003344EC" w:rsidRPr="00A354CB">
              <w:rPr>
                <w:bCs/>
                <w:iCs/>
                <w:szCs w:val="24"/>
              </w:rPr>
              <w:t xml:space="preserve"> </w:t>
            </w:r>
            <w:r w:rsidR="003344EC">
              <w:rPr>
                <w:bCs/>
                <w:iCs/>
                <w:szCs w:val="24"/>
              </w:rPr>
              <w:t>we</w:t>
            </w:r>
            <w:r w:rsidR="003344EC">
              <w:rPr>
                <w:color w:val="000000"/>
                <w:szCs w:val="24"/>
              </w:rPr>
              <w:t>re moderately stunted and 1% are severely stunted.</w:t>
            </w:r>
          </w:p>
        </w:tc>
        <w:tc>
          <w:tcPr>
            <w:tcW w:w="408" w:type="pct"/>
            <w:vAlign w:val="center"/>
          </w:tcPr>
          <w:p w14:paraId="1A194FA6" w14:textId="77777777" w:rsidR="00450F91" w:rsidRPr="0022554A" w:rsidRDefault="00245761" w:rsidP="00450F91">
            <w:pPr>
              <w:tabs>
                <w:tab w:val="left" w:pos="5400"/>
              </w:tabs>
              <w:jc w:val="center"/>
              <w:rPr>
                <w:sz w:val="20"/>
              </w:rPr>
            </w:pPr>
            <w:r>
              <w:rPr>
                <w:sz w:val="20"/>
              </w:rPr>
              <w:t>1</w:t>
            </w:r>
            <w:r w:rsidR="00571A21">
              <w:rPr>
                <w:sz w:val="20"/>
              </w:rPr>
              <w:t>8</w:t>
            </w:r>
          </w:p>
        </w:tc>
      </w:tr>
      <w:tr w:rsidR="00450F91" w:rsidRPr="0022554A" w14:paraId="2D99B2E8" w14:textId="77777777" w:rsidTr="00FA7C7D">
        <w:trPr>
          <w:trHeight w:val="501"/>
          <w:jc w:val="center"/>
        </w:trPr>
        <w:tc>
          <w:tcPr>
            <w:tcW w:w="786" w:type="pct"/>
            <w:vAlign w:val="center"/>
          </w:tcPr>
          <w:p w14:paraId="2B8744CD" w14:textId="77777777" w:rsidR="00450F91" w:rsidRPr="0022554A" w:rsidRDefault="00450F91" w:rsidP="00450F91">
            <w:pPr>
              <w:tabs>
                <w:tab w:val="left" w:pos="5400"/>
              </w:tabs>
              <w:rPr>
                <w:bCs/>
                <w:sz w:val="20"/>
              </w:rPr>
            </w:pPr>
            <w:bookmarkStart w:id="66" w:name="italic46" w:colFirst="0" w:colLast="0"/>
            <w:bookmarkStart w:id="67" w:name="bold47" w:colFirst="0" w:colLast="0"/>
            <w:bookmarkEnd w:id="64"/>
            <w:bookmarkEnd w:id="65"/>
            <w:r w:rsidRPr="0022554A">
              <w:rPr>
                <w:bCs/>
                <w:sz w:val="20"/>
              </w:rPr>
              <w:t>Limitations</w:t>
            </w:r>
          </w:p>
        </w:tc>
        <w:tc>
          <w:tcPr>
            <w:tcW w:w="219" w:type="pct"/>
            <w:vAlign w:val="center"/>
          </w:tcPr>
          <w:p w14:paraId="7F673D64" w14:textId="77777777" w:rsidR="00450F91" w:rsidRPr="0022554A" w:rsidRDefault="00450F91" w:rsidP="00450F91">
            <w:pPr>
              <w:tabs>
                <w:tab w:val="left" w:pos="5400"/>
              </w:tabs>
              <w:jc w:val="center"/>
              <w:rPr>
                <w:sz w:val="20"/>
              </w:rPr>
            </w:pPr>
            <w:r w:rsidRPr="0022554A">
              <w:rPr>
                <w:sz w:val="20"/>
              </w:rPr>
              <w:t>19</w:t>
            </w:r>
          </w:p>
        </w:tc>
        <w:tc>
          <w:tcPr>
            <w:tcW w:w="3587" w:type="pct"/>
          </w:tcPr>
          <w:p w14:paraId="36AB2C20" w14:textId="77777777" w:rsidR="00450F91" w:rsidRPr="00884C95" w:rsidRDefault="00BA4E43" w:rsidP="00450F91">
            <w:pPr>
              <w:tabs>
                <w:tab w:val="left" w:pos="5400"/>
              </w:tabs>
              <w:rPr>
                <w:sz w:val="20"/>
              </w:rPr>
            </w:pPr>
            <w:r w:rsidRPr="00884C95">
              <w:rPr>
                <w:color w:val="000000"/>
                <w:sz w:val="20"/>
              </w:rPr>
              <w:t>Using cross-sectional study design might have chicken egg dilemma for some variables in the study</w:t>
            </w:r>
          </w:p>
        </w:tc>
        <w:tc>
          <w:tcPr>
            <w:tcW w:w="408" w:type="pct"/>
            <w:vAlign w:val="center"/>
          </w:tcPr>
          <w:p w14:paraId="5FC898C5" w14:textId="77777777" w:rsidR="00450F91" w:rsidRPr="0022554A" w:rsidRDefault="00BA4E43" w:rsidP="00450F91">
            <w:pPr>
              <w:tabs>
                <w:tab w:val="left" w:pos="5400"/>
              </w:tabs>
              <w:jc w:val="center"/>
              <w:rPr>
                <w:sz w:val="20"/>
              </w:rPr>
            </w:pPr>
            <w:r>
              <w:rPr>
                <w:sz w:val="20"/>
              </w:rPr>
              <w:t>23</w:t>
            </w:r>
          </w:p>
        </w:tc>
      </w:tr>
      <w:tr w:rsidR="00450F91" w:rsidRPr="0022554A" w14:paraId="7B076AF2" w14:textId="77777777" w:rsidTr="00FA7C7D">
        <w:trPr>
          <w:trHeight w:val="594"/>
          <w:jc w:val="center"/>
        </w:trPr>
        <w:tc>
          <w:tcPr>
            <w:tcW w:w="786" w:type="pct"/>
            <w:vAlign w:val="center"/>
          </w:tcPr>
          <w:p w14:paraId="7C7132FD" w14:textId="77777777" w:rsidR="00450F91" w:rsidRPr="0022554A" w:rsidRDefault="00450F91" w:rsidP="00450F91">
            <w:pPr>
              <w:tabs>
                <w:tab w:val="left" w:pos="5400"/>
              </w:tabs>
              <w:rPr>
                <w:bCs/>
                <w:sz w:val="20"/>
              </w:rPr>
            </w:pPr>
            <w:bookmarkStart w:id="68" w:name="italic47" w:colFirst="0" w:colLast="0"/>
            <w:bookmarkStart w:id="69" w:name="bold48" w:colFirst="0" w:colLast="0"/>
            <w:bookmarkEnd w:id="66"/>
            <w:bookmarkEnd w:id="67"/>
            <w:r w:rsidRPr="0022554A">
              <w:rPr>
                <w:bCs/>
                <w:sz w:val="20"/>
              </w:rPr>
              <w:t>Interpretation</w:t>
            </w:r>
          </w:p>
        </w:tc>
        <w:tc>
          <w:tcPr>
            <w:tcW w:w="219" w:type="pct"/>
            <w:vAlign w:val="center"/>
          </w:tcPr>
          <w:p w14:paraId="1DBE0368" w14:textId="77777777" w:rsidR="00450F91" w:rsidRPr="0022554A" w:rsidRDefault="00450F91" w:rsidP="00450F91">
            <w:pPr>
              <w:tabs>
                <w:tab w:val="left" w:pos="5400"/>
              </w:tabs>
              <w:jc w:val="center"/>
              <w:rPr>
                <w:sz w:val="20"/>
              </w:rPr>
            </w:pPr>
            <w:r w:rsidRPr="0022554A">
              <w:rPr>
                <w:sz w:val="20"/>
              </w:rPr>
              <w:t>20</w:t>
            </w:r>
          </w:p>
        </w:tc>
        <w:tc>
          <w:tcPr>
            <w:tcW w:w="3587" w:type="pct"/>
          </w:tcPr>
          <w:p w14:paraId="1D956B0D" w14:textId="77777777" w:rsidR="00450F91" w:rsidRPr="00884C95" w:rsidRDefault="00897A28" w:rsidP="00450F91">
            <w:pPr>
              <w:tabs>
                <w:tab w:val="left" w:pos="5400"/>
              </w:tabs>
              <w:rPr>
                <w:sz w:val="20"/>
              </w:rPr>
            </w:pPr>
            <w:r w:rsidRPr="00884C95">
              <w:rPr>
                <w:sz w:val="20"/>
              </w:rPr>
              <w:t>Thinness and stunting were found to be high in the study area. Age, family size, monthly household income, fathers’ educational status, visits by health extension workers, and nutrition services decision-making power are the main predictors of thinness. Hand washing practice, visits by health extension workers, and nutrition services decision-making power are the main predictors of stunting among adolescent girls in Southern Ethiopia.</w:t>
            </w:r>
          </w:p>
        </w:tc>
        <w:tc>
          <w:tcPr>
            <w:tcW w:w="408" w:type="pct"/>
            <w:vAlign w:val="center"/>
          </w:tcPr>
          <w:p w14:paraId="08388307" w14:textId="77777777" w:rsidR="00450F91" w:rsidRPr="0022554A" w:rsidRDefault="00E90D85" w:rsidP="00450F91">
            <w:pPr>
              <w:tabs>
                <w:tab w:val="left" w:pos="5400"/>
              </w:tabs>
              <w:jc w:val="center"/>
              <w:rPr>
                <w:sz w:val="20"/>
              </w:rPr>
            </w:pPr>
            <w:r>
              <w:rPr>
                <w:sz w:val="20"/>
              </w:rPr>
              <w:t>22</w:t>
            </w:r>
          </w:p>
        </w:tc>
      </w:tr>
      <w:tr w:rsidR="00450F91" w:rsidRPr="0022554A" w14:paraId="4BBC757D" w14:textId="77777777" w:rsidTr="00FA7C7D">
        <w:trPr>
          <w:trHeight w:val="305"/>
          <w:jc w:val="center"/>
        </w:trPr>
        <w:tc>
          <w:tcPr>
            <w:tcW w:w="786" w:type="pct"/>
            <w:vAlign w:val="center"/>
          </w:tcPr>
          <w:p w14:paraId="669ECA16" w14:textId="77777777" w:rsidR="00450F91" w:rsidRPr="0022554A" w:rsidRDefault="00450F91" w:rsidP="00450F91">
            <w:pPr>
              <w:tabs>
                <w:tab w:val="left" w:pos="5400"/>
              </w:tabs>
              <w:rPr>
                <w:bCs/>
                <w:sz w:val="20"/>
              </w:rPr>
            </w:pPr>
            <w:bookmarkStart w:id="70" w:name="italic48" w:colFirst="0" w:colLast="0"/>
            <w:bookmarkStart w:id="71" w:name="bold49" w:colFirst="0" w:colLast="0"/>
            <w:bookmarkEnd w:id="68"/>
            <w:bookmarkEnd w:id="69"/>
            <w:r w:rsidRPr="0022554A">
              <w:rPr>
                <w:bCs/>
                <w:sz w:val="20"/>
              </w:rPr>
              <w:t>Generalisability</w:t>
            </w:r>
          </w:p>
        </w:tc>
        <w:tc>
          <w:tcPr>
            <w:tcW w:w="219" w:type="pct"/>
            <w:vAlign w:val="center"/>
          </w:tcPr>
          <w:p w14:paraId="74BB97B7" w14:textId="77777777" w:rsidR="00450F91" w:rsidRPr="0022554A" w:rsidRDefault="00450F91" w:rsidP="00450F91">
            <w:pPr>
              <w:tabs>
                <w:tab w:val="left" w:pos="5400"/>
              </w:tabs>
              <w:jc w:val="center"/>
              <w:rPr>
                <w:sz w:val="20"/>
              </w:rPr>
            </w:pPr>
            <w:r w:rsidRPr="0022554A">
              <w:rPr>
                <w:sz w:val="20"/>
              </w:rPr>
              <w:t>21</w:t>
            </w:r>
          </w:p>
        </w:tc>
        <w:tc>
          <w:tcPr>
            <w:tcW w:w="3587" w:type="pct"/>
          </w:tcPr>
          <w:p w14:paraId="5BB82CA2" w14:textId="77777777" w:rsidR="00F64305" w:rsidRPr="0022554A" w:rsidRDefault="00E90D85" w:rsidP="00F64305">
            <w:pPr>
              <w:tabs>
                <w:tab w:val="left" w:pos="5400"/>
              </w:tabs>
              <w:jc w:val="both"/>
              <w:rPr>
                <w:sz w:val="20"/>
              </w:rPr>
            </w:pPr>
            <w:r w:rsidRPr="00F64305">
              <w:rPr>
                <w:sz w:val="20"/>
              </w:rPr>
              <w:t xml:space="preserve">Thinness and stunting were found to be high in the study area. </w:t>
            </w:r>
            <w:r w:rsidR="00F64305" w:rsidRPr="00F64305">
              <w:rPr>
                <w:sz w:val="20"/>
              </w:rPr>
              <w:t>At all levels, the girls' nutrition education /counselling should be given due emphasis as they are tomorrow's mothers which is very important to break the intergenerational cycle of malnutrition.</w:t>
            </w:r>
          </w:p>
        </w:tc>
        <w:tc>
          <w:tcPr>
            <w:tcW w:w="408" w:type="pct"/>
            <w:vAlign w:val="center"/>
          </w:tcPr>
          <w:p w14:paraId="43952515" w14:textId="77777777" w:rsidR="00450F91" w:rsidRPr="0022554A" w:rsidRDefault="00E90D85" w:rsidP="00450F91">
            <w:pPr>
              <w:tabs>
                <w:tab w:val="left" w:pos="5400"/>
              </w:tabs>
              <w:jc w:val="center"/>
              <w:rPr>
                <w:sz w:val="20"/>
              </w:rPr>
            </w:pPr>
            <w:r>
              <w:rPr>
                <w:sz w:val="20"/>
              </w:rPr>
              <w:t xml:space="preserve">22 </w:t>
            </w:r>
          </w:p>
        </w:tc>
      </w:tr>
      <w:tr w:rsidR="00450F91" w:rsidRPr="0022554A" w14:paraId="09C729C5" w14:textId="77777777" w:rsidTr="00FA7C7D">
        <w:trPr>
          <w:trHeight w:val="353"/>
          <w:jc w:val="center"/>
        </w:trPr>
        <w:tc>
          <w:tcPr>
            <w:tcW w:w="5000" w:type="pct"/>
            <w:gridSpan w:val="4"/>
            <w:shd w:val="clear" w:color="auto" w:fill="F2F2F2"/>
            <w:vAlign w:val="center"/>
          </w:tcPr>
          <w:p w14:paraId="17F4149B" w14:textId="77777777" w:rsidR="00450F91" w:rsidRPr="0022554A" w:rsidRDefault="00450F91" w:rsidP="00450F91">
            <w:pPr>
              <w:pStyle w:val="TableSubHead"/>
              <w:tabs>
                <w:tab w:val="left" w:pos="5400"/>
              </w:tabs>
              <w:rPr>
                <w:sz w:val="20"/>
              </w:rPr>
            </w:pPr>
            <w:bookmarkStart w:id="72" w:name="italic49"/>
            <w:bookmarkStart w:id="73" w:name="bold50"/>
            <w:bookmarkEnd w:id="70"/>
            <w:bookmarkEnd w:id="71"/>
            <w:r>
              <w:rPr>
                <w:sz w:val="20"/>
              </w:rPr>
              <w:t>Other I</w:t>
            </w:r>
            <w:r w:rsidRPr="0022554A">
              <w:rPr>
                <w:sz w:val="20"/>
              </w:rPr>
              <w:t>nformation</w:t>
            </w:r>
            <w:bookmarkEnd w:id="72"/>
            <w:bookmarkEnd w:id="73"/>
          </w:p>
        </w:tc>
      </w:tr>
      <w:tr w:rsidR="00450F91" w:rsidRPr="0022554A" w14:paraId="107AE46D" w14:textId="77777777" w:rsidTr="00FA7C7D">
        <w:trPr>
          <w:trHeight w:val="594"/>
          <w:jc w:val="center"/>
        </w:trPr>
        <w:tc>
          <w:tcPr>
            <w:tcW w:w="786" w:type="pct"/>
            <w:tcBorders>
              <w:top w:val="single" w:sz="4" w:space="0" w:color="auto"/>
              <w:bottom w:val="single" w:sz="4" w:space="0" w:color="auto"/>
            </w:tcBorders>
            <w:vAlign w:val="center"/>
          </w:tcPr>
          <w:p w14:paraId="389A2B88" w14:textId="77777777" w:rsidR="00450F91" w:rsidRPr="0022554A" w:rsidRDefault="00450F91" w:rsidP="00450F91">
            <w:pPr>
              <w:tabs>
                <w:tab w:val="left" w:pos="5400"/>
              </w:tabs>
              <w:rPr>
                <w:bCs/>
                <w:sz w:val="20"/>
              </w:rPr>
            </w:pPr>
            <w:bookmarkStart w:id="74" w:name="italic50" w:colFirst="0" w:colLast="0"/>
            <w:bookmarkStart w:id="75" w:name="bold51" w:colFirst="0" w:colLast="0"/>
            <w:r w:rsidRPr="0022554A">
              <w:rPr>
                <w:bCs/>
                <w:sz w:val="20"/>
              </w:rPr>
              <w:t>Funding</w:t>
            </w:r>
          </w:p>
        </w:tc>
        <w:tc>
          <w:tcPr>
            <w:tcW w:w="219" w:type="pct"/>
            <w:tcBorders>
              <w:top w:val="single" w:sz="4" w:space="0" w:color="auto"/>
              <w:bottom w:val="single" w:sz="4" w:space="0" w:color="auto"/>
            </w:tcBorders>
            <w:vAlign w:val="center"/>
          </w:tcPr>
          <w:p w14:paraId="0D84C665" w14:textId="77777777" w:rsidR="00450F91" w:rsidRPr="0022554A" w:rsidRDefault="00450F91" w:rsidP="00450F91">
            <w:pPr>
              <w:tabs>
                <w:tab w:val="left" w:pos="5400"/>
              </w:tabs>
              <w:jc w:val="center"/>
              <w:rPr>
                <w:sz w:val="20"/>
              </w:rPr>
            </w:pPr>
            <w:r w:rsidRPr="0022554A">
              <w:rPr>
                <w:sz w:val="20"/>
              </w:rPr>
              <w:t>22</w:t>
            </w:r>
          </w:p>
        </w:tc>
        <w:tc>
          <w:tcPr>
            <w:tcW w:w="3587" w:type="pct"/>
            <w:tcBorders>
              <w:top w:val="single" w:sz="4" w:space="0" w:color="auto"/>
              <w:bottom w:val="single" w:sz="4" w:space="0" w:color="auto"/>
            </w:tcBorders>
          </w:tcPr>
          <w:p w14:paraId="39BBB6D5" w14:textId="77777777" w:rsidR="008754DD" w:rsidRPr="00FA7C7D" w:rsidRDefault="008754DD" w:rsidP="008754DD">
            <w:pPr>
              <w:pStyle w:val="ListParagraph"/>
              <w:autoSpaceDE w:val="0"/>
              <w:autoSpaceDN w:val="0"/>
              <w:adjustRightInd w:val="0"/>
              <w:spacing w:line="240" w:lineRule="auto"/>
              <w:ind w:left="0"/>
              <w:rPr>
                <w:rFonts w:ascii="Times New Roman" w:hAnsi="Times New Roman"/>
                <w:sz w:val="20"/>
                <w:szCs w:val="20"/>
              </w:rPr>
            </w:pPr>
            <w:r w:rsidRPr="00FA7C7D">
              <w:rPr>
                <w:rFonts w:ascii="Times New Roman" w:hAnsi="Times New Roman"/>
                <w:sz w:val="20"/>
                <w:szCs w:val="20"/>
              </w:rPr>
              <w:t xml:space="preserve">Addis Ababa University center for food science and nutrition and Wolaita Sodo University. </w:t>
            </w:r>
            <w:r w:rsidR="00F736CF">
              <w:rPr>
                <w:rFonts w:ascii="Times New Roman" w:hAnsi="Times New Roman"/>
                <w:sz w:val="20"/>
                <w:szCs w:val="20"/>
              </w:rPr>
              <w:t>Additionally</w:t>
            </w:r>
            <w:r w:rsidR="004F0B63">
              <w:rPr>
                <w:rFonts w:ascii="Times New Roman" w:hAnsi="Times New Roman"/>
                <w:sz w:val="20"/>
                <w:szCs w:val="20"/>
              </w:rPr>
              <w:t>,</w:t>
            </w:r>
            <w:r w:rsidR="00F736CF">
              <w:rPr>
                <w:rFonts w:ascii="Times New Roman" w:hAnsi="Times New Roman"/>
                <w:sz w:val="20"/>
                <w:szCs w:val="20"/>
              </w:rPr>
              <w:t xml:space="preserve"> </w:t>
            </w:r>
            <w:r w:rsidR="004F0B63">
              <w:rPr>
                <w:rFonts w:ascii="Times New Roman" w:hAnsi="Times New Roman"/>
                <w:sz w:val="20"/>
                <w:szCs w:val="20"/>
              </w:rPr>
              <w:t>s</w:t>
            </w:r>
            <w:r w:rsidRPr="00FA7C7D">
              <w:rPr>
                <w:rFonts w:ascii="Times New Roman" w:hAnsi="Times New Roman"/>
                <w:sz w:val="20"/>
                <w:szCs w:val="20"/>
              </w:rPr>
              <w:t xml:space="preserve">mall research grant from Tufts University.  </w:t>
            </w:r>
          </w:p>
          <w:p w14:paraId="7161CE4F" w14:textId="77777777" w:rsidR="00450F91" w:rsidRPr="0022554A" w:rsidRDefault="00450F91" w:rsidP="00450F91">
            <w:pPr>
              <w:tabs>
                <w:tab w:val="left" w:pos="5400"/>
              </w:tabs>
              <w:rPr>
                <w:sz w:val="20"/>
              </w:rPr>
            </w:pPr>
          </w:p>
        </w:tc>
        <w:tc>
          <w:tcPr>
            <w:tcW w:w="408" w:type="pct"/>
            <w:tcBorders>
              <w:top w:val="single" w:sz="4" w:space="0" w:color="auto"/>
              <w:bottom w:val="single" w:sz="4" w:space="0" w:color="auto"/>
            </w:tcBorders>
            <w:vAlign w:val="center"/>
          </w:tcPr>
          <w:p w14:paraId="5034B119" w14:textId="77777777" w:rsidR="00450F91" w:rsidRPr="0022554A" w:rsidRDefault="00245761" w:rsidP="00450F91">
            <w:pPr>
              <w:tabs>
                <w:tab w:val="left" w:pos="5400"/>
              </w:tabs>
              <w:jc w:val="center"/>
              <w:rPr>
                <w:sz w:val="20"/>
              </w:rPr>
            </w:pPr>
            <w:r>
              <w:rPr>
                <w:sz w:val="20"/>
              </w:rPr>
              <w:t>2</w:t>
            </w:r>
            <w:r w:rsidR="00FA7C7D">
              <w:rPr>
                <w:sz w:val="20"/>
              </w:rPr>
              <w:t>4</w:t>
            </w:r>
          </w:p>
        </w:tc>
      </w:tr>
    </w:tbl>
    <w:bookmarkEnd w:id="74"/>
    <w:bookmarkEnd w:id="75"/>
    <w:p w14:paraId="5599E2FE" w14:textId="77777777" w:rsidR="00450F91" w:rsidRPr="003B238E" w:rsidRDefault="00450F91" w:rsidP="00450F91">
      <w:pPr>
        <w:pStyle w:val="TableNote"/>
        <w:tabs>
          <w:tab w:val="left" w:pos="5400"/>
        </w:tabs>
        <w:spacing w:after="120" w:line="240" w:lineRule="auto"/>
        <w:ind w:hanging="270"/>
        <w:rPr>
          <w:i/>
          <w:sz w:val="19"/>
        </w:rPr>
      </w:pPr>
      <w:r w:rsidRPr="003B238E">
        <w:rPr>
          <w:bCs/>
          <w:i/>
          <w:sz w:val="19"/>
        </w:rPr>
        <w:lastRenderedPageBreak/>
        <w:t>*</w:t>
      </w:r>
      <w:r w:rsidRPr="003B238E">
        <w:rPr>
          <w:i/>
          <w:sz w:val="19"/>
        </w:rPr>
        <w:t>Give information separately for cases and controls in case-control studies and, if applicable, for exposed and unexposed groups in cohort and cross-sectional studies.</w:t>
      </w:r>
    </w:p>
    <w:p w14:paraId="0BA6095C" w14:textId="77777777" w:rsidR="00450F91" w:rsidRPr="003B238E" w:rsidRDefault="00450F91" w:rsidP="00450F91">
      <w:pPr>
        <w:pStyle w:val="TableNote"/>
        <w:tabs>
          <w:tab w:val="left" w:pos="5400"/>
        </w:tabs>
        <w:spacing w:after="80" w:line="240" w:lineRule="auto"/>
        <w:ind w:left="-270"/>
        <w:rPr>
          <w:i/>
          <w:sz w:val="19"/>
        </w:rPr>
      </w:pPr>
      <w:r w:rsidRPr="003B238E">
        <w:rPr>
          <w:b/>
          <w:sz w:val="19"/>
        </w:rPr>
        <w:t>Note:</w:t>
      </w:r>
      <w:r w:rsidRPr="003B238E">
        <w:rPr>
          <w:sz w:val="19"/>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450F91" w:rsidRPr="003B238E" w:rsidSect="00450F91">
      <w:footerReference w:type="even" r:id="rId10"/>
      <w:footerReference w:type="default" r:id="rId11"/>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C531" w14:textId="77777777" w:rsidR="00060DEE" w:rsidRDefault="00060DEE">
      <w:r>
        <w:separator/>
      </w:r>
    </w:p>
  </w:endnote>
  <w:endnote w:type="continuationSeparator" w:id="0">
    <w:p w14:paraId="4A3D96C5" w14:textId="77777777" w:rsidR="00060DEE" w:rsidRDefault="0006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Segoe Print"/>
    <w:charset w:val="00"/>
    <w:family w:val="auto"/>
    <w:pitch w:val="default"/>
    <w:sig w:usb0="00000000" w:usb1="00000000" w:usb2="00000000" w:usb3="00000000" w:csb0="00040001" w:csb1="00000000"/>
  </w:font>
  <w:font w:name="TimesNewRoman">
    <w:altName w:val="MS Gothic"/>
    <w:panose1 w:val="00000000000000000000"/>
    <w:charset w:val="00"/>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3844" w14:textId="77777777" w:rsidR="00450F91" w:rsidRDefault="00450F91" w:rsidP="00450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48515" w14:textId="77777777" w:rsidR="00450F91" w:rsidRDefault="00450F91" w:rsidP="00450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3A9A" w14:textId="77777777" w:rsidR="00450F91" w:rsidRPr="0084263B" w:rsidRDefault="00450F91" w:rsidP="00450F91">
    <w:pPr>
      <w:pStyle w:val="Footer"/>
      <w:framePr w:wrap="around" w:vAnchor="text" w:hAnchor="margin" w:xAlign="right" w:y="1"/>
      <w:rPr>
        <w:rStyle w:val="PageNumber"/>
        <w:rFonts w:ascii="Times New Roman" w:hAnsi="Times New Roman"/>
      </w:rPr>
    </w:pPr>
    <w:r w:rsidRPr="0084263B">
      <w:rPr>
        <w:rStyle w:val="PageNumber"/>
        <w:rFonts w:ascii="Times New Roman" w:hAnsi="Times New Roman"/>
      </w:rPr>
      <w:fldChar w:fldCharType="begin"/>
    </w:r>
    <w:r w:rsidRPr="0084263B">
      <w:rPr>
        <w:rStyle w:val="PageNumber"/>
        <w:rFonts w:ascii="Times New Roman" w:hAnsi="Times New Roman"/>
      </w:rPr>
      <w:instrText xml:space="preserve">PAGE  </w:instrText>
    </w:r>
    <w:r w:rsidRPr="0084263B">
      <w:rPr>
        <w:rStyle w:val="PageNumber"/>
        <w:rFonts w:ascii="Times New Roman" w:hAnsi="Times New Roman"/>
      </w:rPr>
      <w:fldChar w:fldCharType="separate"/>
    </w:r>
    <w:r w:rsidR="004A0404">
      <w:rPr>
        <w:rStyle w:val="PageNumber"/>
        <w:rFonts w:ascii="Times New Roman" w:hAnsi="Times New Roman"/>
        <w:noProof/>
      </w:rPr>
      <w:t>3</w:t>
    </w:r>
    <w:r w:rsidRPr="0084263B">
      <w:rPr>
        <w:rStyle w:val="PageNumber"/>
        <w:rFonts w:ascii="Times New Roman" w:hAnsi="Times New Roman"/>
      </w:rPr>
      <w:fldChar w:fldCharType="end"/>
    </w:r>
  </w:p>
  <w:p w14:paraId="7CED2DC9" w14:textId="77777777" w:rsidR="00450F91" w:rsidRDefault="00450F91" w:rsidP="00450F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1D527" w14:textId="77777777" w:rsidR="00060DEE" w:rsidRDefault="00060DEE">
      <w:r>
        <w:separator/>
      </w:r>
    </w:p>
  </w:footnote>
  <w:footnote w:type="continuationSeparator" w:id="0">
    <w:p w14:paraId="6A66E66F" w14:textId="77777777" w:rsidR="00060DEE" w:rsidRDefault="0006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D4751A"/>
    <w:multiLevelType w:val="hybridMultilevel"/>
    <w:tmpl w:val="AB2E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56F1E1D"/>
    <w:multiLevelType w:val="hybridMultilevel"/>
    <w:tmpl w:val="A0AEACDC"/>
    <w:lvl w:ilvl="0" w:tplc="048A714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2D300B1"/>
    <w:multiLevelType w:val="hybridMultilevel"/>
    <w:tmpl w:val="5F5C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3"/>
  </w:num>
  <w:num w:numId="2">
    <w:abstractNumId w:val="11"/>
  </w:num>
  <w:num w:numId="3">
    <w:abstractNumId w:val="20"/>
  </w:num>
  <w:num w:numId="4">
    <w:abstractNumId w:val="18"/>
  </w:num>
  <w:num w:numId="5">
    <w:abstractNumId w:val="17"/>
  </w:num>
  <w:num w:numId="6">
    <w:abstractNumId w:val="21"/>
  </w:num>
  <w:num w:numId="7">
    <w:abstractNumId w:val="10"/>
  </w:num>
  <w:num w:numId="8">
    <w:abstractNumId w:val="14"/>
  </w:num>
  <w:num w:numId="9">
    <w:abstractNumId w:val="9"/>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3"/>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60A2E"/>
    <w:rsid w:val="00060DEE"/>
    <w:rsid w:val="00061DE7"/>
    <w:rsid w:val="00062B3B"/>
    <w:rsid w:val="000923D5"/>
    <w:rsid w:val="00106FBB"/>
    <w:rsid w:val="00112C79"/>
    <w:rsid w:val="001369BC"/>
    <w:rsid w:val="00164350"/>
    <w:rsid w:val="00197761"/>
    <w:rsid w:val="00220E0E"/>
    <w:rsid w:val="00245761"/>
    <w:rsid w:val="00246330"/>
    <w:rsid w:val="002560C7"/>
    <w:rsid w:val="00280DD7"/>
    <w:rsid w:val="002D0AAB"/>
    <w:rsid w:val="002E18DA"/>
    <w:rsid w:val="002F19C6"/>
    <w:rsid w:val="00305B18"/>
    <w:rsid w:val="00331845"/>
    <w:rsid w:val="003344EC"/>
    <w:rsid w:val="003540CC"/>
    <w:rsid w:val="00370156"/>
    <w:rsid w:val="003C3139"/>
    <w:rsid w:val="003C78D6"/>
    <w:rsid w:val="003E705A"/>
    <w:rsid w:val="003F29B7"/>
    <w:rsid w:val="003F35D0"/>
    <w:rsid w:val="00450F91"/>
    <w:rsid w:val="004800BF"/>
    <w:rsid w:val="004A0404"/>
    <w:rsid w:val="004C50E7"/>
    <w:rsid w:val="004D5C36"/>
    <w:rsid w:val="004F0B63"/>
    <w:rsid w:val="005332DB"/>
    <w:rsid w:val="005506C8"/>
    <w:rsid w:val="00571A21"/>
    <w:rsid w:val="005C49AC"/>
    <w:rsid w:val="005F32F0"/>
    <w:rsid w:val="00643E71"/>
    <w:rsid w:val="00674DF2"/>
    <w:rsid w:val="00680F5E"/>
    <w:rsid w:val="006A0757"/>
    <w:rsid w:val="006A45B3"/>
    <w:rsid w:val="006D2998"/>
    <w:rsid w:val="006F663B"/>
    <w:rsid w:val="007422E6"/>
    <w:rsid w:val="0075154B"/>
    <w:rsid w:val="007874F9"/>
    <w:rsid w:val="007A6640"/>
    <w:rsid w:val="007C48CA"/>
    <w:rsid w:val="00810F72"/>
    <w:rsid w:val="008132B8"/>
    <w:rsid w:val="00841030"/>
    <w:rsid w:val="008754DD"/>
    <w:rsid w:val="008810D7"/>
    <w:rsid w:val="00884C95"/>
    <w:rsid w:val="008979F8"/>
    <w:rsid w:val="00897A28"/>
    <w:rsid w:val="008A4BA2"/>
    <w:rsid w:val="008F0090"/>
    <w:rsid w:val="008F20EF"/>
    <w:rsid w:val="00924E9D"/>
    <w:rsid w:val="00971624"/>
    <w:rsid w:val="009A3E22"/>
    <w:rsid w:val="009C6DD0"/>
    <w:rsid w:val="009D352F"/>
    <w:rsid w:val="009E1B49"/>
    <w:rsid w:val="00A13EEB"/>
    <w:rsid w:val="00AC1302"/>
    <w:rsid w:val="00B13E68"/>
    <w:rsid w:val="00B4345A"/>
    <w:rsid w:val="00BA4E43"/>
    <w:rsid w:val="00BD7FA9"/>
    <w:rsid w:val="00C2472B"/>
    <w:rsid w:val="00CA5DAD"/>
    <w:rsid w:val="00D27652"/>
    <w:rsid w:val="00D373DC"/>
    <w:rsid w:val="00D50528"/>
    <w:rsid w:val="00D5465A"/>
    <w:rsid w:val="00D55897"/>
    <w:rsid w:val="00D648A1"/>
    <w:rsid w:val="00D66C0A"/>
    <w:rsid w:val="00D761B9"/>
    <w:rsid w:val="00D770E7"/>
    <w:rsid w:val="00D970D5"/>
    <w:rsid w:val="00DE5043"/>
    <w:rsid w:val="00DE5282"/>
    <w:rsid w:val="00DE60D3"/>
    <w:rsid w:val="00E20279"/>
    <w:rsid w:val="00E80AB7"/>
    <w:rsid w:val="00E81975"/>
    <w:rsid w:val="00E90D85"/>
    <w:rsid w:val="00EC4A02"/>
    <w:rsid w:val="00F075F0"/>
    <w:rsid w:val="00F257C9"/>
    <w:rsid w:val="00F26854"/>
    <w:rsid w:val="00F41ECA"/>
    <w:rsid w:val="00F64305"/>
    <w:rsid w:val="00F64598"/>
    <w:rsid w:val="00F736CF"/>
    <w:rsid w:val="00FA7C7D"/>
    <w:rsid w:val="00FC4CF0"/>
    <w:rsid w:val="00FE70A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B24775"/>
  <w15:chartTrackingRefBased/>
  <w15:docId w15:val="{97B81DFF-74A7-4F6A-BC96-4B4F7066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link w:val="CommentTextChar"/>
    <w:uiPriority w:val="99"/>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uiPriority w:val="99"/>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phy1">
    <w:name w:val="Bibliography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olorfulGrid-Accent1">
    <w:name w:val="Colorful Grid Accent 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CommentTextChar">
    <w:name w:val="Comment Text Char"/>
    <w:link w:val="CommentText"/>
    <w:uiPriority w:val="99"/>
    <w:rsid w:val="008F20EF"/>
    <w:rPr>
      <w:lang w:val="en-GB"/>
    </w:rPr>
  </w:style>
  <w:style w:type="paragraph" w:styleId="ListParagraph">
    <w:name w:val="List Paragraph"/>
    <w:basedOn w:val="Normal"/>
    <w:uiPriority w:val="34"/>
    <w:qFormat/>
    <w:rsid w:val="00F64305"/>
    <w:pPr>
      <w:spacing w:after="200" w:line="276" w:lineRule="auto"/>
      <w:ind w:left="720"/>
      <w:contextualSpacing/>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C4CEC0D43F445A0D9B120F6D2BF57" ma:contentTypeVersion="1" ma:contentTypeDescription="Create a new document." ma:contentTypeScope="" ma:versionID="8081580694131561435138e70961c04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E6559-4EBB-4DE0-91F4-1AB8D5157955}">
  <ds:schemaRefs>
    <ds:schemaRef ds:uri="http://schemas.microsoft.com/sharepoint/v3/contenttype/forms"/>
  </ds:schemaRefs>
</ds:datastoreItem>
</file>

<file path=customXml/itemProps2.xml><?xml version="1.0" encoding="utf-8"?>
<ds:datastoreItem xmlns:ds="http://schemas.openxmlformats.org/officeDocument/2006/customXml" ds:itemID="{617E295F-8F66-4DCF-A621-7FADFDBF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C7D61-AE11-4900-A6C1-2B943D41FF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article.dot</Template>
  <TotalTime>0</TotalTime>
  <Pages>4</Pages>
  <Words>1591</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STROBE Checklist</vt:lpstr>
      <vt:lpstr>STROBE Checklist</vt:lpstr>
    </vt:vector>
  </TitlesOfParts>
  <Company>irisq</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STROBE Checklist</dc:title>
  <dc:subject/>
  <dc:creator>pplouffe</dc:creator>
  <cp:keywords/>
  <cp:lastModifiedBy>Vijayakumar AG</cp:lastModifiedBy>
  <cp:revision>2</cp:revision>
  <cp:lastPrinted>2007-10-15T08:09:00Z</cp:lastPrinted>
  <dcterms:created xsi:type="dcterms:W3CDTF">2020-12-17T21:28:00Z</dcterms:created>
  <dcterms:modified xsi:type="dcterms:W3CDTF">2020-12-17T21:28:00Z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