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0EB8FD" w14:textId="77777777" w:rsidR="000844D2" w:rsidRDefault="003269EC">
      <w:pPr>
        <w:spacing w:line="48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Appendices for:</w:t>
      </w:r>
    </w:p>
    <w:p w14:paraId="69DBB5F9" w14:textId="77777777" w:rsidR="000844D2" w:rsidRDefault="003269EC">
      <w:pPr>
        <w:spacing w:line="480" w:lineRule="auto"/>
        <w:jc w:val="center"/>
        <w:rPr>
          <w:b/>
          <w:lang w:val="en-US"/>
        </w:rPr>
      </w:pPr>
      <w:r>
        <w:rPr>
          <w:b/>
          <w:lang w:val="en-US"/>
        </w:rPr>
        <w:t>Calculation of similarity indexes demonstrates the earliest independent development of commodity money in prehistoric Central Europe.</w:t>
      </w:r>
    </w:p>
    <w:p w14:paraId="2CE0F929" w14:textId="77777777" w:rsidR="000844D2" w:rsidRDefault="000844D2">
      <w:pPr>
        <w:spacing w:line="480" w:lineRule="auto"/>
        <w:rPr>
          <w:lang w:val="en-US"/>
        </w:rPr>
      </w:pPr>
    </w:p>
    <w:p w14:paraId="4DC35C5B" w14:textId="72FA36C6" w:rsidR="000844D2" w:rsidRDefault="003269EC">
      <w:r>
        <w:t>S3</w:t>
      </w:r>
      <w:r>
        <w:t xml:space="preserve"> </w:t>
      </w:r>
      <w:r>
        <w:t>Appendix</w:t>
      </w:r>
      <w:r>
        <w:t xml:space="preserve">:  </w:t>
      </w:r>
    </w:p>
    <w:p w14:paraId="5ABAED51" w14:textId="77777777" w:rsidR="000844D2" w:rsidRDefault="003269EC">
      <w:r>
        <w:t xml:space="preserve">No permits were required for the described study, which complied with all </w:t>
      </w:r>
      <w:r>
        <w:t>relevant regulations.</w:t>
      </w:r>
    </w:p>
    <w:p w14:paraId="502F2998" w14:textId="77777777" w:rsidR="000844D2" w:rsidRDefault="000844D2"/>
    <w:p w14:paraId="3C5B9F02" w14:textId="77777777" w:rsidR="000844D2" w:rsidRDefault="003269EC">
      <w:pPr>
        <w:rPr>
          <w:b/>
          <w:bCs/>
        </w:rPr>
      </w:pPr>
      <w:r>
        <w:rPr>
          <w:b/>
          <w:bCs/>
        </w:rPr>
        <w:t>Sources rings and ribs database:</w:t>
      </w:r>
    </w:p>
    <w:p w14:paraId="21EFF40F" w14:textId="77777777" w:rsidR="000844D2" w:rsidRDefault="003269EC">
      <w:pPr>
        <w:pStyle w:val="Bibliography"/>
        <w:tabs>
          <w:tab w:val="clear" w:pos="384"/>
          <w:tab w:val="left" w:pos="0"/>
        </w:tabs>
        <w:ind w:left="0" w:firstLine="0"/>
        <w:rPr>
          <w:rFonts w:ascii="Calibri" w:hAnsi="Calibri" w:cs="Calibri"/>
          <w:lang w:val="de-DE"/>
        </w:rPr>
      </w:pPr>
      <w:r>
        <w:rPr>
          <w:rFonts w:cs="Calibri"/>
        </w:rPr>
        <w:t>Junk M, Krause R, Pernicka E. Ösenringbarren and the classical Ösenring Copper. In: Metz WH, Beek BL van, Steegstra H, editors. Patina: Essays presented to Jay Jordan Butler on the occasion of his 80t</w:t>
      </w:r>
      <w:r>
        <w:rPr>
          <w:rFonts w:cs="Calibri"/>
        </w:rPr>
        <w:t xml:space="preserve">h birthday. </w:t>
      </w:r>
      <w:r>
        <w:rPr>
          <w:rFonts w:cs="Calibri"/>
          <w:lang w:val="de-DE"/>
        </w:rPr>
        <w:t xml:space="preserve">Groningen / Amsterdam; 2001. pp. 353–366. </w:t>
      </w:r>
    </w:p>
    <w:p w14:paraId="0D729F3F" w14:textId="77777777" w:rsidR="000844D2" w:rsidRDefault="003269EC">
      <w:pPr>
        <w:pStyle w:val="Bibliography"/>
        <w:tabs>
          <w:tab w:val="clear" w:pos="384"/>
          <w:tab w:val="left" w:pos="0"/>
        </w:tabs>
        <w:ind w:left="0" w:firstLine="0"/>
        <w:rPr>
          <w:rFonts w:ascii="Calibri" w:hAnsi="Calibri" w:cs="Calibri"/>
        </w:rPr>
      </w:pPr>
      <w:r>
        <w:rPr>
          <w:rFonts w:cs="Calibri"/>
          <w:lang w:val="de-DE"/>
        </w:rPr>
        <w:t xml:space="preserve">Lauermann E. Das Grab einer Metallverarbeiterin ausdem Aunjetitzer Gräber-feld von Geitzendorf, Niederösterreich. </w:t>
      </w:r>
      <w:r>
        <w:rPr>
          <w:rFonts w:cs="Calibri"/>
        </w:rPr>
        <w:t xml:space="preserve">Archäologie Österreichs. 2012;23: 27–29. </w:t>
      </w:r>
    </w:p>
    <w:p w14:paraId="0153E56B" w14:textId="77777777" w:rsidR="000844D2" w:rsidRDefault="003269EC">
      <w:pPr>
        <w:pStyle w:val="NoSpacing"/>
        <w:rPr>
          <w:lang/>
        </w:rPr>
      </w:pPr>
      <w:r>
        <w:rPr>
          <w:lang/>
        </w:rPr>
        <w:t>Lenerz- de Wilde documentation - Data that wa</w:t>
      </w:r>
      <w:r>
        <w:rPr>
          <w:lang/>
        </w:rPr>
        <w:t>s provided to us by Lenerz- de Wilde in paper format</w:t>
      </w:r>
    </w:p>
    <w:p w14:paraId="0A94EFD3" w14:textId="77777777" w:rsidR="000844D2" w:rsidRDefault="000844D2">
      <w:pPr>
        <w:pStyle w:val="NoSpacing"/>
        <w:rPr>
          <w:lang/>
        </w:rPr>
      </w:pPr>
    </w:p>
    <w:p w14:paraId="0EC11CBE" w14:textId="77777777" w:rsidR="000844D2" w:rsidRDefault="003269EC">
      <w:pPr>
        <w:pStyle w:val="Bibliography"/>
        <w:tabs>
          <w:tab w:val="clear" w:pos="384"/>
          <w:tab w:val="left" w:pos="0"/>
        </w:tabs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 xml:space="preserve">Menke M. Studien zu den frühbronzezeitlichen Metalldepots Bayerns. Jahresbericht der Bayertischen Bodendenkmalpflege. 1978;19–20: 5–305. </w:t>
      </w:r>
    </w:p>
    <w:p w14:paraId="21784EA6" w14:textId="77777777" w:rsidR="000844D2" w:rsidRDefault="003269EC">
      <w:pPr>
        <w:pStyle w:val="Bibliography"/>
        <w:tabs>
          <w:tab w:val="clear" w:pos="384"/>
          <w:tab w:val="left" w:pos="0"/>
        </w:tabs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>Moosleitner F, Moesta H. Vier Spangenbarrendepots aus Obereching</w:t>
      </w:r>
      <w:r>
        <w:rPr>
          <w:rFonts w:cs="Calibri"/>
          <w:lang w:val="de-DE"/>
        </w:rPr>
        <w:t xml:space="preserve">, Land Salzburg. Germania. 1988;66: 29–67. </w:t>
      </w:r>
    </w:p>
    <w:p w14:paraId="1F6DF92E" w14:textId="77777777" w:rsidR="000844D2" w:rsidRDefault="003269EC">
      <w:pPr>
        <w:pStyle w:val="Bibliography"/>
        <w:tabs>
          <w:tab w:val="clear" w:pos="384"/>
          <w:tab w:val="left" w:pos="0"/>
        </w:tabs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 xml:space="preserve">Moucha V. Hortfunde der frühen Bronzezeit in Böhmen. Praha: Archäologischen Institut der Akademie der Wissenschaften der Tschechischen Republik; 2007. </w:t>
      </w:r>
    </w:p>
    <w:p w14:paraId="58FD24C0" w14:textId="77777777" w:rsidR="000844D2" w:rsidRDefault="003269EC">
      <w:pPr>
        <w:pStyle w:val="Bibliography"/>
        <w:tabs>
          <w:tab w:val="clear" w:pos="384"/>
          <w:tab w:val="left" w:pos="0"/>
        </w:tabs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>Schmotz K. Ein Depotfund der frühen Bronzezeit aus dem niede</w:t>
      </w:r>
      <w:r>
        <w:rPr>
          <w:rFonts w:cs="Calibri"/>
          <w:lang w:val="de-DE"/>
        </w:rPr>
        <w:t xml:space="preserve">rbayerischen Donautal. Archäologisches Korrespondenzblatt. 1984;14: 145–153. </w:t>
      </w:r>
    </w:p>
    <w:p w14:paraId="0277C371" w14:textId="77777777" w:rsidR="000844D2" w:rsidRDefault="000844D2">
      <w:pPr>
        <w:rPr>
          <w:b/>
          <w:bCs/>
          <w:lang w:val="de-DE"/>
        </w:rPr>
      </w:pPr>
    </w:p>
    <w:p w14:paraId="47916E36" w14:textId="77777777" w:rsidR="000844D2" w:rsidRDefault="003269EC">
      <w:pPr>
        <w:rPr>
          <w:b/>
          <w:bCs/>
          <w:lang w:val="de-DE"/>
        </w:rPr>
      </w:pPr>
      <w:r>
        <w:rPr>
          <w:b/>
          <w:bCs/>
          <w:lang w:val="de-DE"/>
        </w:rPr>
        <w:t xml:space="preserve">Sources axes database: </w:t>
      </w:r>
    </w:p>
    <w:p w14:paraId="313DF53F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 xml:space="preserve">Abels B-U. Die Randleistenbeile in Baden-Württemberg, dem Elsaß, der Franche Comté und der Schweiz. München: C.H. Beck; 1972. </w:t>
      </w:r>
    </w:p>
    <w:p w14:paraId="30F64462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>Berger A. Ein Depot bronze</w:t>
      </w:r>
      <w:r>
        <w:rPr>
          <w:rFonts w:cs="Calibri"/>
          <w:lang w:val="de-DE"/>
        </w:rPr>
        <w:t xml:space="preserve">zeitlicher Beile von Paitzkofen, Lkr. Straubing-Bogen, Niederbayern. Jahresbericht des Historischen Vereins für Straubing und Umgebung. 1985;87: 11–19. </w:t>
      </w:r>
    </w:p>
    <w:p w14:paraId="72AA3CEA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>Bill J. Zur Fundsituation der frühbronzezeitlichen Horte Mels-Rossheld, Gams-Gasenzen und Salez im Kant</w:t>
      </w:r>
      <w:r>
        <w:rPr>
          <w:rFonts w:cs="Calibri"/>
          <w:lang w:val="de-DE"/>
        </w:rPr>
        <w:t xml:space="preserve">on St. Gallen. Archäologisches Korrespondenzblatt. 1985;15: 25–29. </w:t>
      </w:r>
    </w:p>
    <w:p w14:paraId="07EFCAA2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 xml:space="preserve">Bill J. Die Bronzebeile von Salez. Das 1883 gefundene Depot aus der Frühbronzezeit. Werdenberger Jahrbuch. 1997; 247–261. </w:t>
      </w:r>
    </w:p>
    <w:p w14:paraId="153D5271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lastRenderedPageBreak/>
        <w:t>Blažek Jan, Hansen S. Die Hortfunde von Saběnice in Nordwest-Böhm</w:t>
      </w:r>
      <w:r>
        <w:rPr>
          <w:rFonts w:cs="Calibri"/>
          <w:lang w:val="de-DE"/>
        </w:rPr>
        <w:t>en. Most: Ústav archeologické památkové péče severozápadních Čech; 1997. Available: https://zenon.dainst.org/Record/000107765</w:t>
      </w:r>
    </w:p>
    <w:p w14:paraId="6C906542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>Breddin R. Der Aunjetitzer Bronzehortfund vor Bresinchen, Kr. Guben. Veröffentlichungen des Museums für Ur- und Frühgeschichte Pot</w:t>
      </w:r>
      <w:r>
        <w:rPr>
          <w:rFonts w:cs="Calibri"/>
          <w:lang w:val="de-DE"/>
        </w:rPr>
        <w:t xml:space="preserve">sdam. 1969;5: 15–56. </w:t>
      </w:r>
    </w:p>
    <w:p w14:paraId="7A897542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 xml:space="preserve">Coblenz W. Zwei neue reiche Bronzefunde von Dresden-Laubegast. Arbeits- und Forschungsberichte zur sächsischen Bodendenkmalpflege. 1951;2: 102–118. </w:t>
      </w:r>
    </w:p>
    <w:p w14:paraId="06644E8E" w14:textId="77777777" w:rsidR="000844D2" w:rsidRDefault="003269EC">
      <w:pPr>
        <w:pStyle w:val="Bibliography"/>
        <w:ind w:left="0" w:firstLine="0"/>
        <w:rPr>
          <w:rFonts w:ascii="Calibri" w:hAnsi="Calibri" w:cs="Calibri"/>
        </w:rPr>
      </w:pPr>
      <w:r>
        <w:rPr>
          <w:rFonts w:cs="Calibri"/>
          <w:lang w:val="de-DE"/>
        </w:rPr>
        <w:t xml:space="preserve">Endrigkeit A. Bronzezeitliche Depotfunde in Schleswig-Holstein : eine kulturhistorische Studie. </w:t>
      </w:r>
      <w:r>
        <w:rPr>
          <w:rFonts w:cs="Calibri"/>
        </w:rPr>
        <w:t xml:space="preserve">Bonn: Habelt; 2010. </w:t>
      </w:r>
    </w:p>
    <w:p w14:paraId="51264E83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</w:rPr>
        <w:t xml:space="preserve">Johannsen JW. Serial Production and Metal Exchange in Early Bronze Age Scandinavia: Smørumovre Revisited. </w:t>
      </w:r>
      <w:r>
        <w:rPr>
          <w:rFonts w:cs="Calibri"/>
          <w:lang w:val="de-DE"/>
        </w:rPr>
        <w:t xml:space="preserve">2015; 11. </w:t>
      </w:r>
    </w:p>
    <w:p w14:paraId="459EE8E2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 xml:space="preserve">Kibbert K. Die Äxte und Beile im mittleren Westdeutschland I. München: C.H. Beck; 1980. </w:t>
      </w:r>
    </w:p>
    <w:p w14:paraId="7C58F227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>Kienlin TL. Frühes Metall im Nordalpinen Raum. Eine Untersuchung zu technologischen und kognitiven Aspekten früher Metallurgie anhand der Gefüge frühbronzezeitlicher B</w:t>
      </w:r>
      <w:r>
        <w:rPr>
          <w:rFonts w:cs="Calibri"/>
          <w:lang w:val="de-DE"/>
        </w:rPr>
        <w:t xml:space="preserve">eile. Bonn: Verlag Dr. Rudolf Habelt GmbH; 2008. </w:t>
      </w:r>
    </w:p>
    <w:p w14:paraId="7B4EAA04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>Kuessner M, Walter D. Siedlung und Besiedlung Thüringens im Endneolithikum und frühen Bronzezeit zwischen 2500 und 1500 v. Chr. In: Meller H, Friederich, S, Kuessner M, Stäuble H, Risch R, editors. Siedlung</w:t>
      </w:r>
      <w:r>
        <w:rPr>
          <w:rFonts w:cs="Calibri"/>
          <w:lang w:val="de-DE"/>
        </w:rPr>
        <w:t xml:space="preserve">sarchäologie des Endneolithikums und der frühen Bronzezeit Late Neolithic and Early Bronze Age Settlement Archaeology. 2019. pp. 33–79. </w:t>
      </w:r>
    </w:p>
    <w:p w14:paraId="13DD525E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>Kusnierz Jerzy. Die Beile in Polen III: (Tüllenbeile). Stuttgart: Franz Steiner Verlag; 1998. Available: https://zenon.</w:t>
      </w:r>
      <w:r>
        <w:rPr>
          <w:rFonts w:cs="Calibri"/>
          <w:lang w:val="de-DE"/>
        </w:rPr>
        <w:t>dainst.org/Record/000042417</w:t>
      </w:r>
    </w:p>
    <w:p w14:paraId="2CAD9DD1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 xml:space="preserve">Laux F. Die Äxte und Beile in Niedersachsen I : (Flach-, Randleisten- und Absatzbeile). Stuttgart: Franz Steiner Verlag; 2000. </w:t>
      </w:r>
    </w:p>
    <w:p w14:paraId="1B8C2136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 xml:space="preserve">Mayer EF. Die Äxte und Beile in Österreich. München: C.H. Beck; 1977. </w:t>
      </w:r>
    </w:p>
    <w:p w14:paraId="69E2D6A0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>Moucha V. Hortfunde der frühe</w:t>
      </w:r>
      <w:r>
        <w:rPr>
          <w:rFonts w:cs="Calibri"/>
          <w:lang w:val="de-DE"/>
        </w:rPr>
        <w:t xml:space="preserve">n Bronzezeit in Böhmen. Praha: Archäologischen Institut der Akademie der Wissenschaften der Tschechischen Republik; 2007. </w:t>
      </w:r>
    </w:p>
    <w:p w14:paraId="3E50B94D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 xml:space="preserve">Pászthory K, Mayer EF. Die Äxte und Beile in Bayern. Stuttgart: Franz Steiner Verlag; 1998. </w:t>
      </w:r>
    </w:p>
    <w:p w14:paraId="39E19E82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 xml:space="preserve">Stein F. Katalog der vorgeschichtlichen </w:t>
      </w:r>
      <w:r>
        <w:rPr>
          <w:rFonts w:cs="Calibri"/>
          <w:lang w:val="de-DE"/>
        </w:rPr>
        <w:t xml:space="preserve">Hortfunde in Süddeutschland. Bonn: Rudolf Habelt; 1979. </w:t>
      </w:r>
    </w:p>
    <w:p w14:paraId="1F8AAB68" w14:textId="77777777" w:rsidR="000844D2" w:rsidRDefault="003269EC">
      <w:pPr>
        <w:pStyle w:val="Bibliography"/>
        <w:ind w:left="0" w:firstLine="0"/>
        <w:rPr>
          <w:rFonts w:ascii="Calibri" w:hAnsi="Calibri" w:cs="Calibri"/>
          <w:lang w:val="de-DE"/>
        </w:rPr>
      </w:pPr>
      <w:r>
        <w:rPr>
          <w:rFonts w:cs="Calibri"/>
          <w:lang w:val="de-DE"/>
        </w:rPr>
        <w:t xml:space="preserve">Szpunar A. Die Beile in Polen. 1, (Flachbeile, Randleistenbeile, Randleistenmeißel). München: Beck; 1987. </w:t>
      </w:r>
    </w:p>
    <w:p w14:paraId="25DE87E1" w14:textId="77777777" w:rsidR="000844D2" w:rsidRDefault="000844D2">
      <w:pPr>
        <w:rPr>
          <w:b/>
          <w:bCs/>
        </w:rPr>
      </w:pPr>
    </w:p>
    <w:p w14:paraId="650F8712" w14:textId="77777777" w:rsidR="000844D2" w:rsidRDefault="003269EC">
      <w:pPr>
        <w:rPr>
          <w:b/>
          <w:bCs/>
        </w:rPr>
      </w:pPr>
      <w:r>
        <w:rPr>
          <w:b/>
          <w:bCs/>
        </w:rPr>
        <w:t xml:space="preserve">Comments: </w:t>
      </w:r>
    </w:p>
    <w:p w14:paraId="1FBDB08E" w14:textId="77777777" w:rsidR="000844D2" w:rsidRDefault="003269EC">
      <w:r>
        <w:t>The rings and ribs rarely have individual inventory numbers, and in many museums</w:t>
      </w:r>
      <w:r>
        <w:t xml:space="preserve"> are stored under the name and inventory-number of the hoard. </w:t>
      </w:r>
    </w:p>
    <w:sectPr w:rsidR="000844D2">
      <w:pgSz w:w="11906" w:h="16838"/>
      <w:pgMar w:top="1440" w:right="1440" w:bottom="1440" w:left="1440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4D2"/>
    <w:rsid w:val="000844D2"/>
    <w:rsid w:val="0032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D004C"/>
  <w15:docId w15:val="{85B5AE18-DE4F-44CB-919D-931B465B6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CFA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B31CFA"/>
    <w:rPr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B31CFA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customStyle="1" w:styleId="FootnoteTextChar1">
    <w:name w:val="Footnote Text Char1"/>
    <w:basedOn w:val="DefaultParagraphFont"/>
    <w:uiPriority w:val="99"/>
    <w:semiHidden/>
    <w:qFormat/>
    <w:rsid w:val="00B31CFA"/>
    <w:rPr>
      <w:sz w:val="20"/>
      <w:szCs w:val="20"/>
    </w:rPr>
  </w:style>
  <w:style w:type="character" w:customStyle="1" w:styleId="EndnoteCharacters">
    <w:name w:val="Endnote Characters"/>
    <w:basedOn w:val="DefaultParagraphFont"/>
    <w:uiPriority w:val="99"/>
    <w:semiHidden/>
    <w:unhideWhenUsed/>
    <w:qFormat/>
    <w:rsid w:val="00B31CFA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B31CF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B31CFA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B31CFA"/>
    <w:rPr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B31CFA"/>
    <w:rPr>
      <w:rFonts w:ascii="Segoe UI" w:hAnsi="Segoe UI" w:cs="Segoe UI"/>
      <w:sz w:val="18"/>
      <w:szCs w:val="18"/>
    </w:rPr>
  </w:style>
  <w:style w:type="character" w:customStyle="1" w:styleId="BodyTextChar">
    <w:name w:val="Body Text Char"/>
    <w:basedOn w:val="DefaultParagraphFont"/>
    <w:link w:val="BodyText"/>
    <w:qFormat/>
    <w:rsid w:val="00B31CFA"/>
    <w:rPr>
      <w:lang w:val="en-GB"/>
    </w:rPr>
  </w:style>
  <w:style w:type="character" w:customStyle="1" w:styleId="FootnoteTextChar2">
    <w:name w:val="Footnote Text Char2"/>
    <w:basedOn w:val="DefaultParagraphFont"/>
    <w:uiPriority w:val="99"/>
    <w:semiHidden/>
    <w:qFormat/>
    <w:rsid w:val="00B31CFA"/>
    <w:rPr>
      <w:sz w:val="20"/>
      <w:szCs w:val="20"/>
      <w:lang w:val="en-GB"/>
    </w:rPr>
  </w:style>
  <w:style w:type="character" w:customStyle="1" w:styleId="CommentTextChar1">
    <w:name w:val="Comment Text Char1"/>
    <w:basedOn w:val="DefaultParagraphFont"/>
    <w:uiPriority w:val="99"/>
    <w:semiHidden/>
    <w:qFormat/>
    <w:rsid w:val="00B31CFA"/>
    <w:rPr>
      <w:sz w:val="20"/>
      <w:szCs w:val="20"/>
      <w:lang w:val="en-GB"/>
    </w:rPr>
  </w:style>
  <w:style w:type="character" w:customStyle="1" w:styleId="CommentSubjectChar1">
    <w:name w:val="Comment Subject Char1"/>
    <w:basedOn w:val="CommentTextChar1"/>
    <w:uiPriority w:val="99"/>
    <w:semiHidden/>
    <w:qFormat/>
    <w:rsid w:val="00B31CFA"/>
    <w:rPr>
      <w:b/>
      <w:bCs/>
      <w:sz w:val="20"/>
      <w:szCs w:val="20"/>
      <w:lang w:val="en-GB"/>
    </w:rPr>
  </w:style>
  <w:style w:type="character" w:customStyle="1" w:styleId="BalloonTextChar1">
    <w:name w:val="Balloon Text Char1"/>
    <w:basedOn w:val="DefaultParagraphFont"/>
    <w:uiPriority w:val="99"/>
    <w:semiHidden/>
    <w:qFormat/>
    <w:rsid w:val="00B31CFA"/>
    <w:rPr>
      <w:rFonts w:ascii="Segoe UI" w:hAnsi="Segoe UI" w:cs="Segoe UI"/>
      <w:sz w:val="18"/>
      <w:szCs w:val="18"/>
      <w:lang w:val="en-GB"/>
    </w:rPr>
  </w:style>
  <w:style w:type="character" w:styleId="LineNumber">
    <w:name w:val="line number"/>
    <w:basedOn w:val="DefaultParagraphFont"/>
    <w:uiPriority w:val="99"/>
    <w:semiHidden/>
    <w:unhideWhenUsed/>
    <w:qFormat/>
    <w:rsid w:val="00B31CFA"/>
  </w:style>
  <w:style w:type="paragraph" w:customStyle="1" w:styleId="Heading">
    <w:name w:val="Heading"/>
    <w:basedOn w:val="Normal"/>
    <w:next w:val="BodyText"/>
    <w:qFormat/>
    <w:rsid w:val="00B31CFA"/>
    <w:pPr>
      <w:keepNext/>
      <w:spacing w:before="240" w:after="120"/>
    </w:pPr>
    <w:rPr>
      <w:rFonts w:ascii="Liberation Sans" w:eastAsia="Noto Sans SC Regular" w:hAnsi="Liberation Sans" w:cs="Noto Sans Devanagari"/>
      <w:sz w:val="28"/>
      <w:szCs w:val="28"/>
    </w:rPr>
  </w:style>
  <w:style w:type="paragraph" w:styleId="BodyText">
    <w:name w:val="Body Text"/>
    <w:basedOn w:val="Normal"/>
    <w:link w:val="BodyTextChar"/>
    <w:rsid w:val="00B31CFA"/>
    <w:pPr>
      <w:spacing w:after="140" w:line="288" w:lineRule="auto"/>
    </w:pPr>
  </w:style>
  <w:style w:type="paragraph" w:styleId="List">
    <w:name w:val="List"/>
    <w:basedOn w:val="BodyText"/>
    <w:rsid w:val="00B31CFA"/>
    <w:rPr>
      <w:rFonts w:cs="Noto Sans Devanagari"/>
    </w:rPr>
  </w:style>
  <w:style w:type="paragraph" w:styleId="Caption">
    <w:name w:val="caption"/>
    <w:basedOn w:val="Normal"/>
    <w:qFormat/>
    <w:rsid w:val="00B31CFA"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customStyle="1" w:styleId="Index">
    <w:name w:val="Index"/>
    <w:basedOn w:val="Normal"/>
    <w:qFormat/>
    <w:rsid w:val="00B31CFA"/>
    <w:pPr>
      <w:suppressLineNumbers/>
    </w:pPr>
    <w:rPr>
      <w:rFonts w:cs="Noto Sans Devanagari"/>
    </w:rPr>
  </w:style>
  <w:style w:type="paragraph" w:styleId="Bibliography">
    <w:name w:val="Bibliography"/>
    <w:basedOn w:val="Normal"/>
    <w:next w:val="Normal"/>
    <w:uiPriority w:val="37"/>
    <w:unhideWhenUsed/>
    <w:qFormat/>
    <w:rsid w:val="00B31CFA"/>
    <w:pPr>
      <w:tabs>
        <w:tab w:val="left" w:pos="384"/>
      </w:tabs>
      <w:spacing w:after="240" w:line="240" w:lineRule="auto"/>
      <w:ind w:left="384" w:hanging="384"/>
    </w:pPr>
  </w:style>
  <w:style w:type="paragraph" w:styleId="FootnoteText">
    <w:name w:val="footnote text"/>
    <w:basedOn w:val="Normal"/>
    <w:link w:val="FootnoteTextChar"/>
    <w:uiPriority w:val="99"/>
    <w:qFormat/>
    <w:rsid w:val="00B31CFA"/>
    <w:rPr>
      <w:sz w:val="20"/>
      <w:szCs w:val="20"/>
      <w:lang w:val="x-none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B31CFA"/>
    <w:pPr>
      <w:spacing w:line="240" w:lineRule="auto"/>
    </w:pPr>
    <w:rPr>
      <w:sz w:val="20"/>
      <w:szCs w:val="20"/>
      <w:lang w:val="x-none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B31CF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B31CFA"/>
    <w:pPr>
      <w:spacing w:after="0" w:line="240" w:lineRule="auto"/>
    </w:pPr>
    <w:rPr>
      <w:rFonts w:ascii="Segoe UI" w:hAnsi="Segoe UI" w:cs="Segoe UI"/>
      <w:sz w:val="18"/>
      <w:szCs w:val="18"/>
      <w:lang w:val="x-none"/>
    </w:rPr>
  </w:style>
  <w:style w:type="paragraph" w:styleId="ListParagraph">
    <w:name w:val="List Paragraph"/>
    <w:basedOn w:val="Normal"/>
    <w:uiPriority w:val="34"/>
    <w:qFormat/>
    <w:rsid w:val="00B31CFA"/>
    <w:pPr>
      <w:ind w:left="720"/>
      <w:contextualSpacing/>
    </w:pPr>
  </w:style>
  <w:style w:type="paragraph" w:styleId="NoSpacing">
    <w:name w:val="No Spacing"/>
    <w:uiPriority w:val="1"/>
    <w:qFormat/>
    <w:rsid w:val="000F0D9C"/>
    <w:rPr>
      <w:lang w:val="en-GB"/>
    </w:rPr>
  </w:style>
  <w:style w:type="table" w:styleId="TableGrid">
    <w:name w:val="Table Grid"/>
    <w:basedOn w:val="TableNormal"/>
    <w:uiPriority w:val="39"/>
    <w:rsid w:val="00B31CFA"/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6529E1-2B1B-437F-8203-59012C048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640</Words>
  <Characters>3652</Characters>
  <Application>Microsoft Office Word</Application>
  <DocSecurity>0</DocSecurity>
  <Lines>30</Lines>
  <Paragraphs>8</Paragraphs>
  <ScaleCrop>false</ScaleCrop>
  <Company/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Kuijpers, M.H.G.</dc:creator>
  <dc:description/>
  <cp:lastModifiedBy>chn off29</cp:lastModifiedBy>
  <cp:revision>4</cp:revision>
  <dcterms:created xsi:type="dcterms:W3CDTF">2020-09-16T20:21:00Z</dcterms:created>
  <dcterms:modified xsi:type="dcterms:W3CDTF">2020-12-08T12:09:00Z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ZOTERO_PREF_1">
    <vt:lpwstr>&lt;data data-version="3" zotero-version="5.0.89"&gt;&lt;session id="P4afxjRu"/&gt;&lt;style id="http://www.zotero.org/styles/plos-one" hasBibliography="1" bibliographyStyleHasBeenSet="1"/&gt;&lt;prefs&gt;&lt;pref name="fieldType" value="Field"/&gt;&lt;/prefs&gt;&lt;/data&gt;</vt:lpwstr>
  </property>
</Properties>
</file>