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18D41" w14:textId="75B65504" w:rsidR="00AE3344" w:rsidRDefault="00AE3344">
      <w:pPr>
        <w:rPr>
          <w:noProof/>
        </w:rPr>
      </w:pPr>
      <w:r>
        <w:rPr>
          <w:noProof/>
        </w:rPr>
        <w:drawing>
          <wp:inline distT="0" distB="0" distL="0" distR="0" wp14:anchorId="6EE87B7A" wp14:editId="5C425535">
            <wp:extent cx="5731510" cy="60909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C0E5C" w14:textId="77CBC172" w:rsidR="00AE3344" w:rsidRDefault="00AE3344">
      <w:pPr>
        <w:rPr>
          <w:noProof/>
        </w:rPr>
      </w:pPr>
    </w:p>
    <w:p w14:paraId="5EC92188" w14:textId="7E2FA458" w:rsidR="00AE3344" w:rsidRPr="00AE3344" w:rsidRDefault="00AE3344" w:rsidP="00AE3344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AE3344">
        <w:rPr>
          <w:rFonts w:ascii="Times New Roman" w:hAnsi="Times New Roman" w:cs="Times New Roman"/>
          <w:b/>
          <w:sz w:val="24"/>
          <w:szCs w:val="24"/>
        </w:rPr>
        <w:t>S2 Fig.</w:t>
      </w:r>
      <w:bookmarkStart w:id="0" w:name="_Toc7600227"/>
      <w:r w:rsidRPr="00AE3344">
        <w:rPr>
          <w:rFonts w:ascii="Times New Roman" w:hAnsi="Times New Roman" w:cs="Times New Roman"/>
          <w:b/>
          <w:sz w:val="24"/>
          <w:szCs w:val="24"/>
        </w:rPr>
        <w:t xml:space="preserve"> Transverse sections of lamellar tissue from the middle lamellae of a foot from a negative control horse.</w:t>
      </w:r>
      <w:r w:rsidRPr="00AE3344">
        <w:rPr>
          <w:rFonts w:ascii="Times New Roman" w:hAnsi="Times New Roman" w:cs="Times New Roman"/>
          <w:sz w:val="24"/>
          <w:szCs w:val="24"/>
        </w:rPr>
        <w:t xml:space="preserve"> Lines indicates the technique used for histomorphometry measurements, </w:t>
      </w:r>
      <w:bookmarkEnd w:id="0"/>
      <w:r w:rsidRPr="00AE3344">
        <w:rPr>
          <w:rFonts w:ascii="Times New Roman" w:hAnsi="Times New Roman" w:cs="Times New Roman"/>
          <w:sz w:val="24"/>
          <w:szCs w:val="24"/>
        </w:rPr>
        <w:t xml:space="preserve">which included: the total length of each primary epidermal lamellar (TPELL); the length of the keratinised section of each primary epidermal lamellar (KPELL); the length of 10 consecutive secondary epidermal lamellar (SELL) in the abaxial (SELLB) and axial (SELLA) regions of all PELs, for each foot; the width of 10 secondary epidermal lamellar </w:t>
      </w:r>
      <w:r w:rsidRPr="00AE3344">
        <w:rPr>
          <w:rFonts w:ascii="Times New Roman" w:hAnsi="Times New Roman" w:cs="Times New Roman"/>
          <w:sz w:val="24"/>
          <w:szCs w:val="24"/>
        </w:rPr>
        <w:lastRenderedPageBreak/>
        <w:t>(SELW) in the upper-side mid-section (with the basement membrane/axial end oriented to the right, and 10 in the lower-side mid-section, of all eight PELs for every section.</w:t>
      </w:r>
    </w:p>
    <w:p w14:paraId="3B1094F9" w14:textId="552E4BE4" w:rsidR="002F708F" w:rsidRDefault="00AE3344"/>
    <w:sectPr w:rsidR="002F708F" w:rsidSect="00AD42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722"/>
    <w:rsid w:val="001B0722"/>
    <w:rsid w:val="002F115C"/>
    <w:rsid w:val="005D20FB"/>
    <w:rsid w:val="009C716B"/>
    <w:rsid w:val="00AD4295"/>
    <w:rsid w:val="00AE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CBACC"/>
  <w15:chartTrackingRefBased/>
  <w15:docId w15:val="{2F2D8956-A1ED-49D1-A13E-5D2A96319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Sillence</dc:creator>
  <cp:keywords/>
  <dc:description/>
  <cp:lastModifiedBy>Martin Sillence</cp:lastModifiedBy>
  <cp:revision>2</cp:revision>
  <dcterms:created xsi:type="dcterms:W3CDTF">2020-05-13T04:58:00Z</dcterms:created>
  <dcterms:modified xsi:type="dcterms:W3CDTF">2020-05-13T05:00:00Z</dcterms:modified>
</cp:coreProperties>
</file>