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BA6" w:rsidRDefault="00BB7BA6" w:rsidP="00BB7BA6">
      <w:pPr>
        <w:rPr>
          <w:rFonts w:eastAsia="Times New Roman"/>
          <w:b/>
          <w:lang w:val="en-US"/>
        </w:rPr>
      </w:pPr>
    </w:p>
    <w:p w:rsidR="00BB7BA6" w:rsidRPr="006B6DD4" w:rsidRDefault="00BB7BA6" w:rsidP="00BB7BA6">
      <w:pPr>
        <w:jc w:val="both"/>
        <w:rPr>
          <w:rFonts w:eastAsia="Times New Roman"/>
          <w:b/>
          <w:lang w:val="en-US"/>
        </w:rPr>
      </w:pPr>
      <w:r w:rsidRPr="006B6DD4">
        <w:rPr>
          <w:rFonts w:eastAsia="Times New Roman"/>
          <w:b/>
          <w:lang w:val="en-US"/>
        </w:rPr>
        <w:t>S</w:t>
      </w:r>
      <w:r w:rsidR="00B16C94" w:rsidRPr="006B6DD4">
        <w:rPr>
          <w:rFonts w:eastAsia="Times New Roman"/>
          <w:b/>
          <w:lang w:val="en-US"/>
        </w:rPr>
        <w:fldChar w:fldCharType="begin"/>
      </w:r>
      <w:r w:rsidRPr="006B6DD4">
        <w:rPr>
          <w:rFonts w:eastAsia="Times New Roman"/>
          <w:b/>
          <w:lang w:val="en-US"/>
        </w:rPr>
        <w:instrText xml:space="preserve"> SEQ Tabla \* ARABIC </w:instrText>
      </w:r>
      <w:r w:rsidR="00B16C94" w:rsidRPr="006B6DD4">
        <w:rPr>
          <w:rFonts w:eastAsia="Times New Roman"/>
          <w:b/>
          <w:lang w:val="en-US"/>
        </w:rPr>
        <w:fldChar w:fldCharType="separate"/>
      </w:r>
      <w:r w:rsidRPr="006B6DD4">
        <w:rPr>
          <w:rFonts w:eastAsia="Times New Roman"/>
          <w:b/>
          <w:lang w:val="en-US"/>
        </w:rPr>
        <w:t>2</w:t>
      </w:r>
      <w:r w:rsidR="00B16C94" w:rsidRPr="006B6DD4">
        <w:rPr>
          <w:rFonts w:eastAsia="Times New Roman"/>
          <w:b/>
          <w:lang w:val="en-US"/>
        </w:rPr>
        <w:fldChar w:fldCharType="end"/>
      </w:r>
      <w:r w:rsidRPr="006B6DD4">
        <w:rPr>
          <w:rFonts w:eastAsia="Times New Roman"/>
          <w:b/>
          <w:lang w:val="en-US"/>
        </w:rPr>
        <w:t xml:space="preserve"> Table</w:t>
      </w:r>
      <w:r>
        <w:rPr>
          <w:rFonts w:eastAsia="Times New Roman"/>
          <w:b/>
          <w:lang w:val="en-US"/>
        </w:rPr>
        <w:t>:</w:t>
      </w:r>
      <w:r w:rsidRPr="006B6DD4">
        <w:rPr>
          <w:rFonts w:eastAsia="Times New Roman"/>
          <w:b/>
          <w:lang w:val="en-US"/>
        </w:rPr>
        <w:t xml:space="preserve"> </w:t>
      </w:r>
      <w:r w:rsidR="00FC18DD" w:rsidRPr="006B6DD4">
        <w:rPr>
          <w:rFonts w:eastAsia="Times New Roman"/>
          <w:b/>
          <w:lang w:val="en-US"/>
        </w:rPr>
        <w:t xml:space="preserve">Bone </w:t>
      </w:r>
      <w:r w:rsidR="00FC18DD">
        <w:rPr>
          <w:rFonts w:eastAsia="Times New Roman"/>
          <w:b/>
          <w:lang w:val="en-US"/>
        </w:rPr>
        <w:t>M</w:t>
      </w:r>
      <w:r w:rsidR="00FC18DD" w:rsidRPr="006B6DD4">
        <w:rPr>
          <w:rFonts w:eastAsia="Times New Roman"/>
          <w:b/>
          <w:lang w:val="en-US"/>
        </w:rPr>
        <w:t>arrow</w:t>
      </w:r>
      <w:r w:rsidR="00FC18DD">
        <w:rPr>
          <w:rFonts w:eastAsia="Times New Roman"/>
          <w:b/>
          <w:lang w:val="en-US"/>
        </w:rPr>
        <w:t xml:space="preserve"> </w:t>
      </w:r>
      <w:r w:rsidR="00FC18DD" w:rsidRPr="006B6DD4">
        <w:rPr>
          <w:rFonts w:eastAsia="Times New Roman"/>
          <w:b/>
          <w:lang w:val="en-US"/>
        </w:rPr>
        <w:t xml:space="preserve">Dose attributed to </w:t>
      </w:r>
      <w:r w:rsidR="00FC18DD">
        <w:rPr>
          <w:rFonts w:eastAsia="Times New Roman"/>
          <w:b/>
          <w:lang w:val="en-US"/>
        </w:rPr>
        <w:t xml:space="preserve">each </w:t>
      </w:r>
      <w:r w:rsidR="00FC18DD" w:rsidRPr="006B6DD4">
        <w:rPr>
          <w:rFonts w:eastAsia="Times New Roman"/>
          <w:b/>
          <w:lang w:val="en-US"/>
        </w:rPr>
        <w:t xml:space="preserve">CT scan </w:t>
      </w:r>
      <w:r w:rsidR="00FC18DD" w:rsidRPr="006B6DD4">
        <w:rPr>
          <w:rFonts w:eastAsia="Times New Roman"/>
          <w:b/>
          <w:lang w:val="en-US"/>
        </w:rPr>
        <w:t>according to sex, age and time period</w:t>
      </w:r>
    </w:p>
    <w:tbl>
      <w:tblPr>
        <w:tblW w:w="5101" w:type="pct"/>
        <w:tblInd w:w="-176" w:type="dxa"/>
        <w:tblLook w:val="04A0"/>
      </w:tblPr>
      <w:tblGrid>
        <w:gridCol w:w="1346"/>
        <w:gridCol w:w="715"/>
        <w:gridCol w:w="715"/>
        <w:gridCol w:w="809"/>
        <w:gridCol w:w="809"/>
        <w:gridCol w:w="732"/>
        <w:gridCol w:w="713"/>
        <w:gridCol w:w="713"/>
        <w:gridCol w:w="808"/>
        <w:gridCol w:w="808"/>
        <w:gridCol w:w="728"/>
      </w:tblGrid>
      <w:tr w:rsidR="00BB7BA6" w:rsidRPr="002D548E" w:rsidTr="002F4F76">
        <w:trPr>
          <w:trHeight w:val="300"/>
        </w:trPr>
        <w:tc>
          <w:tcPr>
            <w:tcW w:w="835" w:type="pct"/>
            <w:tcBorders>
              <w:top w:val="single" w:sz="4" w:space="0" w:color="auto"/>
              <w:bottom w:val="single" w:sz="4" w:space="0" w:color="auto"/>
            </w:tcBorders>
            <w:noWrap/>
            <w:hideMark/>
          </w:tcPr>
          <w:p w:rsidR="00BB7BA6" w:rsidRPr="002D548E" w:rsidRDefault="00BB7BA6" w:rsidP="002F4F76">
            <w:pPr>
              <w:spacing w:after="0" w:line="240" w:lineRule="auto"/>
              <w:jc w:val="both"/>
              <w:rPr>
                <w:rFonts w:eastAsia="Times New Roman" w:cs="Calibri"/>
                <w:b/>
                <w:color w:val="000000"/>
                <w:lang w:val="en-US" w:eastAsia="es-ES"/>
              </w:rPr>
            </w:pPr>
          </w:p>
        </w:tc>
        <w:tc>
          <w:tcPr>
            <w:tcW w:w="2085" w:type="pct"/>
            <w:gridSpan w:val="5"/>
            <w:tcBorders>
              <w:top w:val="single" w:sz="4" w:space="0" w:color="auto"/>
              <w:bottom w:val="single" w:sz="4" w:space="0" w:color="auto"/>
            </w:tcBorders>
            <w:noWrap/>
            <w:hideMark/>
          </w:tcPr>
          <w:p w:rsidR="00BB7BA6" w:rsidRPr="002D548E" w:rsidRDefault="00BB7BA6" w:rsidP="002F4F76">
            <w:pPr>
              <w:spacing w:after="0" w:line="240" w:lineRule="auto"/>
              <w:jc w:val="both"/>
              <w:rPr>
                <w:rFonts w:eastAsia="Times New Roman" w:cs="Calibri"/>
                <w:b/>
                <w:color w:val="000000"/>
                <w:lang w:val="en-US" w:eastAsia="es-ES"/>
              </w:rPr>
            </w:pPr>
            <w:r w:rsidRPr="002D548E">
              <w:rPr>
                <w:rFonts w:eastAsia="Times New Roman" w:cs="Calibri"/>
                <w:b/>
                <w:color w:val="000000"/>
                <w:lang w:val="en-US" w:eastAsia="es-ES"/>
              </w:rPr>
              <w:t>male</w:t>
            </w:r>
          </w:p>
        </w:tc>
        <w:tc>
          <w:tcPr>
            <w:tcW w:w="2080" w:type="pct"/>
            <w:gridSpan w:val="5"/>
            <w:tcBorders>
              <w:top w:val="single" w:sz="4" w:space="0" w:color="auto"/>
              <w:bottom w:val="single" w:sz="4" w:space="0" w:color="auto"/>
            </w:tcBorders>
            <w:noWrap/>
            <w:hideMark/>
          </w:tcPr>
          <w:p w:rsidR="00BB7BA6" w:rsidRPr="002D548E" w:rsidRDefault="00BB7BA6" w:rsidP="002F4F76">
            <w:pPr>
              <w:spacing w:after="0" w:line="240" w:lineRule="auto"/>
              <w:jc w:val="both"/>
              <w:rPr>
                <w:rFonts w:eastAsia="Times New Roman" w:cs="Calibri"/>
                <w:b/>
                <w:color w:val="000000"/>
                <w:lang w:val="en-US" w:eastAsia="es-ES"/>
              </w:rPr>
            </w:pPr>
            <w:r w:rsidRPr="002D548E">
              <w:rPr>
                <w:rFonts w:eastAsia="Times New Roman" w:cs="Calibri"/>
                <w:b/>
                <w:color w:val="000000"/>
                <w:lang w:val="en-US" w:eastAsia="es-ES"/>
              </w:rPr>
              <w:t>female </w:t>
            </w:r>
          </w:p>
        </w:tc>
      </w:tr>
      <w:tr w:rsidR="00BB7BA6" w:rsidRPr="002D548E" w:rsidTr="002F4F76">
        <w:trPr>
          <w:trHeight w:val="300"/>
        </w:trPr>
        <w:tc>
          <w:tcPr>
            <w:tcW w:w="835" w:type="pct"/>
            <w:tcBorders>
              <w:top w:val="single" w:sz="4" w:space="0" w:color="auto"/>
              <w:bottom w:val="single" w:sz="4" w:space="0" w:color="auto"/>
            </w:tcBorders>
            <w:noWrap/>
            <w:hideMark/>
          </w:tcPr>
          <w:p w:rsidR="00BB7BA6" w:rsidRPr="002D548E" w:rsidRDefault="00BB7BA6" w:rsidP="002F4F76">
            <w:pPr>
              <w:spacing w:after="0" w:line="240" w:lineRule="auto"/>
              <w:jc w:val="both"/>
              <w:rPr>
                <w:rFonts w:eastAsia="Times New Roman" w:cs="Calibri"/>
                <w:b/>
                <w:color w:val="000000"/>
                <w:lang w:val="en-US" w:eastAsia="es-ES"/>
              </w:rPr>
            </w:pPr>
            <w:r w:rsidRPr="002D548E">
              <w:rPr>
                <w:rFonts w:eastAsia="Times New Roman" w:cs="Calibri"/>
                <w:b/>
                <w:color w:val="000000"/>
                <w:lang w:val="en-US" w:eastAsia="es-ES"/>
              </w:rPr>
              <w:t>age</w:t>
            </w:r>
          </w:p>
        </w:tc>
        <w:tc>
          <w:tcPr>
            <w:tcW w:w="388" w:type="pct"/>
            <w:tcBorders>
              <w:top w:val="single" w:sz="4" w:space="0" w:color="auto"/>
              <w:bottom w:val="single" w:sz="4" w:space="0" w:color="auto"/>
            </w:tcBorders>
            <w:noWrap/>
            <w:hideMark/>
          </w:tcPr>
          <w:p w:rsidR="00BB7BA6" w:rsidRPr="002D548E" w:rsidRDefault="00BB7BA6" w:rsidP="002F4F76">
            <w:pPr>
              <w:spacing w:after="0" w:line="240" w:lineRule="auto"/>
              <w:jc w:val="both"/>
              <w:rPr>
                <w:rFonts w:eastAsia="Times New Roman" w:cs="Calibri"/>
                <w:b/>
                <w:color w:val="000000"/>
                <w:lang w:val="en-US" w:eastAsia="es-ES"/>
              </w:rPr>
            </w:pPr>
            <w:r w:rsidRPr="002D548E">
              <w:rPr>
                <w:rFonts w:eastAsia="Times New Roman" w:cs="Calibri"/>
                <w:b/>
                <w:color w:val="000000"/>
                <w:lang w:val="en-US" w:eastAsia="es-ES"/>
              </w:rPr>
              <w:t>0-4</w:t>
            </w:r>
          </w:p>
        </w:tc>
        <w:tc>
          <w:tcPr>
            <w:tcW w:w="388" w:type="pct"/>
            <w:tcBorders>
              <w:top w:val="single" w:sz="4" w:space="0" w:color="auto"/>
              <w:bottom w:val="single" w:sz="4" w:space="0" w:color="auto"/>
            </w:tcBorders>
            <w:noWrap/>
            <w:hideMark/>
          </w:tcPr>
          <w:p w:rsidR="00BB7BA6" w:rsidRPr="002D548E" w:rsidRDefault="00BB7BA6" w:rsidP="002F4F76">
            <w:pPr>
              <w:spacing w:after="0" w:line="240" w:lineRule="auto"/>
              <w:jc w:val="both"/>
              <w:rPr>
                <w:rFonts w:eastAsia="Times New Roman" w:cs="Calibri"/>
                <w:b/>
                <w:color w:val="000000"/>
                <w:lang w:val="en-US" w:eastAsia="es-ES"/>
              </w:rPr>
            </w:pPr>
            <w:r w:rsidRPr="002D548E">
              <w:rPr>
                <w:rFonts w:eastAsia="Times New Roman" w:cs="Calibri"/>
                <w:b/>
                <w:color w:val="000000"/>
                <w:lang w:val="en-US" w:eastAsia="es-ES"/>
              </w:rPr>
              <w:t>5-9</w:t>
            </w:r>
          </w:p>
        </w:tc>
        <w:tc>
          <w:tcPr>
            <w:tcW w:w="455" w:type="pct"/>
            <w:tcBorders>
              <w:top w:val="single" w:sz="4" w:space="0" w:color="auto"/>
              <w:bottom w:val="single" w:sz="4" w:space="0" w:color="auto"/>
            </w:tcBorders>
            <w:noWrap/>
            <w:hideMark/>
          </w:tcPr>
          <w:p w:rsidR="00BB7BA6" w:rsidRPr="002D548E" w:rsidRDefault="00BB7BA6" w:rsidP="002F4F76">
            <w:pPr>
              <w:spacing w:after="0" w:line="240" w:lineRule="auto"/>
              <w:jc w:val="both"/>
              <w:rPr>
                <w:rFonts w:eastAsia="Times New Roman" w:cs="Calibri"/>
                <w:b/>
                <w:color w:val="000000"/>
                <w:lang w:val="en-US" w:eastAsia="es-ES"/>
              </w:rPr>
            </w:pPr>
            <w:r w:rsidRPr="002D548E">
              <w:rPr>
                <w:rFonts w:eastAsia="Times New Roman" w:cs="Calibri"/>
                <w:b/>
                <w:color w:val="000000"/>
                <w:lang w:val="en-US" w:eastAsia="es-ES"/>
              </w:rPr>
              <w:t>10-14</w:t>
            </w:r>
          </w:p>
        </w:tc>
        <w:tc>
          <w:tcPr>
            <w:tcW w:w="455" w:type="pct"/>
            <w:tcBorders>
              <w:top w:val="single" w:sz="4" w:space="0" w:color="auto"/>
              <w:bottom w:val="single" w:sz="4" w:space="0" w:color="auto"/>
            </w:tcBorders>
            <w:noWrap/>
            <w:hideMark/>
          </w:tcPr>
          <w:p w:rsidR="00BB7BA6" w:rsidRPr="002D548E" w:rsidRDefault="00BB7BA6" w:rsidP="002F4F76">
            <w:pPr>
              <w:spacing w:after="0" w:line="240" w:lineRule="auto"/>
              <w:jc w:val="both"/>
              <w:rPr>
                <w:rFonts w:eastAsia="Times New Roman" w:cs="Calibri"/>
                <w:b/>
                <w:color w:val="000000"/>
                <w:lang w:val="en-US" w:eastAsia="es-ES"/>
              </w:rPr>
            </w:pPr>
            <w:r w:rsidRPr="002D548E">
              <w:rPr>
                <w:rFonts w:eastAsia="Times New Roman" w:cs="Calibri"/>
                <w:b/>
                <w:color w:val="000000"/>
                <w:lang w:val="en-US" w:eastAsia="es-ES"/>
              </w:rPr>
              <w:t>15-19</w:t>
            </w:r>
          </w:p>
        </w:tc>
        <w:tc>
          <w:tcPr>
            <w:tcW w:w="400" w:type="pct"/>
            <w:tcBorders>
              <w:top w:val="single" w:sz="4" w:space="0" w:color="auto"/>
              <w:bottom w:val="single" w:sz="4" w:space="0" w:color="auto"/>
            </w:tcBorders>
            <w:noWrap/>
            <w:hideMark/>
          </w:tcPr>
          <w:p w:rsidR="00BB7BA6" w:rsidRPr="002D548E" w:rsidRDefault="00BB7BA6" w:rsidP="002F4F76">
            <w:pPr>
              <w:spacing w:after="0" w:line="240" w:lineRule="auto"/>
              <w:jc w:val="both"/>
              <w:rPr>
                <w:rFonts w:eastAsia="Times New Roman" w:cs="Calibri"/>
                <w:b/>
                <w:color w:val="000000"/>
                <w:lang w:val="en-US" w:eastAsia="es-ES"/>
              </w:rPr>
            </w:pPr>
            <w:r w:rsidRPr="002D548E">
              <w:rPr>
                <w:rFonts w:eastAsia="Times New Roman" w:cs="Calibri"/>
                <w:b/>
                <w:color w:val="000000"/>
                <w:lang w:val="en-US" w:eastAsia="es-ES"/>
              </w:rPr>
              <w:t>&gt;20</w:t>
            </w:r>
          </w:p>
        </w:tc>
        <w:tc>
          <w:tcPr>
            <w:tcW w:w="387" w:type="pct"/>
            <w:tcBorders>
              <w:top w:val="single" w:sz="4" w:space="0" w:color="auto"/>
              <w:bottom w:val="single" w:sz="4" w:space="0" w:color="auto"/>
            </w:tcBorders>
            <w:noWrap/>
            <w:hideMark/>
          </w:tcPr>
          <w:p w:rsidR="00BB7BA6" w:rsidRPr="002D548E" w:rsidRDefault="00BB7BA6" w:rsidP="002F4F76">
            <w:pPr>
              <w:spacing w:after="0" w:line="240" w:lineRule="auto"/>
              <w:jc w:val="both"/>
              <w:rPr>
                <w:rFonts w:eastAsia="Times New Roman" w:cs="Calibri"/>
                <w:b/>
                <w:color w:val="000000"/>
                <w:lang w:val="en-US" w:eastAsia="es-ES"/>
              </w:rPr>
            </w:pPr>
            <w:r w:rsidRPr="002D548E">
              <w:rPr>
                <w:rFonts w:eastAsia="Times New Roman" w:cs="Calibri"/>
                <w:b/>
                <w:color w:val="000000"/>
                <w:lang w:val="en-US" w:eastAsia="es-ES"/>
              </w:rPr>
              <w:t>0-4</w:t>
            </w:r>
          </w:p>
        </w:tc>
        <w:tc>
          <w:tcPr>
            <w:tcW w:w="387" w:type="pct"/>
            <w:tcBorders>
              <w:top w:val="single" w:sz="4" w:space="0" w:color="auto"/>
              <w:bottom w:val="single" w:sz="4" w:space="0" w:color="auto"/>
            </w:tcBorders>
            <w:noWrap/>
            <w:hideMark/>
          </w:tcPr>
          <w:p w:rsidR="00BB7BA6" w:rsidRPr="002D548E" w:rsidRDefault="00BB7BA6" w:rsidP="002F4F76">
            <w:pPr>
              <w:spacing w:after="0" w:line="240" w:lineRule="auto"/>
              <w:jc w:val="both"/>
              <w:rPr>
                <w:rFonts w:eastAsia="Times New Roman" w:cs="Calibri"/>
                <w:b/>
                <w:color w:val="000000"/>
                <w:lang w:val="en-US" w:eastAsia="es-ES"/>
              </w:rPr>
            </w:pPr>
            <w:r w:rsidRPr="002D548E">
              <w:rPr>
                <w:rFonts w:eastAsia="Times New Roman" w:cs="Calibri"/>
                <w:b/>
                <w:color w:val="000000"/>
                <w:lang w:val="en-US" w:eastAsia="es-ES"/>
              </w:rPr>
              <w:t>5-9</w:t>
            </w:r>
          </w:p>
        </w:tc>
        <w:tc>
          <w:tcPr>
            <w:tcW w:w="454" w:type="pct"/>
            <w:tcBorders>
              <w:top w:val="single" w:sz="4" w:space="0" w:color="auto"/>
              <w:bottom w:val="single" w:sz="4" w:space="0" w:color="auto"/>
            </w:tcBorders>
            <w:noWrap/>
            <w:hideMark/>
          </w:tcPr>
          <w:p w:rsidR="00BB7BA6" w:rsidRPr="002D548E" w:rsidRDefault="00BB7BA6" w:rsidP="002F4F76">
            <w:pPr>
              <w:spacing w:after="0" w:line="240" w:lineRule="auto"/>
              <w:jc w:val="both"/>
              <w:rPr>
                <w:rFonts w:eastAsia="Times New Roman" w:cs="Calibri"/>
                <w:b/>
                <w:color w:val="000000"/>
                <w:lang w:val="en-US" w:eastAsia="es-ES"/>
              </w:rPr>
            </w:pPr>
            <w:r w:rsidRPr="002D548E">
              <w:rPr>
                <w:rFonts w:eastAsia="Times New Roman" w:cs="Calibri"/>
                <w:b/>
                <w:color w:val="000000"/>
                <w:lang w:val="en-US" w:eastAsia="es-ES"/>
              </w:rPr>
              <w:t>10-14</w:t>
            </w:r>
          </w:p>
        </w:tc>
        <w:tc>
          <w:tcPr>
            <w:tcW w:w="454" w:type="pct"/>
            <w:tcBorders>
              <w:top w:val="single" w:sz="4" w:space="0" w:color="auto"/>
              <w:bottom w:val="single" w:sz="4" w:space="0" w:color="auto"/>
            </w:tcBorders>
            <w:noWrap/>
            <w:hideMark/>
          </w:tcPr>
          <w:p w:rsidR="00BB7BA6" w:rsidRPr="002D548E" w:rsidRDefault="00BB7BA6" w:rsidP="002F4F76">
            <w:pPr>
              <w:spacing w:after="0" w:line="240" w:lineRule="auto"/>
              <w:jc w:val="both"/>
              <w:rPr>
                <w:rFonts w:eastAsia="Times New Roman" w:cs="Calibri"/>
                <w:b/>
                <w:color w:val="000000"/>
                <w:lang w:val="en-US" w:eastAsia="es-ES"/>
              </w:rPr>
            </w:pPr>
            <w:r w:rsidRPr="002D548E">
              <w:rPr>
                <w:rFonts w:eastAsia="Times New Roman" w:cs="Calibri"/>
                <w:b/>
                <w:color w:val="000000"/>
                <w:lang w:val="en-US" w:eastAsia="es-ES"/>
              </w:rPr>
              <w:t>15-19</w:t>
            </w:r>
          </w:p>
        </w:tc>
        <w:tc>
          <w:tcPr>
            <w:tcW w:w="397" w:type="pct"/>
            <w:tcBorders>
              <w:top w:val="single" w:sz="4" w:space="0" w:color="auto"/>
              <w:bottom w:val="single" w:sz="4" w:space="0" w:color="auto"/>
            </w:tcBorders>
            <w:noWrap/>
            <w:hideMark/>
          </w:tcPr>
          <w:p w:rsidR="00BB7BA6" w:rsidRPr="002D548E" w:rsidRDefault="00BB7BA6" w:rsidP="002F4F76">
            <w:pPr>
              <w:spacing w:after="0" w:line="240" w:lineRule="auto"/>
              <w:jc w:val="both"/>
              <w:rPr>
                <w:rFonts w:eastAsia="Times New Roman" w:cs="Calibri"/>
                <w:b/>
                <w:color w:val="000000"/>
                <w:lang w:val="en-US" w:eastAsia="es-ES"/>
              </w:rPr>
            </w:pPr>
            <w:r w:rsidRPr="002D548E">
              <w:rPr>
                <w:rFonts w:eastAsia="Times New Roman" w:cs="Calibri"/>
                <w:b/>
                <w:color w:val="000000"/>
                <w:lang w:val="en-US" w:eastAsia="es-ES"/>
              </w:rPr>
              <w:t>&gt;20</w:t>
            </w:r>
          </w:p>
        </w:tc>
      </w:tr>
      <w:tr w:rsidR="00BB7BA6" w:rsidRPr="002D548E" w:rsidTr="002F4F76">
        <w:trPr>
          <w:trHeight w:val="300"/>
        </w:trPr>
        <w:tc>
          <w:tcPr>
            <w:tcW w:w="835" w:type="pct"/>
            <w:tcBorders>
              <w:top w:val="single" w:sz="4" w:space="0" w:color="auto"/>
            </w:tcBorders>
            <w:noWrap/>
            <w:hideMark/>
          </w:tcPr>
          <w:p w:rsidR="00BB7BA6" w:rsidRPr="002D548E" w:rsidRDefault="00BB7BA6" w:rsidP="002F4F76">
            <w:pPr>
              <w:spacing w:after="0" w:line="240" w:lineRule="auto"/>
              <w:jc w:val="both"/>
              <w:rPr>
                <w:rFonts w:eastAsia="Times New Roman" w:cs="Calibri"/>
                <w:b/>
                <w:color w:val="000000"/>
                <w:sz w:val="20"/>
                <w:szCs w:val="20"/>
                <w:lang w:val="en-US" w:eastAsia="es-ES"/>
              </w:rPr>
            </w:pPr>
            <w:r w:rsidRPr="002D548E">
              <w:rPr>
                <w:rFonts w:eastAsia="Times New Roman" w:cs="Calibri"/>
                <w:b/>
                <w:color w:val="000000"/>
                <w:sz w:val="20"/>
                <w:szCs w:val="20"/>
                <w:lang w:val="en-US" w:eastAsia="es-ES"/>
              </w:rPr>
              <w:t xml:space="preserve">CT-scan </w:t>
            </w:r>
            <w:r w:rsidRPr="002D548E">
              <w:rPr>
                <w:rFonts w:eastAsia="Times New Roman" w:cs="Calibri"/>
                <w:b/>
                <w:color w:val="000000"/>
                <w:sz w:val="18"/>
                <w:szCs w:val="18"/>
                <w:lang w:val="en-US" w:eastAsia="es-ES"/>
              </w:rPr>
              <w:t>before 2001</w:t>
            </w:r>
            <w:r w:rsidRPr="002D548E">
              <w:rPr>
                <w:rFonts w:eastAsia="Times New Roman" w:cs="Calibri"/>
                <w:b/>
                <w:color w:val="000000"/>
                <w:sz w:val="18"/>
                <w:szCs w:val="18"/>
                <w:vertAlign w:val="superscript"/>
                <w:lang w:val="en-US" w:eastAsia="es-ES"/>
              </w:rPr>
              <w:t>a</w:t>
            </w:r>
          </w:p>
        </w:tc>
        <w:tc>
          <w:tcPr>
            <w:tcW w:w="388" w:type="pct"/>
            <w:tcBorders>
              <w:top w:val="single" w:sz="4" w:space="0" w:color="auto"/>
            </w:tcBorders>
            <w:noWrap/>
            <w:vAlign w:val="bottom"/>
            <w:hideMark/>
          </w:tcPr>
          <w:p w:rsidR="00BB7BA6" w:rsidRPr="002D548E" w:rsidRDefault="00BB7BA6" w:rsidP="002F4F76">
            <w:pPr>
              <w:spacing w:after="0" w:line="240" w:lineRule="auto"/>
              <w:jc w:val="both"/>
              <w:rPr>
                <w:lang w:val="en-US"/>
              </w:rPr>
            </w:pPr>
            <w:r w:rsidRPr="002D548E">
              <w:rPr>
                <w:lang w:val="en-US"/>
              </w:rPr>
              <w:t>6.37</w:t>
            </w:r>
          </w:p>
        </w:tc>
        <w:tc>
          <w:tcPr>
            <w:tcW w:w="388" w:type="pct"/>
            <w:tcBorders>
              <w:top w:val="single" w:sz="4" w:space="0" w:color="auto"/>
            </w:tcBorders>
            <w:noWrap/>
            <w:vAlign w:val="bottom"/>
            <w:hideMark/>
          </w:tcPr>
          <w:p w:rsidR="00BB7BA6" w:rsidRPr="002D548E" w:rsidRDefault="00BB7BA6" w:rsidP="002F4F76">
            <w:pPr>
              <w:spacing w:after="0" w:line="240" w:lineRule="auto"/>
              <w:jc w:val="both"/>
              <w:rPr>
                <w:lang w:val="en-US"/>
              </w:rPr>
            </w:pPr>
            <w:r w:rsidRPr="002D548E">
              <w:rPr>
                <w:lang w:val="en-US"/>
              </w:rPr>
              <w:t>6.68</w:t>
            </w:r>
          </w:p>
        </w:tc>
        <w:tc>
          <w:tcPr>
            <w:tcW w:w="455" w:type="pct"/>
            <w:tcBorders>
              <w:top w:val="single" w:sz="4" w:space="0" w:color="auto"/>
            </w:tcBorders>
            <w:noWrap/>
            <w:vAlign w:val="bottom"/>
            <w:hideMark/>
          </w:tcPr>
          <w:p w:rsidR="00BB7BA6" w:rsidRPr="002D548E" w:rsidRDefault="00BB7BA6" w:rsidP="002F4F76">
            <w:pPr>
              <w:spacing w:after="0" w:line="240" w:lineRule="auto"/>
              <w:jc w:val="both"/>
              <w:rPr>
                <w:lang w:val="en-US"/>
              </w:rPr>
            </w:pPr>
            <w:r w:rsidRPr="002D548E">
              <w:rPr>
                <w:lang w:val="en-US"/>
              </w:rPr>
              <w:t>4.84</w:t>
            </w:r>
          </w:p>
        </w:tc>
        <w:tc>
          <w:tcPr>
            <w:tcW w:w="455" w:type="pct"/>
            <w:tcBorders>
              <w:top w:val="single" w:sz="4" w:space="0" w:color="auto"/>
            </w:tcBorders>
            <w:noWrap/>
            <w:vAlign w:val="bottom"/>
            <w:hideMark/>
          </w:tcPr>
          <w:p w:rsidR="00BB7BA6" w:rsidRPr="002D548E" w:rsidRDefault="00BB7BA6" w:rsidP="002F4F76">
            <w:pPr>
              <w:spacing w:after="0" w:line="240" w:lineRule="auto"/>
              <w:jc w:val="both"/>
              <w:rPr>
                <w:lang w:val="en-US"/>
              </w:rPr>
            </w:pPr>
            <w:r w:rsidRPr="002D548E">
              <w:rPr>
                <w:lang w:val="en-US"/>
              </w:rPr>
              <w:t>3.73</w:t>
            </w:r>
          </w:p>
        </w:tc>
        <w:tc>
          <w:tcPr>
            <w:tcW w:w="400" w:type="pct"/>
            <w:tcBorders>
              <w:top w:val="single" w:sz="4" w:space="0" w:color="auto"/>
            </w:tcBorders>
            <w:noWrap/>
            <w:vAlign w:val="bottom"/>
            <w:hideMark/>
          </w:tcPr>
          <w:p w:rsidR="00BB7BA6" w:rsidRPr="002D548E" w:rsidRDefault="00BB7BA6" w:rsidP="002F4F76">
            <w:pPr>
              <w:spacing w:after="0" w:line="240" w:lineRule="auto"/>
              <w:jc w:val="both"/>
              <w:rPr>
                <w:lang w:val="en-US"/>
              </w:rPr>
            </w:pPr>
            <w:r w:rsidRPr="002D548E">
              <w:rPr>
                <w:lang w:val="en-US"/>
              </w:rPr>
              <w:t>2.53</w:t>
            </w:r>
          </w:p>
        </w:tc>
        <w:tc>
          <w:tcPr>
            <w:tcW w:w="387" w:type="pct"/>
            <w:tcBorders>
              <w:top w:val="single" w:sz="4" w:space="0" w:color="auto"/>
            </w:tcBorders>
            <w:noWrap/>
            <w:vAlign w:val="bottom"/>
            <w:hideMark/>
          </w:tcPr>
          <w:p w:rsidR="00BB7BA6" w:rsidRPr="002D548E" w:rsidRDefault="00BB7BA6" w:rsidP="002F4F76">
            <w:pPr>
              <w:spacing w:after="0" w:line="240" w:lineRule="auto"/>
              <w:jc w:val="both"/>
              <w:rPr>
                <w:lang w:val="en-US"/>
              </w:rPr>
            </w:pPr>
            <w:r w:rsidRPr="002D548E">
              <w:rPr>
                <w:lang w:val="en-US"/>
              </w:rPr>
              <w:t>6.37</w:t>
            </w:r>
          </w:p>
        </w:tc>
        <w:tc>
          <w:tcPr>
            <w:tcW w:w="387" w:type="pct"/>
            <w:tcBorders>
              <w:top w:val="single" w:sz="4" w:space="0" w:color="auto"/>
            </w:tcBorders>
            <w:noWrap/>
            <w:vAlign w:val="bottom"/>
            <w:hideMark/>
          </w:tcPr>
          <w:p w:rsidR="00BB7BA6" w:rsidRPr="002D548E" w:rsidRDefault="00BB7BA6" w:rsidP="002F4F76">
            <w:pPr>
              <w:spacing w:after="0" w:line="240" w:lineRule="auto"/>
              <w:jc w:val="both"/>
              <w:rPr>
                <w:lang w:val="en-US"/>
              </w:rPr>
            </w:pPr>
            <w:r w:rsidRPr="002D548E">
              <w:rPr>
                <w:lang w:val="en-US"/>
              </w:rPr>
              <w:t>6.80</w:t>
            </w:r>
          </w:p>
        </w:tc>
        <w:tc>
          <w:tcPr>
            <w:tcW w:w="454" w:type="pct"/>
            <w:tcBorders>
              <w:top w:val="single" w:sz="4" w:space="0" w:color="auto"/>
            </w:tcBorders>
            <w:noWrap/>
            <w:vAlign w:val="bottom"/>
            <w:hideMark/>
          </w:tcPr>
          <w:p w:rsidR="00BB7BA6" w:rsidRPr="002D548E" w:rsidRDefault="00BB7BA6" w:rsidP="002F4F76">
            <w:pPr>
              <w:spacing w:after="0" w:line="240" w:lineRule="auto"/>
              <w:jc w:val="both"/>
              <w:rPr>
                <w:lang w:val="en-US"/>
              </w:rPr>
            </w:pPr>
            <w:r w:rsidRPr="002D548E">
              <w:rPr>
                <w:lang w:val="en-US"/>
              </w:rPr>
              <w:t>4.84</w:t>
            </w:r>
          </w:p>
        </w:tc>
        <w:tc>
          <w:tcPr>
            <w:tcW w:w="454" w:type="pct"/>
            <w:tcBorders>
              <w:top w:val="single" w:sz="4" w:space="0" w:color="auto"/>
            </w:tcBorders>
            <w:noWrap/>
            <w:vAlign w:val="bottom"/>
            <w:hideMark/>
          </w:tcPr>
          <w:p w:rsidR="00BB7BA6" w:rsidRPr="002D548E" w:rsidRDefault="00BB7BA6" w:rsidP="002F4F76">
            <w:pPr>
              <w:spacing w:after="0" w:line="240" w:lineRule="auto"/>
              <w:jc w:val="both"/>
              <w:rPr>
                <w:lang w:val="en-US"/>
              </w:rPr>
            </w:pPr>
            <w:r w:rsidRPr="002D548E">
              <w:rPr>
                <w:lang w:val="en-US"/>
              </w:rPr>
              <w:t>5.03</w:t>
            </w:r>
          </w:p>
        </w:tc>
        <w:tc>
          <w:tcPr>
            <w:tcW w:w="397" w:type="pct"/>
            <w:tcBorders>
              <w:top w:val="single" w:sz="4" w:space="0" w:color="auto"/>
            </w:tcBorders>
            <w:noWrap/>
            <w:vAlign w:val="bottom"/>
            <w:hideMark/>
          </w:tcPr>
          <w:p w:rsidR="00BB7BA6" w:rsidRPr="002D548E" w:rsidRDefault="00BB7BA6" w:rsidP="002F4F76">
            <w:pPr>
              <w:spacing w:after="0" w:line="240" w:lineRule="auto"/>
              <w:jc w:val="both"/>
              <w:rPr>
                <w:lang w:val="en-US"/>
              </w:rPr>
            </w:pPr>
            <w:r w:rsidRPr="002D548E">
              <w:rPr>
                <w:lang w:val="en-US"/>
              </w:rPr>
              <w:t>3.01</w:t>
            </w:r>
          </w:p>
        </w:tc>
      </w:tr>
      <w:tr w:rsidR="00BB7BA6" w:rsidRPr="002D548E" w:rsidTr="002F4F76">
        <w:trPr>
          <w:trHeight w:val="300"/>
        </w:trPr>
        <w:tc>
          <w:tcPr>
            <w:tcW w:w="835" w:type="pct"/>
            <w:tcBorders>
              <w:bottom w:val="single" w:sz="4" w:space="0" w:color="auto"/>
            </w:tcBorders>
            <w:noWrap/>
            <w:hideMark/>
          </w:tcPr>
          <w:p w:rsidR="00BB7BA6" w:rsidRPr="002D548E" w:rsidRDefault="00BB7BA6" w:rsidP="002F4F76">
            <w:pPr>
              <w:spacing w:after="0" w:line="240" w:lineRule="auto"/>
              <w:jc w:val="both"/>
              <w:rPr>
                <w:rFonts w:eastAsia="Times New Roman" w:cs="Calibri"/>
                <w:b/>
                <w:color w:val="000000"/>
                <w:sz w:val="18"/>
                <w:szCs w:val="18"/>
                <w:lang w:val="en-US" w:eastAsia="es-ES"/>
              </w:rPr>
            </w:pPr>
            <w:r w:rsidRPr="002D548E">
              <w:rPr>
                <w:rFonts w:eastAsia="Times New Roman" w:cs="Calibri"/>
                <w:b/>
                <w:color w:val="000000"/>
                <w:sz w:val="18"/>
                <w:szCs w:val="18"/>
                <w:lang w:val="en-US" w:eastAsia="es-ES"/>
              </w:rPr>
              <w:t>after 2001</w:t>
            </w:r>
            <w:r w:rsidRPr="002D548E">
              <w:rPr>
                <w:rFonts w:eastAsia="Times New Roman" w:cs="Calibri"/>
                <w:b/>
                <w:color w:val="000000"/>
                <w:sz w:val="18"/>
                <w:szCs w:val="18"/>
                <w:vertAlign w:val="superscript"/>
                <w:lang w:val="en-US" w:eastAsia="es-ES"/>
              </w:rPr>
              <w:t>a</w:t>
            </w:r>
          </w:p>
        </w:tc>
        <w:tc>
          <w:tcPr>
            <w:tcW w:w="388" w:type="pct"/>
            <w:tcBorders>
              <w:bottom w:val="single" w:sz="4" w:space="0" w:color="auto"/>
            </w:tcBorders>
            <w:noWrap/>
            <w:hideMark/>
          </w:tcPr>
          <w:p w:rsidR="00BB7BA6" w:rsidRPr="002D548E" w:rsidRDefault="00BB7BA6" w:rsidP="002F4F76">
            <w:pPr>
              <w:spacing w:after="0" w:line="240" w:lineRule="auto"/>
              <w:jc w:val="both"/>
              <w:rPr>
                <w:lang w:val="en-US"/>
              </w:rPr>
            </w:pPr>
            <w:r w:rsidRPr="002D548E">
              <w:rPr>
                <w:lang w:val="en-US"/>
              </w:rPr>
              <w:t>NA</w:t>
            </w:r>
          </w:p>
        </w:tc>
        <w:tc>
          <w:tcPr>
            <w:tcW w:w="388" w:type="pct"/>
            <w:tcBorders>
              <w:bottom w:val="single" w:sz="4" w:space="0" w:color="auto"/>
            </w:tcBorders>
            <w:noWrap/>
            <w:hideMark/>
          </w:tcPr>
          <w:p w:rsidR="00BB7BA6" w:rsidRPr="002D548E" w:rsidRDefault="00BB7BA6" w:rsidP="002F4F76">
            <w:pPr>
              <w:spacing w:after="0" w:line="240" w:lineRule="auto"/>
              <w:jc w:val="both"/>
              <w:rPr>
                <w:lang w:val="en-US"/>
              </w:rPr>
            </w:pPr>
            <w:r w:rsidRPr="002D548E">
              <w:rPr>
                <w:lang w:val="en-US"/>
              </w:rPr>
              <w:t>NA</w:t>
            </w:r>
          </w:p>
        </w:tc>
        <w:tc>
          <w:tcPr>
            <w:tcW w:w="455" w:type="pct"/>
            <w:tcBorders>
              <w:bottom w:val="single" w:sz="4" w:space="0" w:color="auto"/>
            </w:tcBorders>
            <w:noWrap/>
            <w:hideMark/>
          </w:tcPr>
          <w:p w:rsidR="00BB7BA6" w:rsidRPr="002D548E" w:rsidRDefault="00BB7BA6" w:rsidP="002F4F76">
            <w:pPr>
              <w:spacing w:after="0" w:line="240" w:lineRule="auto"/>
              <w:jc w:val="both"/>
              <w:rPr>
                <w:lang w:val="en-US"/>
              </w:rPr>
            </w:pPr>
            <w:r w:rsidRPr="002D548E">
              <w:rPr>
                <w:lang w:val="en-US"/>
              </w:rPr>
              <w:t>NA</w:t>
            </w:r>
          </w:p>
        </w:tc>
        <w:tc>
          <w:tcPr>
            <w:tcW w:w="455" w:type="pct"/>
            <w:tcBorders>
              <w:bottom w:val="single" w:sz="4" w:space="0" w:color="auto"/>
            </w:tcBorders>
            <w:noWrap/>
            <w:hideMark/>
          </w:tcPr>
          <w:p w:rsidR="00BB7BA6" w:rsidRPr="002D548E" w:rsidRDefault="00BB7BA6" w:rsidP="002F4F76">
            <w:pPr>
              <w:spacing w:after="0" w:line="240" w:lineRule="auto"/>
              <w:jc w:val="both"/>
              <w:rPr>
                <w:lang w:val="en-US"/>
              </w:rPr>
            </w:pPr>
            <w:r w:rsidRPr="002D548E">
              <w:rPr>
                <w:lang w:val="en-US"/>
              </w:rPr>
              <w:t>NA</w:t>
            </w:r>
          </w:p>
        </w:tc>
        <w:tc>
          <w:tcPr>
            <w:tcW w:w="400" w:type="pct"/>
            <w:tcBorders>
              <w:bottom w:val="single" w:sz="4" w:space="0" w:color="auto"/>
            </w:tcBorders>
            <w:noWrap/>
            <w:hideMark/>
          </w:tcPr>
          <w:p w:rsidR="00BB7BA6" w:rsidRPr="002D548E" w:rsidRDefault="00BB7BA6" w:rsidP="002F4F76">
            <w:pPr>
              <w:spacing w:after="0" w:line="240" w:lineRule="auto"/>
              <w:jc w:val="both"/>
              <w:rPr>
                <w:lang w:val="en-US"/>
              </w:rPr>
            </w:pPr>
            <w:r w:rsidRPr="002D548E">
              <w:rPr>
                <w:lang w:val="en-US"/>
              </w:rPr>
              <w:t>2.16</w:t>
            </w:r>
          </w:p>
        </w:tc>
        <w:tc>
          <w:tcPr>
            <w:tcW w:w="387" w:type="pct"/>
            <w:tcBorders>
              <w:bottom w:val="single" w:sz="4" w:space="0" w:color="auto"/>
            </w:tcBorders>
            <w:noWrap/>
            <w:hideMark/>
          </w:tcPr>
          <w:p w:rsidR="00BB7BA6" w:rsidRPr="002D548E" w:rsidRDefault="00BB7BA6" w:rsidP="002F4F76">
            <w:pPr>
              <w:spacing w:after="0" w:line="240" w:lineRule="auto"/>
              <w:jc w:val="both"/>
              <w:rPr>
                <w:lang w:val="en-US"/>
              </w:rPr>
            </w:pPr>
            <w:r w:rsidRPr="002D548E">
              <w:rPr>
                <w:lang w:val="en-US"/>
              </w:rPr>
              <w:t>NA</w:t>
            </w:r>
          </w:p>
        </w:tc>
        <w:tc>
          <w:tcPr>
            <w:tcW w:w="387" w:type="pct"/>
            <w:tcBorders>
              <w:bottom w:val="single" w:sz="4" w:space="0" w:color="auto"/>
            </w:tcBorders>
            <w:noWrap/>
            <w:hideMark/>
          </w:tcPr>
          <w:p w:rsidR="00BB7BA6" w:rsidRPr="002D548E" w:rsidRDefault="00BB7BA6" w:rsidP="002F4F76">
            <w:pPr>
              <w:spacing w:after="0" w:line="240" w:lineRule="auto"/>
              <w:jc w:val="both"/>
              <w:rPr>
                <w:lang w:val="en-US"/>
              </w:rPr>
            </w:pPr>
            <w:r w:rsidRPr="002D548E">
              <w:rPr>
                <w:lang w:val="en-US"/>
              </w:rPr>
              <w:t>NA</w:t>
            </w:r>
          </w:p>
        </w:tc>
        <w:tc>
          <w:tcPr>
            <w:tcW w:w="454" w:type="pct"/>
            <w:tcBorders>
              <w:bottom w:val="single" w:sz="4" w:space="0" w:color="auto"/>
            </w:tcBorders>
            <w:noWrap/>
            <w:hideMark/>
          </w:tcPr>
          <w:p w:rsidR="00BB7BA6" w:rsidRPr="002D548E" w:rsidRDefault="00BB7BA6" w:rsidP="002F4F76">
            <w:pPr>
              <w:spacing w:after="0" w:line="240" w:lineRule="auto"/>
              <w:jc w:val="both"/>
              <w:rPr>
                <w:lang w:val="en-US"/>
              </w:rPr>
            </w:pPr>
            <w:r w:rsidRPr="002D548E">
              <w:rPr>
                <w:lang w:val="en-US"/>
              </w:rPr>
              <w:t>NA</w:t>
            </w:r>
          </w:p>
        </w:tc>
        <w:tc>
          <w:tcPr>
            <w:tcW w:w="454" w:type="pct"/>
            <w:tcBorders>
              <w:bottom w:val="single" w:sz="4" w:space="0" w:color="auto"/>
            </w:tcBorders>
            <w:noWrap/>
            <w:hideMark/>
          </w:tcPr>
          <w:p w:rsidR="00BB7BA6" w:rsidRPr="002D548E" w:rsidRDefault="00BB7BA6" w:rsidP="002F4F76">
            <w:pPr>
              <w:spacing w:after="0" w:line="240" w:lineRule="auto"/>
              <w:jc w:val="both"/>
              <w:rPr>
                <w:lang w:val="en-US"/>
              </w:rPr>
            </w:pPr>
            <w:r w:rsidRPr="002D548E">
              <w:rPr>
                <w:lang w:val="en-US"/>
              </w:rPr>
              <w:t>NA</w:t>
            </w:r>
          </w:p>
        </w:tc>
        <w:tc>
          <w:tcPr>
            <w:tcW w:w="397" w:type="pct"/>
            <w:tcBorders>
              <w:bottom w:val="single" w:sz="4" w:space="0" w:color="auto"/>
            </w:tcBorders>
            <w:noWrap/>
            <w:hideMark/>
          </w:tcPr>
          <w:p w:rsidR="00BB7BA6" w:rsidRPr="002D548E" w:rsidRDefault="00BB7BA6" w:rsidP="002F4F76">
            <w:pPr>
              <w:spacing w:after="0" w:line="240" w:lineRule="auto"/>
              <w:jc w:val="both"/>
              <w:rPr>
                <w:lang w:val="en-US"/>
              </w:rPr>
            </w:pPr>
            <w:r w:rsidRPr="002D548E">
              <w:rPr>
                <w:lang w:val="en-US"/>
              </w:rPr>
              <w:t>2.63</w:t>
            </w:r>
          </w:p>
        </w:tc>
      </w:tr>
      <w:tr w:rsidR="00BB7BA6" w:rsidRPr="002D548E" w:rsidTr="002F4F76">
        <w:trPr>
          <w:trHeight w:val="300"/>
        </w:trPr>
        <w:tc>
          <w:tcPr>
            <w:tcW w:w="5000" w:type="pct"/>
            <w:gridSpan w:val="11"/>
            <w:tcBorders>
              <w:top w:val="single" w:sz="4" w:space="0" w:color="auto"/>
            </w:tcBorders>
            <w:noWrap/>
            <w:hideMark/>
          </w:tcPr>
          <w:p w:rsidR="00BB7BA6" w:rsidRPr="002D548E" w:rsidRDefault="00BB7BA6" w:rsidP="002F4F76">
            <w:pPr>
              <w:tabs>
                <w:tab w:val="left" w:pos="1545"/>
              </w:tabs>
              <w:spacing w:after="0" w:line="240" w:lineRule="auto"/>
              <w:jc w:val="both"/>
              <w:rPr>
                <w:sz w:val="20"/>
                <w:szCs w:val="20"/>
                <w:lang w:val="en-US"/>
              </w:rPr>
            </w:pPr>
            <w:r w:rsidRPr="002D548E">
              <w:rPr>
                <w:sz w:val="20"/>
                <w:szCs w:val="20"/>
                <w:lang w:val="en-US"/>
              </w:rPr>
              <w:t>NA (Not Applicable, we do not have participants in that age group for that time period)</w:t>
            </w:r>
          </w:p>
          <w:p w:rsidR="00BB7BA6" w:rsidRPr="002D548E" w:rsidRDefault="00BB7BA6" w:rsidP="002F4F76">
            <w:pPr>
              <w:tabs>
                <w:tab w:val="left" w:pos="1545"/>
              </w:tabs>
              <w:spacing w:after="0" w:line="240" w:lineRule="auto"/>
              <w:jc w:val="both"/>
              <w:rPr>
                <w:rFonts w:eastAsia="Times New Roman" w:cs="Calibri"/>
                <w:color w:val="000000"/>
                <w:lang w:val="en-US" w:eastAsia="es-ES"/>
              </w:rPr>
            </w:pPr>
            <w:r w:rsidRPr="002D548E">
              <w:rPr>
                <w:sz w:val="20"/>
                <w:szCs w:val="20"/>
                <w:lang w:val="en-US"/>
              </w:rPr>
              <w:t xml:space="preserve">a_ Dose values based on dose values reported by </w:t>
            </w:r>
            <w:r>
              <w:rPr>
                <w:sz w:val="20"/>
                <w:szCs w:val="20"/>
                <w:lang w:val="en-US"/>
              </w:rPr>
              <w:t xml:space="preserve">Kim et al </w:t>
            </w:r>
            <w:r w:rsidR="00B16C94" w:rsidRPr="002D548E">
              <w:rPr>
                <w:sz w:val="20"/>
                <w:szCs w:val="20"/>
                <w:lang w:val="en-US"/>
              </w:rPr>
              <w:fldChar w:fldCharType="begin"/>
            </w:r>
            <w:r>
              <w:rPr>
                <w:sz w:val="20"/>
                <w:szCs w:val="20"/>
                <w:lang w:val="en-US"/>
              </w:rPr>
              <w:instrText xml:space="preserve"> ADDIN ZOTERO_ITEM CSL_CITATION {"citationID":"GS6Bog5V","properties":{"formattedCitation":"(1)","plainCitation":"(1)","noteIndex":0},"citationItems":[{"id":1665,"uris":["http://zotero.org/users/2552500/items/9AUQ3XEP"],"uri":["http://zotero.org/users/2552500/items/9AUQ3XEP"],"itemData":{"id":1665,"type":"article-journal","title":"Development of a database of organ doses for paediatric and young adult CT scans in the United Kingdom","container-title":"Radiation Protection Dosimetry","page":"415-426","volume":"150","issue":"4","source":"CrossRef","DOI":"10.1093/rpd/ncr429","ISSN":"0144-8420, 1742-3406","language":"en","author":[{"family":"Kim","given":"K. P."},{"family":"Berrington de Gonzalez","given":"A."},{"family":"Pearce","given":"M. S."},{"family":"Salotti","given":"J. A."},{"family":"Parker","given":"L."},{"family":"McHugh","given":"K."},{"family":"Craft","given":"A. W."},{"family":"Lee","given":"C."}],"issued":{"date-parts":[["2012",7,1]]}}}],"schema":"https://github.com/citation-style-language/schema/raw/master/csl-citation.json"} </w:instrText>
            </w:r>
            <w:r w:rsidR="00B16C94" w:rsidRPr="002D548E">
              <w:rPr>
                <w:sz w:val="20"/>
                <w:szCs w:val="20"/>
                <w:lang w:val="en-US"/>
              </w:rPr>
              <w:fldChar w:fldCharType="separate"/>
            </w:r>
            <w:r w:rsidRPr="00FC18DD">
              <w:rPr>
                <w:rFonts w:cs="Calibri"/>
                <w:sz w:val="20"/>
                <w:lang w:val="en-US"/>
              </w:rPr>
              <w:t>(1)</w:t>
            </w:r>
            <w:r w:rsidR="00B16C94" w:rsidRPr="002D548E">
              <w:rPr>
                <w:sz w:val="20"/>
                <w:szCs w:val="20"/>
                <w:lang w:val="en-US"/>
              </w:rPr>
              <w:fldChar w:fldCharType="end"/>
            </w:r>
            <w:r w:rsidRPr="002D548E">
              <w:rPr>
                <w:sz w:val="20"/>
                <w:szCs w:val="20"/>
                <w:lang w:val="en-US"/>
              </w:rPr>
              <w:t xml:space="preserve">. According to the % of the body part (chest, brain, abdomen, extremities) scanned over the total number of CT scan performed in general population, we calculated the dose as a weighted average of chest, brain, abdomen and extremities (where dose=0) CT-scan (for the distribution in general population we used for children </w:t>
            </w:r>
            <w:r w:rsidR="00B16C94" w:rsidRPr="002D548E">
              <w:rPr>
                <w:sz w:val="20"/>
                <w:szCs w:val="20"/>
                <w:lang w:val="en-US"/>
              </w:rPr>
              <w:fldChar w:fldCharType="begin"/>
            </w:r>
            <w:r>
              <w:rPr>
                <w:sz w:val="20"/>
                <w:szCs w:val="20"/>
                <w:lang w:val="en-US"/>
              </w:rPr>
              <w:instrText xml:space="preserve"> ADDIN ZOTERO_ITEM CSL_CITATION {"citationID":"IXYB5cQP","properties":{"formattedCitation":"(2)","plainCitation":"(2)","noteIndex":0},"citationItems":[{"id":1560,"uris":["http://zotero.org/users/2552500/items/5B5M4Q8E"],"uri":["http://zotero.org/users/2552500/items/5B5M4Q8E"],"itemData":{"id":1560,"type":"article-journal","title":"Trends and patterns in the use of computed tomography in children and young adults in Catalonia - results from the EPI-CT study","container-title":"Pediatric Radiology","page":"119-129","volume":"46","issue":"1","source":"PubMed","abstract":"BACKGROUND: Although there are undeniable diagnostic benefits of CT scanning, its increasing use in paediatric radiology has become a topic of concern regarding patient radioprotection.\nOBJECTIVE: To assess the rate of CT scanning in Catalonia, Spain, among patients younger than 21 years old at the scan time.\nMATERIALS AND METHODS: This is a sub-study of a larger international cohort study (EPI-CT, the International pediatric CT scan study). Data were retrieved from the radiological information systems (RIS) of eight hospitals in Catalonia since the implementation of digital registration (between 1991 and 2010) until 2013.\nRESULTS: The absolute number of CT scans annually increased 4.5% between 1991 and 2013, which was less accentuated when RIS was implemented in most hospitals. Because the population attending the hospitals also increased, however, the rate of scanned patients changed little (8.3 to 9.4 per 1,000 population). The proportions of patients with more than one CT and more than three CTs showed a 1.51- and 2.7-fold increase, respectively, over the 23 years.\nCONCLUSION: Gradual increases in numbers of examinations and scanned patients were observed in Catalonia, potentially explained by new CT scanning indications and increases in the availability of scanners, the number of scans per patient and the size of the attended population.","DOI":"10.1007/s00247-015-3434-5","ISSN":"1432-1998","note":"PMID: 26276264\nPMCID: PMC4706587","journalAbbreviation":"Pediatr Radiol","language":"eng","author":[{"family":"Bosch de Basea","given":"Magda"},{"family":"Salotti","given":"Jane A."},{"family":"Pearce","given":"Mark S."},{"family":"Muchart","given":"Jordi"},{"family":"Riera","given":"Luis"},{"family":"Barber","given":"Ignasi"},{"family":"Pedraza","given":"Salvador"},{"family":"Pardina","given":"Marina"},{"family":"Capdevila","given":"Antoni"},{"family":"Espinosa","given":"Ana"},{"family":"Cardis","given":"Elisabeth"}],"issued":{"date-parts":[["2016",1]]}}}],"schema":"https://github.com/citation-style-language/schema/raw/master/csl-citation.json"} </w:instrText>
            </w:r>
            <w:r w:rsidR="00B16C94" w:rsidRPr="002D548E">
              <w:rPr>
                <w:sz w:val="20"/>
                <w:szCs w:val="20"/>
                <w:lang w:val="en-US"/>
              </w:rPr>
              <w:fldChar w:fldCharType="separate"/>
            </w:r>
            <w:r w:rsidRPr="00BB7BA6">
              <w:rPr>
                <w:rFonts w:cs="Calibri"/>
                <w:sz w:val="20"/>
              </w:rPr>
              <w:t>(2)</w:t>
            </w:r>
            <w:r w:rsidR="00B16C94" w:rsidRPr="002D548E">
              <w:rPr>
                <w:sz w:val="20"/>
                <w:szCs w:val="20"/>
                <w:lang w:val="en-US"/>
              </w:rPr>
              <w:fldChar w:fldCharType="end"/>
            </w:r>
            <w:r w:rsidRPr="002D548E">
              <w:rPr>
                <w:sz w:val="20"/>
                <w:szCs w:val="20"/>
                <w:lang w:val="en-US"/>
              </w:rPr>
              <w:t xml:space="preserve"> and for adults</w:t>
            </w:r>
            <w:r w:rsidR="00B16C94">
              <w:rPr>
                <w:sz w:val="20"/>
                <w:szCs w:val="20"/>
                <w:lang w:val="en-US"/>
              </w:rPr>
              <w:fldChar w:fldCharType="begin"/>
            </w:r>
            <w:r>
              <w:rPr>
                <w:sz w:val="20"/>
                <w:szCs w:val="20"/>
                <w:lang w:val="en-US"/>
              </w:rPr>
              <w:instrText xml:space="preserve"> ADDIN ZOTERO_ITEM CSL_CITATION {"citationID":"SnapLs9i","properties":{"formattedCitation":"(3)","plainCitation":"(3)","noteIndex":0},"citationItems":[{"id":6183,"uris":["http://zotero.org/users/2552500/items/J7ABUK84"],"uri":["http://zotero.org/users/2552500/items/J7ABUK84"],"itemData":{"id":6183,"type":"report","title":"DOPOES Report","abstract":"Informe sobre los procedimientos de radiodiagnóstico médico utilizados en los centros sanitarios españoles, su frecuencia y las dosis recibidas por los pacientes y la población (DOPOES)","URL":"https://www.csn.es/documents/10182/1006281/Informe%20sobre%20los%20procedimientos%20de%20radiodiagn%C3%B3stico%20m%C3%A9dico%20utilizados%20en%20los%20centros%20sanitarios%20espa%C3%B1oles,%20su%20frecuencia%20y%20las%20dosis%20recibidas%20por%20los%20pacientes%20y%20la%20poblaci%C3%B3n%20(DOPOES)","shortTitle":"DOPOES Report","author":[{"family":"Cruces","given":"Rafael Ruiz"},{"family":"Sergio Cañete Hidalgo","given":""},{"family":"Manuel Perez Martinez","given":""},{"family":"Aurora Pola Gallego de Guzmán","given":""},{"family":"Sonia Moreno Corrales","given":""},{"family":"María Isabel Fernández Vázquez","given":""}],"issued":{"date-parts":[["2014"]]},"accessed":{"date-parts":[["2018",1,4]]}}}],"schema":"https://github.com/citation-style-language/schema/raw/master/csl-citation.json"} </w:instrText>
            </w:r>
            <w:r w:rsidR="00B16C94">
              <w:rPr>
                <w:sz w:val="20"/>
                <w:szCs w:val="20"/>
                <w:lang w:val="en-US"/>
              </w:rPr>
              <w:fldChar w:fldCharType="separate"/>
            </w:r>
            <w:r w:rsidRPr="00BB7BA6">
              <w:rPr>
                <w:rFonts w:cs="Calibri"/>
                <w:sz w:val="20"/>
              </w:rPr>
              <w:t>(3)</w:t>
            </w:r>
            <w:r w:rsidR="00B16C94">
              <w:rPr>
                <w:sz w:val="20"/>
                <w:szCs w:val="20"/>
                <w:lang w:val="en-US"/>
              </w:rPr>
              <w:fldChar w:fldCharType="end"/>
            </w:r>
            <w:r w:rsidRPr="002D548E">
              <w:rPr>
                <w:sz w:val="20"/>
                <w:szCs w:val="20"/>
                <w:lang w:val="en-US"/>
              </w:rPr>
              <w:t>.</w:t>
            </w:r>
          </w:p>
        </w:tc>
      </w:tr>
    </w:tbl>
    <w:p w:rsidR="00BB7BA6" w:rsidRDefault="00BB7BA6" w:rsidP="00BB7BA6">
      <w:pPr>
        <w:jc w:val="both"/>
        <w:rPr>
          <w:lang w:val="en-US"/>
        </w:rPr>
      </w:pPr>
    </w:p>
    <w:p w:rsidR="00BB7BA6" w:rsidRPr="00C62CDB" w:rsidRDefault="00BB7BA6" w:rsidP="00BB7BA6">
      <w:pPr>
        <w:spacing w:after="0"/>
        <w:jc w:val="both"/>
        <w:rPr>
          <w:sz w:val="18"/>
          <w:szCs w:val="18"/>
          <w:lang w:val="en-US"/>
        </w:rPr>
      </w:pPr>
      <w:r w:rsidRPr="00C62CDB">
        <w:rPr>
          <w:sz w:val="18"/>
          <w:szCs w:val="18"/>
          <w:lang w:val="en-US"/>
        </w:rPr>
        <w:t>References</w:t>
      </w:r>
    </w:p>
    <w:p w:rsidR="00BB7BA6" w:rsidRPr="00FC18DD" w:rsidRDefault="00B16C94" w:rsidP="00BB7BA6">
      <w:pPr>
        <w:pStyle w:val="Bibliografa"/>
        <w:rPr>
          <w:rFonts w:cs="Calibri"/>
          <w:sz w:val="18"/>
          <w:lang w:val="en-US"/>
        </w:rPr>
      </w:pPr>
      <w:r w:rsidRPr="00C62CDB">
        <w:rPr>
          <w:sz w:val="18"/>
          <w:szCs w:val="18"/>
          <w:lang w:val="en-US"/>
        </w:rPr>
        <w:fldChar w:fldCharType="begin"/>
      </w:r>
      <w:r w:rsidR="00BB7BA6" w:rsidRPr="00C62CDB">
        <w:rPr>
          <w:sz w:val="18"/>
          <w:szCs w:val="18"/>
          <w:lang w:val="en-US"/>
        </w:rPr>
        <w:instrText xml:space="preserve"> ADDIN ZOTERO_BIBL {"uncited":[],"omitted":[],"custom":[]} CSL_BIBLIOGRAPHY </w:instrText>
      </w:r>
      <w:r w:rsidRPr="00C62CDB">
        <w:rPr>
          <w:sz w:val="18"/>
          <w:szCs w:val="18"/>
          <w:lang w:val="en-US"/>
        </w:rPr>
        <w:fldChar w:fldCharType="separate"/>
      </w:r>
      <w:r w:rsidR="00BB7BA6" w:rsidRPr="00FC18DD">
        <w:rPr>
          <w:rFonts w:cs="Calibri"/>
          <w:sz w:val="18"/>
          <w:lang w:val="en-US"/>
        </w:rPr>
        <w:t xml:space="preserve">1. </w:t>
      </w:r>
      <w:r w:rsidR="00BB7BA6" w:rsidRPr="00FC18DD">
        <w:rPr>
          <w:rFonts w:cs="Calibri"/>
          <w:sz w:val="18"/>
          <w:lang w:val="en-US"/>
        </w:rPr>
        <w:tab/>
        <w:t xml:space="preserve">Kim KP, </w:t>
      </w:r>
      <w:proofErr w:type="spellStart"/>
      <w:r w:rsidR="00BB7BA6" w:rsidRPr="00FC18DD">
        <w:rPr>
          <w:rFonts w:cs="Calibri"/>
          <w:sz w:val="18"/>
          <w:lang w:val="en-US"/>
        </w:rPr>
        <w:t>Berrington</w:t>
      </w:r>
      <w:proofErr w:type="spellEnd"/>
      <w:r w:rsidR="00BB7BA6" w:rsidRPr="00FC18DD">
        <w:rPr>
          <w:rFonts w:cs="Calibri"/>
          <w:sz w:val="18"/>
          <w:lang w:val="en-US"/>
        </w:rPr>
        <w:t xml:space="preserve"> de Gonzalez A, Pearce MS, </w:t>
      </w:r>
      <w:proofErr w:type="spellStart"/>
      <w:r w:rsidR="00BB7BA6" w:rsidRPr="00FC18DD">
        <w:rPr>
          <w:rFonts w:cs="Calibri"/>
          <w:sz w:val="18"/>
          <w:lang w:val="en-US"/>
        </w:rPr>
        <w:t>Salotti</w:t>
      </w:r>
      <w:proofErr w:type="spellEnd"/>
      <w:r w:rsidR="00BB7BA6" w:rsidRPr="00FC18DD">
        <w:rPr>
          <w:rFonts w:cs="Calibri"/>
          <w:sz w:val="18"/>
          <w:lang w:val="en-US"/>
        </w:rPr>
        <w:t xml:space="preserve"> JA, Parker L, McHugh K, et al. Development of a database of organ doses for </w:t>
      </w:r>
      <w:proofErr w:type="spellStart"/>
      <w:r w:rsidR="00BB7BA6" w:rsidRPr="00FC18DD">
        <w:rPr>
          <w:rFonts w:cs="Calibri"/>
          <w:sz w:val="18"/>
          <w:lang w:val="en-US"/>
        </w:rPr>
        <w:t>paediatric</w:t>
      </w:r>
      <w:proofErr w:type="spellEnd"/>
      <w:r w:rsidR="00BB7BA6" w:rsidRPr="00FC18DD">
        <w:rPr>
          <w:rFonts w:cs="Calibri"/>
          <w:sz w:val="18"/>
          <w:lang w:val="en-US"/>
        </w:rPr>
        <w:t xml:space="preserve"> and young adult CT scans in the United Kingdom. </w:t>
      </w:r>
      <w:proofErr w:type="spellStart"/>
      <w:proofErr w:type="gramStart"/>
      <w:r w:rsidR="00BB7BA6" w:rsidRPr="00FC18DD">
        <w:rPr>
          <w:rFonts w:cs="Calibri"/>
          <w:sz w:val="18"/>
          <w:lang w:val="en-US"/>
        </w:rPr>
        <w:t>Radiat</w:t>
      </w:r>
      <w:proofErr w:type="spellEnd"/>
      <w:r w:rsidR="00BB7BA6" w:rsidRPr="00FC18DD">
        <w:rPr>
          <w:rFonts w:cs="Calibri"/>
          <w:sz w:val="18"/>
          <w:lang w:val="en-US"/>
        </w:rPr>
        <w:t xml:space="preserve"> Prot Dosimetry.</w:t>
      </w:r>
      <w:proofErr w:type="gramEnd"/>
      <w:r w:rsidR="00BB7BA6" w:rsidRPr="00FC18DD">
        <w:rPr>
          <w:rFonts w:cs="Calibri"/>
          <w:sz w:val="18"/>
          <w:lang w:val="en-US"/>
        </w:rPr>
        <w:t xml:space="preserve"> 2012 Jul 1</w:t>
      </w:r>
      <w:proofErr w:type="gramStart"/>
      <w:r w:rsidR="00BB7BA6" w:rsidRPr="00FC18DD">
        <w:rPr>
          <w:rFonts w:cs="Calibri"/>
          <w:sz w:val="18"/>
          <w:lang w:val="en-US"/>
        </w:rPr>
        <w:t>;150</w:t>
      </w:r>
      <w:proofErr w:type="gramEnd"/>
      <w:r w:rsidR="00BB7BA6" w:rsidRPr="00FC18DD">
        <w:rPr>
          <w:rFonts w:cs="Calibri"/>
          <w:sz w:val="18"/>
          <w:lang w:val="en-US"/>
        </w:rPr>
        <w:t xml:space="preserve">(4):415–26. </w:t>
      </w:r>
    </w:p>
    <w:p w:rsidR="00BB7BA6" w:rsidRPr="00BB7BA6" w:rsidRDefault="00BB7BA6" w:rsidP="00BB7BA6">
      <w:pPr>
        <w:pStyle w:val="Bibliografa"/>
        <w:rPr>
          <w:rFonts w:cs="Calibri"/>
          <w:sz w:val="18"/>
        </w:rPr>
      </w:pPr>
      <w:r w:rsidRPr="00FC18DD">
        <w:rPr>
          <w:rFonts w:cs="Calibri"/>
          <w:sz w:val="18"/>
          <w:lang w:val="en-US"/>
        </w:rPr>
        <w:t xml:space="preserve">2. </w:t>
      </w:r>
      <w:r w:rsidRPr="00FC18DD">
        <w:rPr>
          <w:rFonts w:cs="Calibri"/>
          <w:sz w:val="18"/>
          <w:lang w:val="en-US"/>
        </w:rPr>
        <w:tab/>
        <w:t xml:space="preserve">Bosch de </w:t>
      </w:r>
      <w:proofErr w:type="spellStart"/>
      <w:r w:rsidRPr="00FC18DD">
        <w:rPr>
          <w:rFonts w:cs="Calibri"/>
          <w:sz w:val="18"/>
          <w:lang w:val="en-US"/>
        </w:rPr>
        <w:t>Basea</w:t>
      </w:r>
      <w:proofErr w:type="spellEnd"/>
      <w:r w:rsidRPr="00FC18DD">
        <w:rPr>
          <w:rFonts w:cs="Calibri"/>
          <w:sz w:val="18"/>
          <w:lang w:val="en-US"/>
        </w:rPr>
        <w:t xml:space="preserve"> M, </w:t>
      </w:r>
      <w:proofErr w:type="spellStart"/>
      <w:r w:rsidRPr="00FC18DD">
        <w:rPr>
          <w:rFonts w:cs="Calibri"/>
          <w:sz w:val="18"/>
          <w:lang w:val="en-US"/>
        </w:rPr>
        <w:t>Salotti</w:t>
      </w:r>
      <w:proofErr w:type="spellEnd"/>
      <w:r w:rsidRPr="00FC18DD">
        <w:rPr>
          <w:rFonts w:cs="Calibri"/>
          <w:sz w:val="18"/>
          <w:lang w:val="en-US"/>
        </w:rPr>
        <w:t xml:space="preserve"> JA, Pearce MS, </w:t>
      </w:r>
      <w:proofErr w:type="spellStart"/>
      <w:r w:rsidRPr="00FC18DD">
        <w:rPr>
          <w:rFonts w:cs="Calibri"/>
          <w:sz w:val="18"/>
          <w:lang w:val="en-US"/>
        </w:rPr>
        <w:t>Muchart</w:t>
      </w:r>
      <w:proofErr w:type="spellEnd"/>
      <w:r w:rsidRPr="00FC18DD">
        <w:rPr>
          <w:rFonts w:cs="Calibri"/>
          <w:sz w:val="18"/>
          <w:lang w:val="en-US"/>
        </w:rPr>
        <w:t xml:space="preserve"> J, </w:t>
      </w:r>
      <w:proofErr w:type="spellStart"/>
      <w:r w:rsidRPr="00FC18DD">
        <w:rPr>
          <w:rFonts w:cs="Calibri"/>
          <w:sz w:val="18"/>
          <w:lang w:val="en-US"/>
        </w:rPr>
        <w:t>Riera</w:t>
      </w:r>
      <w:proofErr w:type="spellEnd"/>
      <w:r w:rsidRPr="00FC18DD">
        <w:rPr>
          <w:rFonts w:cs="Calibri"/>
          <w:sz w:val="18"/>
          <w:lang w:val="en-US"/>
        </w:rPr>
        <w:t xml:space="preserve"> L, Barber I, et al. Trends and patterns in the use of computed tomography in children and young adults in Catalonia - results from the EPI-CT study. </w:t>
      </w:r>
      <w:proofErr w:type="spellStart"/>
      <w:r w:rsidRPr="00BB7BA6">
        <w:rPr>
          <w:rFonts w:cs="Calibri"/>
          <w:sz w:val="18"/>
        </w:rPr>
        <w:t>Pediatr</w:t>
      </w:r>
      <w:proofErr w:type="spellEnd"/>
      <w:r w:rsidRPr="00BB7BA6">
        <w:rPr>
          <w:rFonts w:cs="Calibri"/>
          <w:sz w:val="18"/>
        </w:rPr>
        <w:t xml:space="preserve"> </w:t>
      </w:r>
      <w:proofErr w:type="spellStart"/>
      <w:r w:rsidRPr="00BB7BA6">
        <w:rPr>
          <w:rFonts w:cs="Calibri"/>
          <w:sz w:val="18"/>
        </w:rPr>
        <w:t>Radiol</w:t>
      </w:r>
      <w:proofErr w:type="spellEnd"/>
      <w:r w:rsidRPr="00BB7BA6">
        <w:rPr>
          <w:rFonts w:cs="Calibri"/>
          <w:sz w:val="18"/>
        </w:rPr>
        <w:t xml:space="preserve">. 2016 Jan;46(1):119–29. </w:t>
      </w:r>
    </w:p>
    <w:p w:rsidR="00BB7BA6" w:rsidRPr="00FC18DD" w:rsidRDefault="00BB7BA6" w:rsidP="00BB7BA6">
      <w:pPr>
        <w:pStyle w:val="Bibliografa"/>
        <w:rPr>
          <w:rFonts w:cs="Calibri"/>
          <w:sz w:val="18"/>
          <w:lang w:val="en-US"/>
        </w:rPr>
      </w:pPr>
      <w:r w:rsidRPr="00BB7BA6">
        <w:rPr>
          <w:rFonts w:cs="Calibri"/>
          <w:sz w:val="18"/>
        </w:rPr>
        <w:t xml:space="preserve">3. </w:t>
      </w:r>
      <w:r w:rsidRPr="00BB7BA6">
        <w:rPr>
          <w:rFonts w:cs="Calibri"/>
          <w:sz w:val="18"/>
        </w:rPr>
        <w:tab/>
        <w:t xml:space="preserve">Cruces RR, Sergio Cañete Hidalgo, Manuel Perez Martinez, Aurora Pola Gallego de Guzmán, Sonia Moreno Corrales, María Isabel Fernández Vázquez. </w:t>
      </w:r>
      <w:r w:rsidRPr="00FC18DD">
        <w:rPr>
          <w:rFonts w:cs="Calibri"/>
          <w:sz w:val="18"/>
          <w:lang w:val="en-US"/>
        </w:rPr>
        <w:t>DOPOES Report [Internet]. 2014 [cited 2018 Jan 4]. Available from: https://www.csn.es/documents/10182/1006281/Informe%20sobre%20los%20procedimientos%20de%20radiodiagn%C3%B3stico%20m%C3%A9dico%20utilizados%20en%20los%20centros%20sanitarios%20espa%C3%B1oles,%20su%20frecuencia%20y%20las%20dosis%20recibidas%20por%20los%20pacientes%20y%20la%20poblaci%C3%B3n%20(DOPOES)</w:t>
      </w:r>
    </w:p>
    <w:p w:rsidR="002B3D49" w:rsidRDefault="00B16C94" w:rsidP="00BB7BA6">
      <w:r w:rsidRPr="00C62CDB">
        <w:rPr>
          <w:sz w:val="18"/>
          <w:szCs w:val="18"/>
          <w:lang w:val="en-US"/>
        </w:rPr>
        <w:fldChar w:fldCharType="end"/>
      </w:r>
    </w:p>
    <w:sectPr w:rsidR="002B3D49" w:rsidSect="0056143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34DC9"/>
    <w:multiLevelType w:val="hybridMultilevel"/>
    <w:tmpl w:val="96DA9A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BB7BA6"/>
    <w:rsid w:val="00355285"/>
    <w:rsid w:val="004D0411"/>
    <w:rsid w:val="00561431"/>
    <w:rsid w:val="00B16C94"/>
    <w:rsid w:val="00BB7BA6"/>
    <w:rsid w:val="00C5131A"/>
    <w:rsid w:val="00F65E68"/>
    <w:rsid w:val="00FC18D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BA6"/>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B7BA6"/>
    <w:pPr>
      <w:ind w:left="720"/>
      <w:contextualSpacing/>
    </w:pPr>
  </w:style>
  <w:style w:type="paragraph" w:styleId="Bibliografa">
    <w:name w:val="Bibliography"/>
    <w:basedOn w:val="Normal"/>
    <w:next w:val="Normal"/>
    <w:uiPriority w:val="37"/>
    <w:unhideWhenUsed/>
    <w:rsid w:val="00BB7BA6"/>
    <w:pPr>
      <w:tabs>
        <w:tab w:val="left" w:pos="384"/>
      </w:tabs>
      <w:spacing w:after="240" w:line="240" w:lineRule="auto"/>
      <w:ind w:left="384" w:hanging="384"/>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1072</Words>
  <Characters>5896</Characters>
  <Application>Microsoft Office Word</Application>
  <DocSecurity>0</DocSecurity>
  <Lines>49</Lines>
  <Paragraphs>13</Paragraphs>
  <ScaleCrop>false</ScaleCrop>
  <Company/>
  <LinksUpToDate>false</LinksUpToDate>
  <CharactersWithSpaces>6955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epasqual</dc:creator>
  <cp:lastModifiedBy>epasqual</cp:lastModifiedBy>
  <cp:revision>2</cp:revision>
  <dcterms:created xsi:type="dcterms:W3CDTF">2019-01-31T10:32:00Z</dcterms:created>
  <dcterms:modified xsi:type="dcterms:W3CDTF">2019-07-01T08:34:00Z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zotero-version="5.0.60"&gt;&lt;session id="PiXB1bSb"/&gt;&lt;style id="http://www.zotero.org/styles/vancouver" locale="en-US" hasBibliography="1" bibliographyStyleHasBeenSet="1"/&gt;&lt;prefs&gt;&lt;pref name="fieldType" value="Field"/&gt;&lt;pref name="automati</vt:lpwstr>
  </property>
  <property fmtid="{D5CDD505-2E9C-101B-9397-08002B2CF9AE}" pid="3" name="ZOTERO_PREF_2">
    <vt:lpwstr>cJournalAbbreviations" value="true"/&gt;&lt;/prefs&gt;&lt;/data&gt;</vt:lpwstr>
  </property>
</Properties>
</file>