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2A" w:rsidRPr="00C62CDB" w:rsidRDefault="0061602A" w:rsidP="0061602A">
      <w:pPr>
        <w:pStyle w:val="Bibliografa"/>
        <w:ind w:left="0" w:firstLine="0"/>
        <w:rPr>
          <w:rFonts w:ascii="Times New Roman" w:hAnsi="Times New Roman"/>
          <w:sz w:val="20"/>
        </w:rPr>
      </w:pPr>
    </w:p>
    <w:p w:rsidR="0061602A" w:rsidRPr="006B6DD4" w:rsidRDefault="0061602A" w:rsidP="0061602A">
      <w:pPr>
        <w:jc w:val="both"/>
        <w:rPr>
          <w:rFonts w:eastAsia="Times New Roman"/>
          <w:b/>
          <w:lang w:val="en-US"/>
        </w:rPr>
      </w:pPr>
      <w:r w:rsidRPr="006B6DD4">
        <w:rPr>
          <w:rFonts w:eastAsia="Times New Roman"/>
          <w:b/>
          <w:lang w:val="en-US"/>
        </w:rPr>
        <w:t>Table S</w:t>
      </w:r>
      <w:r w:rsidRPr="006B6DD4">
        <w:rPr>
          <w:rFonts w:eastAsia="Times New Roman"/>
          <w:b/>
          <w:lang w:val="en-US"/>
        </w:rPr>
        <w:fldChar w:fldCharType="begin"/>
      </w:r>
      <w:r w:rsidRPr="006B6DD4">
        <w:rPr>
          <w:rFonts w:eastAsia="Times New Roman"/>
          <w:b/>
          <w:lang w:val="en-US"/>
        </w:rPr>
        <w:instrText xml:space="preserve"> SEQ Tabla \* ARABIC </w:instrText>
      </w:r>
      <w:r w:rsidRPr="006B6DD4">
        <w:rPr>
          <w:rFonts w:eastAsia="Times New Roman"/>
          <w:b/>
          <w:lang w:val="en-US"/>
        </w:rPr>
        <w:fldChar w:fldCharType="separate"/>
      </w:r>
      <w:r w:rsidRPr="006B6DD4">
        <w:rPr>
          <w:rFonts w:eastAsia="Times New Roman"/>
          <w:b/>
          <w:lang w:val="en-US"/>
        </w:rPr>
        <w:t>1</w:t>
      </w:r>
      <w:r w:rsidRPr="006B6DD4">
        <w:rPr>
          <w:rFonts w:eastAsia="Times New Roman"/>
          <w:b/>
          <w:lang w:val="en-US"/>
        </w:rPr>
        <w:fldChar w:fldCharType="end"/>
      </w:r>
      <w:r>
        <w:rPr>
          <w:rFonts w:eastAsia="Times New Roman"/>
          <w:b/>
          <w:lang w:val="en-US"/>
        </w:rPr>
        <w:t>:</w:t>
      </w:r>
      <w:r w:rsidRPr="006B6DD4">
        <w:rPr>
          <w:rFonts w:eastAsia="Times New Roman"/>
          <w:b/>
          <w:lang w:val="en-US"/>
        </w:rPr>
        <w:t xml:space="preserve"> Bone </w:t>
      </w:r>
      <w:r>
        <w:rPr>
          <w:rFonts w:eastAsia="Times New Roman"/>
          <w:b/>
          <w:lang w:val="en-US"/>
        </w:rPr>
        <w:t>M</w:t>
      </w:r>
      <w:r w:rsidRPr="006B6DD4">
        <w:rPr>
          <w:rFonts w:eastAsia="Times New Roman"/>
          <w:b/>
          <w:lang w:val="en-US"/>
        </w:rPr>
        <w:t>arrow Dose (mGy) attributed to each conventional x-ray examinations</w:t>
      </w:r>
    </w:p>
    <w:tbl>
      <w:tblPr>
        <w:tblW w:w="0" w:type="auto"/>
        <w:tblLook w:val="04A0"/>
      </w:tblPr>
      <w:tblGrid>
        <w:gridCol w:w="1432"/>
        <w:gridCol w:w="912"/>
        <w:gridCol w:w="912"/>
        <w:gridCol w:w="910"/>
        <w:gridCol w:w="910"/>
        <w:gridCol w:w="911"/>
        <w:gridCol w:w="911"/>
        <w:gridCol w:w="911"/>
        <w:gridCol w:w="911"/>
      </w:tblGrid>
      <w:tr w:rsidR="0061602A" w:rsidRPr="002D548E" w:rsidTr="002F4F76">
        <w:tc>
          <w:tcPr>
            <w:tcW w:w="1432"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Conventional x-ray</w:t>
            </w:r>
          </w:p>
        </w:tc>
        <w:tc>
          <w:tcPr>
            <w:tcW w:w="912"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1930-1939</w:t>
            </w:r>
          </w:p>
        </w:tc>
        <w:tc>
          <w:tcPr>
            <w:tcW w:w="912"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1940-1949</w:t>
            </w:r>
          </w:p>
        </w:tc>
        <w:tc>
          <w:tcPr>
            <w:tcW w:w="910"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1950-1959</w:t>
            </w:r>
          </w:p>
        </w:tc>
        <w:tc>
          <w:tcPr>
            <w:tcW w:w="910"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1960-1969</w:t>
            </w:r>
          </w:p>
        </w:tc>
        <w:tc>
          <w:tcPr>
            <w:tcW w:w="911"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1970-1979</w:t>
            </w:r>
          </w:p>
        </w:tc>
        <w:tc>
          <w:tcPr>
            <w:tcW w:w="911"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1980-1989</w:t>
            </w:r>
          </w:p>
        </w:tc>
        <w:tc>
          <w:tcPr>
            <w:tcW w:w="911"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1990-1999</w:t>
            </w:r>
          </w:p>
        </w:tc>
        <w:tc>
          <w:tcPr>
            <w:tcW w:w="911" w:type="dxa"/>
            <w:tcBorders>
              <w:top w:val="single" w:sz="4" w:space="0" w:color="auto"/>
              <w:bottom w:val="single" w:sz="4" w:space="0" w:color="auto"/>
            </w:tcBorders>
          </w:tcPr>
          <w:p w:rsidR="0061602A" w:rsidRPr="002D548E" w:rsidRDefault="0061602A" w:rsidP="002F4F76">
            <w:pPr>
              <w:spacing w:after="0" w:line="240" w:lineRule="auto"/>
              <w:jc w:val="both"/>
              <w:rPr>
                <w:b/>
                <w:lang w:val="en-US"/>
              </w:rPr>
            </w:pPr>
            <w:r w:rsidRPr="002D548E">
              <w:rPr>
                <w:b/>
                <w:lang w:val="en-US"/>
              </w:rPr>
              <w:t>2000-2010</w:t>
            </w:r>
          </w:p>
        </w:tc>
      </w:tr>
      <w:tr w:rsidR="0061602A" w:rsidRPr="002D548E" w:rsidTr="002F4F76">
        <w:tc>
          <w:tcPr>
            <w:tcW w:w="1432" w:type="dxa"/>
            <w:tcBorders>
              <w:top w:val="single" w:sz="4" w:space="0" w:color="auto"/>
            </w:tcBorders>
          </w:tcPr>
          <w:p w:rsidR="0061602A" w:rsidRPr="002D548E" w:rsidRDefault="0061602A" w:rsidP="002F4F76">
            <w:pPr>
              <w:spacing w:after="0" w:line="240" w:lineRule="auto"/>
              <w:jc w:val="both"/>
              <w:rPr>
                <w:lang w:val="en-US"/>
              </w:rPr>
            </w:pPr>
            <w:r w:rsidRPr="002D548E">
              <w:rPr>
                <w:lang w:val="en-US"/>
              </w:rPr>
              <w:t xml:space="preserve">Thorax </w:t>
            </w:r>
          </w:p>
        </w:tc>
        <w:tc>
          <w:tcPr>
            <w:tcW w:w="7288" w:type="dxa"/>
            <w:gridSpan w:val="8"/>
            <w:vMerge w:val="restart"/>
            <w:tcBorders>
              <w:top w:val="single" w:sz="4" w:space="0" w:color="auto"/>
            </w:tcBorders>
          </w:tcPr>
          <w:p w:rsidR="0061602A" w:rsidRPr="002D548E" w:rsidRDefault="0061602A" w:rsidP="002F4F76">
            <w:pPr>
              <w:spacing w:after="0" w:line="240" w:lineRule="auto"/>
              <w:jc w:val="center"/>
              <w:rPr>
                <w:lang w:val="en-US"/>
              </w:rPr>
            </w:pPr>
          </w:p>
          <w:p w:rsidR="0061602A" w:rsidRPr="002D548E" w:rsidRDefault="0061602A" w:rsidP="002F4F76">
            <w:pPr>
              <w:spacing w:after="0" w:line="240" w:lineRule="auto"/>
              <w:jc w:val="center"/>
              <w:rPr>
                <w:lang w:val="en-US"/>
              </w:rPr>
            </w:pPr>
            <w:r w:rsidRPr="002D548E">
              <w:rPr>
                <w:lang w:val="en-US"/>
              </w:rPr>
              <w:t xml:space="preserve">See </w:t>
            </w:r>
            <w:r w:rsidRPr="002D548E">
              <w:rPr>
                <w:lang w:val="en-US"/>
              </w:rPr>
              <w:fldChar w:fldCharType="begin"/>
            </w:r>
            <w:r>
              <w:rPr>
                <w:lang w:val="en-US"/>
              </w:rPr>
              <w:instrText xml:space="preserve"> ADDIN ZOTERO_ITEM CSL_CITATION {"citationID":"Bhfl4VqM","properties":{"formattedCitation":"(1)","plainCitation":"(1)","noteIndex":0},"citationItems":[{"id":6142,"uris":["http://zotero.org/users/2552500/items/3JF562DA"],"uri":["http://zotero.org/users/2552500/items/3JF562DA"],"itemData":{"id":6142,"type":"article-journal","title":"Organ Doses From Diagnostic Medical Radiography-Trends Over Eight Decades (1930 to 2010)","container-title":"Health Physics","page":"235-255","volume":"111","issue":"3","source":"PubMed","abstract":"This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2000s.","DOI":"10.1097/HP.0000000000000524","ISSN":"1538-5159","note":"PMID: 27472750","journalAbbreviation":"Health Phys","language":"eng","author":[{"family":"Melo","given":"Dunstana R."},{"family":"Miller","given":"Donald L."},{"family":"Chang","given":"Lienard"},{"family":"Moroz","given":"Brian"},{"family":"Linet","given":"Martha S."},{"family":"Simon","given":"Steven L."}],"issued":{"date-parts":[["2016",9]]}}}],"schema":"https://github.com/citation-style-language/schema/raw/master/csl-citation.json"} </w:instrText>
            </w:r>
            <w:r w:rsidRPr="002D548E">
              <w:rPr>
                <w:lang w:val="en-US"/>
              </w:rPr>
              <w:fldChar w:fldCharType="separate"/>
            </w:r>
            <w:r w:rsidRPr="0061602A">
              <w:rPr>
                <w:rFonts w:cs="Calibri"/>
              </w:rPr>
              <w:t>(1)</w:t>
            </w:r>
            <w:r w:rsidRPr="002D548E">
              <w:rPr>
                <w:lang w:val="en-US"/>
              </w:rPr>
              <w:fldChar w:fldCharType="end"/>
            </w:r>
            <w:r w:rsidRPr="002D548E">
              <w:rPr>
                <w:lang w:val="en-US"/>
              </w:rPr>
              <w:t>, Table 3 for dose values</w:t>
            </w:r>
          </w:p>
        </w:tc>
      </w:tr>
      <w:tr w:rsidR="0061602A" w:rsidRPr="002D548E" w:rsidTr="002F4F76">
        <w:tc>
          <w:tcPr>
            <w:tcW w:w="1432" w:type="dxa"/>
          </w:tcPr>
          <w:p w:rsidR="0061602A" w:rsidRPr="002D548E" w:rsidRDefault="0061602A" w:rsidP="002F4F76">
            <w:pPr>
              <w:spacing w:after="0" w:line="240" w:lineRule="auto"/>
              <w:jc w:val="both"/>
              <w:rPr>
                <w:lang w:val="en-US"/>
              </w:rPr>
            </w:pPr>
            <w:proofErr w:type="spellStart"/>
            <w:r w:rsidRPr="002D548E">
              <w:rPr>
                <w:lang w:val="en-US"/>
              </w:rPr>
              <w:t>Abdomen</w:t>
            </w:r>
            <w:r w:rsidRPr="002D548E">
              <w:rPr>
                <w:vertAlign w:val="superscript"/>
                <w:lang w:val="en-US"/>
              </w:rPr>
              <w:t>a</w:t>
            </w:r>
            <w:proofErr w:type="spellEnd"/>
          </w:p>
        </w:tc>
        <w:tc>
          <w:tcPr>
            <w:tcW w:w="7288" w:type="dxa"/>
            <w:gridSpan w:val="8"/>
            <w:vMerge/>
          </w:tcPr>
          <w:p w:rsidR="0061602A" w:rsidRPr="002D548E" w:rsidRDefault="0061602A" w:rsidP="002F4F76">
            <w:pPr>
              <w:spacing w:after="0" w:line="240" w:lineRule="auto"/>
              <w:jc w:val="both"/>
              <w:rPr>
                <w:lang w:val="en-US"/>
              </w:rPr>
            </w:pPr>
          </w:p>
        </w:tc>
      </w:tr>
      <w:tr w:rsidR="0061602A" w:rsidRPr="002D548E" w:rsidTr="002F4F76">
        <w:tc>
          <w:tcPr>
            <w:tcW w:w="1432" w:type="dxa"/>
          </w:tcPr>
          <w:p w:rsidR="0061602A" w:rsidRPr="002D548E" w:rsidRDefault="0061602A" w:rsidP="002F4F76">
            <w:pPr>
              <w:spacing w:after="0" w:line="240" w:lineRule="auto"/>
              <w:jc w:val="both"/>
              <w:rPr>
                <w:lang w:val="en-US"/>
              </w:rPr>
            </w:pPr>
            <w:r w:rsidRPr="002D548E">
              <w:rPr>
                <w:lang w:val="en-US"/>
              </w:rPr>
              <w:t>Face- skull</w:t>
            </w:r>
          </w:p>
        </w:tc>
        <w:tc>
          <w:tcPr>
            <w:tcW w:w="7288" w:type="dxa"/>
            <w:gridSpan w:val="8"/>
            <w:vMerge/>
          </w:tcPr>
          <w:p w:rsidR="0061602A" w:rsidRPr="002D548E" w:rsidRDefault="0061602A" w:rsidP="002F4F76">
            <w:pPr>
              <w:spacing w:after="0" w:line="240" w:lineRule="auto"/>
              <w:jc w:val="both"/>
              <w:rPr>
                <w:lang w:val="en-US"/>
              </w:rPr>
            </w:pPr>
          </w:p>
        </w:tc>
      </w:tr>
      <w:tr w:rsidR="0061602A" w:rsidRPr="002D548E" w:rsidTr="002F4F76">
        <w:tc>
          <w:tcPr>
            <w:tcW w:w="1432" w:type="dxa"/>
          </w:tcPr>
          <w:p w:rsidR="0061602A" w:rsidRPr="002D548E" w:rsidRDefault="0061602A" w:rsidP="002F4F76">
            <w:pPr>
              <w:spacing w:after="0" w:line="240" w:lineRule="auto"/>
              <w:jc w:val="both"/>
              <w:rPr>
                <w:lang w:val="en-US"/>
              </w:rPr>
            </w:pPr>
            <w:proofErr w:type="spellStart"/>
            <w:r w:rsidRPr="002D548E">
              <w:rPr>
                <w:lang w:val="en-US"/>
              </w:rPr>
              <w:t>Bone</w:t>
            </w:r>
            <w:r w:rsidRPr="002D548E">
              <w:rPr>
                <w:vertAlign w:val="superscript"/>
                <w:lang w:val="en-US"/>
              </w:rPr>
              <w:t>b</w:t>
            </w:r>
            <w:proofErr w:type="spellEnd"/>
          </w:p>
        </w:tc>
        <w:tc>
          <w:tcPr>
            <w:tcW w:w="912" w:type="dxa"/>
            <w:vAlign w:val="bottom"/>
          </w:tcPr>
          <w:p w:rsidR="0061602A" w:rsidRPr="002D548E" w:rsidRDefault="0061602A" w:rsidP="002F4F76">
            <w:pPr>
              <w:spacing w:after="0" w:line="240" w:lineRule="auto"/>
              <w:jc w:val="both"/>
              <w:rPr>
                <w:lang w:val="en-US"/>
              </w:rPr>
            </w:pPr>
            <w:r w:rsidRPr="002D548E">
              <w:rPr>
                <w:lang w:val="en-US"/>
              </w:rPr>
              <w:t>1.77</w:t>
            </w:r>
          </w:p>
        </w:tc>
        <w:tc>
          <w:tcPr>
            <w:tcW w:w="912" w:type="dxa"/>
            <w:vAlign w:val="bottom"/>
          </w:tcPr>
          <w:p w:rsidR="0061602A" w:rsidRPr="002D548E" w:rsidRDefault="0061602A" w:rsidP="002F4F76">
            <w:pPr>
              <w:spacing w:after="0" w:line="240" w:lineRule="auto"/>
              <w:jc w:val="both"/>
              <w:rPr>
                <w:lang w:val="en-US"/>
              </w:rPr>
            </w:pPr>
            <w:r w:rsidRPr="002D548E">
              <w:rPr>
                <w:lang w:val="en-US"/>
              </w:rPr>
              <w:t>1.89</w:t>
            </w:r>
          </w:p>
        </w:tc>
        <w:tc>
          <w:tcPr>
            <w:tcW w:w="910" w:type="dxa"/>
            <w:vAlign w:val="bottom"/>
          </w:tcPr>
          <w:p w:rsidR="0061602A" w:rsidRPr="002D548E" w:rsidRDefault="0061602A" w:rsidP="002F4F76">
            <w:pPr>
              <w:spacing w:after="0" w:line="240" w:lineRule="auto"/>
              <w:jc w:val="both"/>
              <w:rPr>
                <w:lang w:val="en-US"/>
              </w:rPr>
            </w:pPr>
            <w:r w:rsidRPr="002D548E">
              <w:rPr>
                <w:lang w:val="en-US"/>
              </w:rPr>
              <w:t>1.74</w:t>
            </w:r>
          </w:p>
        </w:tc>
        <w:tc>
          <w:tcPr>
            <w:tcW w:w="910" w:type="dxa"/>
            <w:vAlign w:val="bottom"/>
          </w:tcPr>
          <w:p w:rsidR="0061602A" w:rsidRPr="002D548E" w:rsidRDefault="0061602A" w:rsidP="002F4F76">
            <w:pPr>
              <w:spacing w:after="0" w:line="240" w:lineRule="auto"/>
              <w:jc w:val="both"/>
              <w:rPr>
                <w:lang w:val="en-US"/>
              </w:rPr>
            </w:pPr>
            <w:r w:rsidRPr="002D548E">
              <w:rPr>
                <w:lang w:val="en-US"/>
              </w:rPr>
              <w:t>0.57</w:t>
            </w:r>
          </w:p>
        </w:tc>
        <w:tc>
          <w:tcPr>
            <w:tcW w:w="911" w:type="dxa"/>
            <w:vAlign w:val="bottom"/>
          </w:tcPr>
          <w:p w:rsidR="0061602A" w:rsidRPr="002D548E" w:rsidRDefault="0061602A" w:rsidP="002F4F76">
            <w:pPr>
              <w:spacing w:after="0" w:line="240" w:lineRule="auto"/>
              <w:jc w:val="both"/>
              <w:rPr>
                <w:lang w:val="en-US"/>
              </w:rPr>
            </w:pPr>
            <w:r w:rsidRPr="002D548E">
              <w:rPr>
                <w:lang w:val="en-US"/>
              </w:rPr>
              <w:t>0.55</w:t>
            </w:r>
          </w:p>
        </w:tc>
        <w:tc>
          <w:tcPr>
            <w:tcW w:w="911" w:type="dxa"/>
            <w:vAlign w:val="bottom"/>
          </w:tcPr>
          <w:p w:rsidR="0061602A" w:rsidRPr="002D548E" w:rsidRDefault="0061602A" w:rsidP="002F4F76">
            <w:pPr>
              <w:spacing w:after="0" w:line="240" w:lineRule="auto"/>
              <w:jc w:val="both"/>
              <w:rPr>
                <w:lang w:val="en-US"/>
              </w:rPr>
            </w:pPr>
            <w:r w:rsidRPr="002D548E">
              <w:rPr>
                <w:lang w:val="en-US"/>
              </w:rPr>
              <w:t>0.57</w:t>
            </w:r>
          </w:p>
        </w:tc>
        <w:tc>
          <w:tcPr>
            <w:tcW w:w="911" w:type="dxa"/>
            <w:vAlign w:val="bottom"/>
          </w:tcPr>
          <w:p w:rsidR="0061602A" w:rsidRPr="002D548E" w:rsidRDefault="0061602A" w:rsidP="002F4F76">
            <w:pPr>
              <w:spacing w:after="0" w:line="240" w:lineRule="auto"/>
              <w:jc w:val="both"/>
              <w:rPr>
                <w:lang w:val="en-US"/>
              </w:rPr>
            </w:pPr>
            <w:r w:rsidRPr="002D548E">
              <w:rPr>
                <w:lang w:val="en-US"/>
              </w:rPr>
              <w:t>0.16</w:t>
            </w:r>
          </w:p>
        </w:tc>
        <w:tc>
          <w:tcPr>
            <w:tcW w:w="911" w:type="dxa"/>
            <w:vAlign w:val="bottom"/>
          </w:tcPr>
          <w:p w:rsidR="0061602A" w:rsidRPr="002D548E" w:rsidRDefault="0061602A" w:rsidP="002F4F76">
            <w:pPr>
              <w:spacing w:after="0" w:line="240" w:lineRule="auto"/>
              <w:jc w:val="both"/>
              <w:rPr>
                <w:lang w:val="en-US"/>
              </w:rPr>
            </w:pPr>
            <w:r w:rsidRPr="002D548E">
              <w:rPr>
                <w:lang w:val="en-US"/>
              </w:rPr>
              <w:t>0.16</w:t>
            </w:r>
          </w:p>
        </w:tc>
      </w:tr>
      <w:tr w:rsidR="0061602A" w:rsidRPr="002D548E" w:rsidTr="002F4F76">
        <w:trPr>
          <w:trHeight w:val="507"/>
        </w:trPr>
        <w:tc>
          <w:tcPr>
            <w:tcW w:w="1432" w:type="dxa"/>
            <w:tcBorders>
              <w:bottom w:val="single" w:sz="4" w:space="0" w:color="auto"/>
            </w:tcBorders>
          </w:tcPr>
          <w:p w:rsidR="0061602A" w:rsidRPr="002D548E" w:rsidRDefault="0061602A" w:rsidP="002F4F76">
            <w:pPr>
              <w:spacing w:after="0" w:line="240" w:lineRule="auto"/>
              <w:jc w:val="both"/>
              <w:rPr>
                <w:lang w:val="en-US"/>
              </w:rPr>
            </w:pPr>
            <w:r w:rsidRPr="002D548E">
              <w:rPr>
                <w:lang w:val="en-US"/>
              </w:rPr>
              <w:t xml:space="preserve">Kidney with </w:t>
            </w:r>
            <w:proofErr w:type="spellStart"/>
            <w:r w:rsidRPr="002D548E">
              <w:rPr>
                <w:lang w:val="en-US"/>
              </w:rPr>
              <w:t>contrast</w:t>
            </w:r>
            <w:r w:rsidRPr="002D548E">
              <w:rPr>
                <w:vertAlign w:val="superscript"/>
                <w:lang w:val="en-US"/>
              </w:rPr>
              <w:t>c</w:t>
            </w:r>
            <w:proofErr w:type="spellEnd"/>
          </w:p>
        </w:tc>
        <w:tc>
          <w:tcPr>
            <w:tcW w:w="912"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6.5</w:t>
            </w:r>
          </w:p>
        </w:tc>
        <w:tc>
          <w:tcPr>
            <w:tcW w:w="912"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6.5</w:t>
            </w:r>
          </w:p>
        </w:tc>
        <w:tc>
          <w:tcPr>
            <w:tcW w:w="910"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6.5</w:t>
            </w:r>
          </w:p>
        </w:tc>
        <w:tc>
          <w:tcPr>
            <w:tcW w:w="910"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1.25</w:t>
            </w:r>
          </w:p>
        </w:tc>
        <w:tc>
          <w:tcPr>
            <w:tcW w:w="911"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0.95</w:t>
            </w:r>
          </w:p>
        </w:tc>
        <w:tc>
          <w:tcPr>
            <w:tcW w:w="911"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1.65</w:t>
            </w:r>
          </w:p>
        </w:tc>
        <w:tc>
          <w:tcPr>
            <w:tcW w:w="911"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1</w:t>
            </w:r>
          </w:p>
        </w:tc>
        <w:tc>
          <w:tcPr>
            <w:tcW w:w="911" w:type="dxa"/>
            <w:tcBorders>
              <w:bottom w:val="single" w:sz="4" w:space="0" w:color="auto"/>
            </w:tcBorders>
            <w:vAlign w:val="bottom"/>
          </w:tcPr>
          <w:p w:rsidR="0061602A" w:rsidRPr="002D548E" w:rsidRDefault="0061602A" w:rsidP="002F4F76">
            <w:pPr>
              <w:spacing w:after="0" w:line="240" w:lineRule="auto"/>
              <w:jc w:val="both"/>
              <w:rPr>
                <w:lang w:val="en-US"/>
              </w:rPr>
            </w:pPr>
            <w:r w:rsidRPr="002D548E">
              <w:rPr>
                <w:lang w:val="en-US"/>
              </w:rPr>
              <w:t>1</w:t>
            </w:r>
          </w:p>
        </w:tc>
      </w:tr>
      <w:tr w:rsidR="0061602A" w:rsidRPr="002D548E" w:rsidTr="002F4F76">
        <w:tc>
          <w:tcPr>
            <w:tcW w:w="8720" w:type="dxa"/>
            <w:gridSpan w:val="9"/>
          </w:tcPr>
          <w:p w:rsidR="0061602A" w:rsidRPr="002D548E" w:rsidRDefault="0061602A" w:rsidP="002F4F76">
            <w:pPr>
              <w:pStyle w:val="Prrafodelista"/>
              <w:numPr>
                <w:ilvl w:val="0"/>
                <w:numId w:val="1"/>
              </w:numPr>
              <w:spacing w:after="0" w:line="240" w:lineRule="auto"/>
              <w:jc w:val="both"/>
              <w:rPr>
                <w:sz w:val="20"/>
                <w:szCs w:val="20"/>
                <w:lang w:val="en-US"/>
              </w:rPr>
            </w:pPr>
            <w:proofErr w:type="spellStart"/>
            <w:r w:rsidRPr="002D548E">
              <w:rPr>
                <w:sz w:val="20"/>
                <w:szCs w:val="20"/>
                <w:lang w:val="en-US"/>
              </w:rPr>
              <w:t>a</w:t>
            </w:r>
            <w:proofErr w:type="spellEnd"/>
            <w:r w:rsidRPr="002D548E">
              <w:rPr>
                <w:sz w:val="20"/>
                <w:szCs w:val="20"/>
                <w:lang w:val="en-US"/>
              </w:rPr>
              <w:t>_ We sum together abdomen with and without contrast</w:t>
            </w:r>
          </w:p>
          <w:p w:rsidR="0061602A" w:rsidRPr="002D548E" w:rsidRDefault="0061602A" w:rsidP="002F4F76">
            <w:pPr>
              <w:pStyle w:val="Prrafodelista"/>
              <w:numPr>
                <w:ilvl w:val="0"/>
                <w:numId w:val="1"/>
              </w:numPr>
              <w:spacing w:after="0" w:line="240" w:lineRule="auto"/>
              <w:jc w:val="both"/>
              <w:rPr>
                <w:sz w:val="20"/>
                <w:szCs w:val="20"/>
                <w:lang w:val="en-US"/>
              </w:rPr>
            </w:pPr>
            <w:r w:rsidRPr="002D548E">
              <w:rPr>
                <w:sz w:val="20"/>
                <w:szCs w:val="20"/>
                <w:lang w:val="en-US"/>
              </w:rPr>
              <w:t xml:space="preserve">b_ According to the % of the body part scanned over the total number of bone x-ray performed in general population, we calculated the dose as a weighted average of thoracic-cervical spine, thoracic spine, thoracic-lumbar spine, lumbar spine, </w:t>
            </w:r>
            <w:proofErr w:type="spellStart"/>
            <w:r w:rsidRPr="002D548E">
              <w:rPr>
                <w:sz w:val="20"/>
                <w:szCs w:val="20"/>
                <w:lang w:val="en-US"/>
              </w:rPr>
              <w:t>lumbosacral</w:t>
            </w:r>
            <w:proofErr w:type="spellEnd"/>
            <w:r w:rsidRPr="002D548E">
              <w:rPr>
                <w:sz w:val="20"/>
                <w:szCs w:val="20"/>
                <w:lang w:val="en-US"/>
              </w:rPr>
              <w:t xml:space="preserve"> spine, sacrum,</w:t>
            </w:r>
            <w:r>
              <w:rPr>
                <w:sz w:val="20"/>
                <w:szCs w:val="20"/>
                <w:lang w:val="en-US"/>
              </w:rPr>
              <w:t xml:space="preserve"> pelvis (dose based on </w:t>
            </w:r>
            <w:proofErr w:type="spellStart"/>
            <w:r>
              <w:rPr>
                <w:sz w:val="20"/>
                <w:szCs w:val="20"/>
                <w:lang w:val="en-US"/>
              </w:rPr>
              <w:t>Melo</w:t>
            </w:r>
            <w:proofErr w:type="spellEnd"/>
            <w:r>
              <w:rPr>
                <w:sz w:val="20"/>
                <w:szCs w:val="20"/>
                <w:lang w:val="en-US"/>
              </w:rPr>
              <w:t xml:space="preserve"> 2016 </w:t>
            </w:r>
            <w:r>
              <w:rPr>
                <w:sz w:val="20"/>
                <w:szCs w:val="20"/>
                <w:lang w:val="en-US"/>
              </w:rPr>
              <w:fldChar w:fldCharType="begin"/>
            </w:r>
            <w:r>
              <w:rPr>
                <w:sz w:val="20"/>
                <w:szCs w:val="20"/>
                <w:lang w:val="en-US"/>
              </w:rPr>
              <w:instrText xml:space="preserve"> ADDIN ZOTERO_ITEM CSL_CITATION {"citationID":"hebKV9Cu","properties":{"formattedCitation":"(1)","plainCitation":"(1)","noteIndex":0},"citationItems":[{"id":6142,"uris":["http://zotero.org/users/2552500/items/3JF562DA"],"uri":["http://zotero.org/users/2552500/items/3JF562DA"],"itemData":{"id":6142,"type":"article-journal","title":"Organ Doses From Diagnostic Medical Radiography-Trends Over Eight Decades (1930 to 2010)","container-title":"Health Physics","page":"235-255","volume":"111","issue":"3","source":"PubMed","abstract":"This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2000s.","DOI":"10.1097/HP.0000000000000524","ISSN":"1538-5159","note":"PMID: 27472750","journalAbbreviation":"Health Phys","language":"eng","author":[{"family":"Melo","given":"Dunstana R."},{"family":"Miller","given":"Donald L."},{"family":"Chang","given":"Lienard"},{"family":"Moroz","given":"Brian"},{"family":"Linet","given":"Martha S."},{"family":"Simon","given":"Steven L."}],"issued":{"date-parts":[["2016",9]]}}}],"schema":"https://github.com/citation-style-language/schema/raw/master/csl-citation.json"} </w:instrText>
            </w:r>
            <w:r>
              <w:rPr>
                <w:sz w:val="20"/>
                <w:szCs w:val="20"/>
                <w:lang w:val="en-US"/>
              </w:rPr>
              <w:fldChar w:fldCharType="separate"/>
            </w:r>
            <w:r w:rsidRPr="00C62CDB">
              <w:rPr>
                <w:rFonts w:cs="Calibri"/>
                <w:sz w:val="20"/>
              </w:rPr>
              <w:t>(1)</w:t>
            </w:r>
            <w:r>
              <w:rPr>
                <w:sz w:val="20"/>
                <w:szCs w:val="20"/>
                <w:lang w:val="en-US"/>
              </w:rPr>
              <w:fldChar w:fldCharType="end"/>
            </w:r>
            <w:r w:rsidRPr="002D548E">
              <w:rPr>
                <w:sz w:val="20"/>
                <w:szCs w:val="20"/>
                <w:lang w:val="en-US"/>
              </w:rPr>
              <w:t>), extremities (where dose=0) (for the distribution in general population: “UNSCEAR 2000 Report-</w:t>
            </w:r>
            <w:proofErr w:type="spellStart"/>
            <w:r w:rsidRPr="002D548E">
              <w:rPr>
                <w:sz w:val="20"/>
                <w:szCs w:val="20"/>
                <w:lang w:val="en-US"/>
              </w:rPr>
              <w:t>Vol</w:t>
            </w:r>
            <w:proofErr w:type="spellEnd"/>
            <w:r w:rsidRPr="002D548E">
              <w:rPr>
                <w:sz w:val="20"/>
                <w:szCs w:val="20"/>
                <w:lang w:val="en-US"/>
              </w:rPr>
              <w:t xml:space="preserve"> II, Annex D” 2000</w:t>
            </w:r>
            <w:r>
              <w:rPr>
                <w:sz w:val="20"/>
                <w:szCs w:val="20"/>
                <w:lang w:val="en-US"/>
              </w:rPr>
              <w:t xml:space="preserve"> </w:t>
            </w:r>
            <w:r>
              <w:rPr>
                <w:sz w:val="20"/>
                <w:szCs w:val="20"/>
                <w:lang w:val="en-US"/>
              </w:rPr>
              <w:fldChar w:fldCharType="begin"/>
            </w:r>
            <w:r>
              <w:rPr>
                <w:sz w:val="20"/>
                <w:szCs w:val="20"/>
                <w:lang w:val="en-US"/>
              </w:rPr>
              <w:instrText xml:space="preserve"> ADDIN ZOTERO_ITEM CSL_CITATION {"citationID":"gQDwiRid","properties":{"formattedCitation":"(2)","plainCitation":"(2)","noteIndex":0},"citationItems":[{"id":6501,"uris":["http://zotero.org/users/2552500/items/ZCZ959LH"],"uri":["http://zotero.org/users/2552500/items/ZCZ959LH"],"itemData":{"id":6501,"type":"book","title":"Sources and effects of ionizing radiation: United Nations Scientific Committee on the Effects of Atomic Radiation: UNSCEAR 2000 report to the General Assembly, with scientific annexes","publisher":"United Nations","publisher-place":"New York","number-of-pages":"2","source":"Library of Congress ISBN","event-place":"New York","ISBN":"978-92-1-142238-2","call-number":"RA569 .S582 2000","note":"OCLC: ocm45228885","shortTitle":"Sources and effects of ionizing radiation","language":"en","editor":[{"family":"United Nations","given":""}],"issued":{"date-parts":[["2000"]]}}}],"schema":"https://github.com/citation-style-language/schema/raw/master/csl-citation.json"} </w:instrText>
            </w:r>
            <w:r>
              <w:rPr>
                <w:sz w:val="20"/>
                <w:szCs w:val="20"/>
                <w:lang w:val="en-US"/>
              </w:rPr>
              <w:fldChar w:fldCharType="separate"/>
            </w:r>
            <w:r w:rsidRPr="0061602A">
              <w:rPr>
                <w:rFonts w:cs="Calibri"/>
                <w:sz w:val="20"/>
              </w:rPr>
              <w:t>(2)</w:t>
            </w:r>
            <w:r>
              <w:rPr>
                <w:sz w:val="20"/>
                <w:szCs w:val="20"/>
                <w:lang w:val="en-US"/>
              </w:rPr>
              <w:fldChar w:fldCharType="end"/>
            </w:r>
            <w:r w:rsidRPr="002D548E">
              <w:rPr>
                <w:sz w:val="20"/>
                <w:szCs w:val="20"/>
                <w:lang w:val="en-US"/>
              </w:rPr>
              <w:t>, Table 13 , Average value between Health Care level I Country</w:t>
            </w:r>
            <w:r>
              <w:rPr>
                <w:sz w:val="20"/>
                <w:szCs w:val="20"/>
                <w:lang w:val="en-US"/>
              </w:rPr>
              <w:t>)</w:t>
            </w:r>
            <w:r w:rsidRPr="002D548E">
              <w:rPr>
                <w:sz w:val="20"/>
                <w:szCs w:val="20"/>
                <w:lang w:val="en-US"/>
              </w:rPr>
              <w:t>.</w:t>
            </w:r>
          </w:p>
          <w:p w:rsidR="0061602A" w:rsidRPr="002D548E" w:rsidRDefault="0061602A" w:rsidP="002F4F76">
            <w:pPr>
              <w:pStyle w:val="Prrafodelista"/>
              <w:numPr>
                <w:ilvl w:val="0"/>
                <w:numId w:val="1"/>
              </w:numPr>
              <w:spacing w:after="0" w:line="240" w:lineRule="auto"/>
              <w:jc w:val="both"/>
              <w:rPr>
                <w:sz w:val="20"/>
                <w:szCs w:val="20"/>
                <w:lang w:val="en-US"/>
              </w:rPr>
            </w:pPr>
            <w:proofErr w:type="gramStart"/>
            <w:r w:rsidRPr="002D548E">
              <w:rPr>
                <w:sz w:val="20"/>
                <w:szCs w:val="20"/>
                <w:lang w:val="en-US"/>
              </w:rPr>
              <w:t>c</w:t>
            </w:r>
            <w:proofErr w:type="gramEnd"/>
            <w:r w:rsidRPr="002D548E">
              <w:rPr>
                <w:sz w:val="20"/>
                <w:szCs w:val="20"/>
                <w:lang w:val="en-US"/>
              </w:rPr>
              <w:t xml:space="preserve"> _ This examination is basically an abdominal x-ray, but different films are taken on average for each examination (two conventional abdomen projections plus images at different times depending on the contrast washout). We found that on average 10 films are taken </w:t>
            </w:r>
            <w:r w:rsidRPr="002D548E">
              <w:rPr>
                <w:sz w:val="20"/>
                <w:szCs w:val="20"/>
                <w:lang w:val="en-US"/>
              </w:rPr>
              <w:fldChar w:fldCharType="begin"/>
            </w:r>
            <w:r>
              <w:rPr>
                <w:sz w:val="20"/>
                <w:szCs w:val="20"/>
                <w:lang w:val="en-US"/>
              </w:rPr>
              <w:instrText xml:space="preserve"> ADDIN ZOTERO_ITEM CSL_CITATION {"citationID":"GA7we1tK","properties":{"formattedCitation":"(3)","plainCitation":"(3)","noteIndex":0},"citationItems":[{"id":5466,"uris":["http://zotero.org/users/2552500/items/P82R3DAI"],"uri":["http://zotero.org/users/2552500/items/P82R3DAI"],"itemData":{"id":5466,"type":"article-journal","title":"A comparison of diagnostic radiology practice and patient exposure in Britain, France and Italy","container-title":"The British Journal of Radiology","page":"143-152","volume":"61","issue":"722","source":"PubMed","abstract":"Surveys have been conducted in Britain, France and Italy, using essentially the same techniques, to establish the level of provision of diagnostic radiology services, the frequency of X-ray examinations and examples of the radiation doses delivered to patients in each country. Different national strategies for conducting some types of X-ray examination and marked differences in the general availability of this aspect of health care indicate that the justification and optimization of medical exposures is not interpreted in the same way in these countries.","DOI":"10.1259/0007-1285-61-722-143","ISSN":"0007-1285","note":"PMID: 3349251","journalAbbreviation":"Br J Radiol","language":"eng","author":[{"family":"Contento","given":"G."},{"family":"Malisan","given":"M. R."},{"family":"Padovani","given":"R."},{"family":"Maccia","given":"C."},{"family":"Wall","given":"B. F."},{"family":"Shrimpton","given":"P. C."}],"issued":{"date-parts":[["1988",2]]}}}],"schema":"https://github.com/citation-style-language/schema/raw/master/csl-citation.json"} </w:instrText>
            </w:r>
            <w:r w:rsidRPr="002D548E">
              <w:rPr>
                <w:sz w:val="20"/>
                <w:szCs w:val="20"/>
                <w:lang w:val="en-US"/>
              </w:rPr>
              <w:fldChar w:fldCharType="separate"/>
            </w:r>
            <w:r w:rsidRPr="0061602A">
              <w:rPr>
                <w:rFonts w:cs="Calibri"/>
                <w:sz w:val="20"/>
              </w:rPr>
              <w:t>(3)</w:t>
            </w:r>
            <w:r w:rsidRPr="002D548E">
              <w:rPr>
                <w:sz w:val="20"/>
                <w:szCs w:val="20"/>
                <w:lang w:val="en-US"/>
              </w:rPr>
              <w:fldChar w:fldCharType="end"/>
            </w:r>
            <w:r w:rsidRPr="002D548E">
              <w:rPr>
                <w:sz w:val="20"/>
                <w:szCs w:val="20"/>
                <w:lang w:val="en-US"/>
              </w:rPr>
              <w:t>, 5 for each projection (</w:t>
            </w:r>
            <w:proofErr w:type="spellStart"/>
            <w:r w:rsidRPr="002D548E">
              <w:rPr>
                <w:sz w:val="20"/>
                <w:szCs w:val="20"/>
                <w:lang w:val="en-US"/>
              </w:rPr>
              <w:t>anteroposterior</w:t>
            </w:r>
            <w:proofErr w:type="spellEnd"/>
            <w:r w:rsidRPr="002D548E">
              <w:rPr>
                <w:sz w:val="20"/>
                <w:szCs w:val="20"/>
                <w:lang w:val="en-US"/>
              </w:rPr>
              <w:t xml:space="preserve">, lateral). We therefore multiply by 5 the dose from the abdomen </w:t>
            </w:r>
            <w:r>
              <w:rPr>
                <w:sz w:val="20"/>
                <w:szCs w:val="20"/>
                <w:lang w:val="en-US"/>
              </w:rPr>
              <w:t xml:space="preserve">x-ray as reported by </w:t>
            </w:r>
            <w:proofErr w:type="spellStart"/>
            <w:r>
              <w:rPr>
                <w:sz w:val="20"/>
                <w:szCs w:val="20"/>
                <w:lang w:val="en-US"/>
              </w:rPr>
              <w:t>Melo</w:t>
            </w:r>
            <w:proofErr w:type="spellEnd"/>
            <w:r>
              <w:rPr>
                <w:sz w:val="20"/>
                <w:szCs w:val="20"/>
                <w:lang w:val="en-US"/>
              </w:rPr>
              <w:t xml:space="preserve"> 2016 </w:t>
            </w:r>
            <w:r>
              <w:rPr>
                <w:sz w:val="20"/>
                <w:szCs w:val="20"/>
                <w:lang w:val="en-US"/>
              </w:rPr>
              <w:fldChar w:fldCharType="begin"/>
            </w:r>
            <w:r>
              <w:rPr>
                <w:sz w:val="20"/>
                <w:szCs w:val="20"/>
                <w:lang w:val="en-US"/>
              </w:rPr>
              <w:instrText xml:space="preserve"> ADDIN ZOTERO_ITEM CSL_CITATION {"citationID":"r8MT8XeM","properties":{"formattedCitation":"(1)","plainCitation":"(1)","noteIndex":0},"citationItems":[{"id":6142,"uris":["http://zotero.org/users/2552500/items/3JF562DA"],"uri":["http://zotero.org/users/2552500/items/3JF562DA"],"itemData":{"id":6142,"type":"article-journal","title":"Organ Doses From Diagnostic Medical Radiography-Trends Over Eight Decades (1930 to 2010)","container-title":"Health Physics","page":"235-255","volume":"111","issue":"3","source":"PubMed","abstract":"This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2000s.","DOI":"10.1097/HP.0000000000000524","ISSN":"1538-5159","note":"PMID: 27472750","journalAbbreviation":"Health Phys","language":"eng","author":[{"family":"Melo","given":"Dunstana R."},{"family":"Miller","given":"Donald L."},{"family":"Chang","given":"Lienard"},{"family":"Moroz","given":"Brian"},{"family":"Linet","given":"Martha S."},{"family":"Simon","given":"Steven L."}],"issued":{"date-parts":[["2016",9]]}}}],"schema":"https://github.com/citation-style-language/schema/raw/master/csl-citation.json"} </w:instrText>
            </w:r>
            <w:r>
              <w:rPr>
                <w:sz w:val="20"/>
                <w:szCs w:val="20"/>
                <w:lang w:val="en-US"/>
              </w:rPr>
              <w:fldChar w:fldCharType="separate"/>
            </w:r>
            <w:r w:rsidRPr="00C62CDB">
              <w:rPr>
                <w:rFonts w:cs="Calibri"/>
                <w:sz w:val="20"/>
              </w:rPr>
              <w:t>(1)</w:t>
            </w:r>
            <w:r>
              <w:rPr>
                <w:sz w:val="20"/>
                <w:szCs w:val="20"/>
                <w:lang w:val="en-US"/>
              </w:rPr>
              <w:fldChar w:fldCharType="end"/>
            </w:r>
            <w:r w:rsidRPr="002D548E">
              <w:rPr>
                <w:sz w:val="20"/>
                <w:szCs w:val="20"/>
                <w:lang w:val="en-US"/>
              </w:rPr>
              <w:t>.</w:t>
            </w:r>
          </w:p>
          <w:p w:rsidR="0061602A" w:rsidRPr="002D548E" w:rsidRDefault="0061602A" w:rsidP="002F4F76">
            <w:pPr>
              <w:spacing w:after="0" w:line="240" w:lineRule="auto"/>
              <w:jc w:val="both"/>
              <w:rPr>
                <w:sz w:val="20"/>
                <w:szCs w:val="20"/>
                <w:lang w:val="en-US"/>
              </w:rPr>
            </w:pPr>
          </w:p>
        </w:tc>
      </w:tr>
    </w:tbl>
    <w:p w:rsidR="0061602A" w:rsidRDefault="0061602A" w:rsidP="0061602A">
      <w:pPr>
        <w:rPr>
          <w:rFonts w:eastAsia="Times New Roman"/>
          <w:b/>
          <w:lang w:val="en-US"/>
        </w:rPr>
      </w:pPr>
    </w:p>
    <w:p w:rsidR="0061602A" w:rsidRPr="0061602A" w:rsidRDefault="0061602A" w:rsidP="0061602A">
      <w:pPr>
        <w:pStyle w:val="Bibliografa"/>
        <w:rPr>
          <w:rFonts w:cs="Calibri"/>
        </w:rPr>
      </w:pPr>
      <w:r>
        <w:fldChar w:fldCharType="begin"/>
      </w:r>
      <w:r>
        <w:instrText xml:space="preserve"> ADDIN ZOTERO_BIBL {"uncited":[],"omitted":[],"custom":[]} CSL_BIBLIOGRAPHY </w:instrText>
      </w:r>
      <w:r>
        <w:fldChar w:fldCharType="separate"/>
      </w:r>
      <w:r w:rsidRPr="0061602A">
        <w:rPr>
          <w:rFonts w:cs="Calibri"/>
        </w:rPr>
        <w:t xml:space="preserve">1. </w:t>
      </w:r>
      <w:r w:rsidRPr="0061602A">
        <w:rPr>
          <w:rFonts w:cs="Calibri"/>
        </w:rPr>
        <w:tab/>
        <w:t xml:space="preserve">Melo DR, Miller DL, Chang L, </w:t>
      </w:r>
      <w:proofErr w:type="spellStart"/>
      <w:r w:rsidRPr="0061602A">
        <w:rPr>
          <w:rFonts w:cs="Calibri"/>
        </w:rPr>
        <w:t>Moroz</w:t>
      </w:r>
      <w:proofErr w:type="spellEnd"/>
      <w:r w:rsidRPr="0061602A">
        <w:rPr>
          <w:rFonts w:cs="Calibri"/>
        </w:rPr>
        <w:t xml:space="preserve"> B, </w:t>
      </w:r>
      <w:proofErr w:type="spellStart"/>
      <w:r w:rsidRPr="0061602A">
        <w:rPr>
          <w:rFonts w:cs="Calibri"/>
        </w:rPr>
        <w:t>Linet</w:t>
      </w:r>
      <w:proofErr w:type="spellEnd"/>
      <w:r w:rsidRPr="0061602A">
        <w:rPr>
          <w:rFonts w:cs="Calibri"/>
        </w:rPr>
        <w:t xml:space="preserve"> MS, </w:t>
      </w:r>
      <w:proofErr w:type="spellStart"/>
      <w:r w:rsidRPr="0061602A">
        <w:rPr>
          <w:rFonts w:cs="Calibri"/>
        </w:rPr>
        <w:t>Simon</w:t>
      </w:r>
      <w:proofErr w:type="spellEnd"/>
      <w:r w:rsidRPr="0061602A">
        <w:rPr>
          <w:rFonts w:cs="Calibri"/>
        </w:rPr>
        <w:t xml:space="preserve"> SL. </w:t>
      </w:r>
      <w:proofErr w:type="spellStart"/>
      <w:r w:rsidRPr="0061602A">
        <w:rPr>
          <w:rFonts w:cs="Calibri"/>
        </w:rPr>
        <w:t>Organ</w:t>
      </w:r>
      <w:proofErr w:type="spellEnd"/>
      <w:r w:rsidRPr="0061602A">
        <w:rPr>
          <w:rFonts w:cs="Calibri"/>
        </w:rPr>
        <w:t xml:space="preserve"> Doses </w:t>
      </w:r>
      <w:proofErr w:type="spellStart"/>
      <w:r w:rsidRPr="0061602A">
        <w:rPr>
          <w:rFonts w:cs="Calibri"/>
        </w:rPr>
        <w:t>From</w:t>
      </w:r>
      <w:proofErr w:type="spellEnd"/>
      <w:r w:rsidRPr="0061602A">
        <w:rPr>
          <w:rFonts w:cs="Calibri"/>
        </w:rPr>
        <w:t xml:space="preserve"> </w:t>
      </w:r>
      <w:proofErr w:type="spellStart"/>
      <w:r w:rsidRPr="0061602A">
        <w:rPr>
          <w:rFonts w:cs="Calibri"/>
        </w:rPr>
        <w:t>Diagnostic</w:t>
      </w:r>
      <w:proofErr w:type="spellEnd"/>
      <w:r w:rsidRPr="0061602A">
        <w:rPr>
          <w:rFonts w:cs="Calibri"/>
        </w:rPr>
        <w:t xml:space="preserve"> </w:t>
      </w:r>
      <w:proofErr w:type="spellStart"/>
      <w:r w:rsidRPr="0061602A">
        <w:rPr>
          <w:rFonts w:cs="Calibri"/>
        </w:rPr>
        <w:t>Medical</w:t>
      </w:r>
      <w:proofErr w:type="spellEnd"/>
      <w:r w:rsidRPr="0061602A">
        <w:rPr>
          <w:rFonts w:cs="Calibri"/>
        </w:rPr>
        <w:t xml:space="preserve"> </w:t>
      </w:r>
      <w:proofErr w:type="spellStart"/>
      <w:r w:rsidRPr="0061602A">
        <w:rPr>
          <w:rFonts w:cs="Calibri"/>
        </w:rPr>
        <w:t>Radiography-Trends</w:t>
      </w:r>
      <w:proofErr w:type="spellEnd"/>
      <w:r w:rsidRPr="0061602A">
        <w:rPr>
          <w:rFonts w:cs="Calibri"/>
        </w:rPr>
        <w:t xml:space="preserve"> </w:t>
      </w:r>
      <w:proofErr w:type="spellStart"/>
      <w:r w:rsidRPr="0061602A">
        <w:rPr>
          <w:rFonts w:cs="Calibri"/>
        </w:rPr>
        <w:t>Over</w:t>
      </w:r>
      <w:proofErr w:type="spellEnd"/>
      <w:r w:rsidRPr="0061602A">
        <w:rPr>
          <w:rFonts w:cs="Calibri"/>
        </w:rPr>
        <w:t xml:space="preserve"> </w:t>
      </w:r>
      <w:proofErr w:type="spellStart"/>
      <w:r w:rsidRPr="0061602A">
        <w:rPr>
          <w:rFonts w:cs="Calibri"/>
        </w:rPr>
        <w:t>Eight</w:t>
      </w:r>
      <w:proofErr w:type="spellEnd"/>
      <w:r w:rsidRPr="0061602A">
        <w:rPr>
          <w:rFonts w:cs="Calibri"/>
        </w:rPr>
        <w:t xml:space="preserve"> </w:t>
      </w:r>
      <w:proofErr w:type="spellStart"/>
      <w:r w:rsidRPr="0061602A">
        <w:rPr>
          <w:rFonts w:cs="Calibri"/>
        </w:rPr>
        <w:t>Decades</w:t>
      </w:r>
      <w:proofErr w:type="spellEnd"/>
      <w:r w:rsidRPr="0061602A">
        <w:rPr>
          <w:rFonts w:cs="Calibri"/>
        </w:rPr>
        <w:t xml:space="preserve"> (1930 </w:t>
      </w:r>
      <w:proofErr w:type="spellStart"/>
      <w:r w:rsidRPr="0061602A">
        <w:rPr>
          <w:rFonts w:cs="Calibri"/>
        </w:rPr>
        <w:t>to</w:t>
      </w:r>
      <w:proofErr w:type="spellEnd"/>
      <w:r w:rsidRPr="0061602A">
        <w:rPr>
          <w:rFonts w:cs="Calibri"/>
        </w:rPr>
        <w:t xml:space="preserve"> 2010). </w:t>
      </w:r>
      <w:proofErr w:type="spellStart"/>
      <w:r w:rsidRPr="0061602A">
        <w:rPr>
          <w:rFonts w:cs="Calibri"/>
        </w:rPr>
        <w:t>Health</w:t>
      </w:r>
      <w:proofErr w:type="spellEnd"/>
      <w:r w:rsidRPr="0061602A">
        <w:rPr>
          <w:rFonts w:cs="Calibri"/>
        </w:rPr>
        <w:t xml:space="preserve"> </w:t>
      </w:r>
      <w:proofErr w:type="spellStart"/>
      <w:r w:rsidRPr="0061602A">
        <w:rPr>
          <w:rFonts w:cs="Calibri"/>
        </w:rPr>
        <w:t>Phys</w:t>
      </w:r>
      <w:proofErr w:type="spellEnd"/>
      <w:r w:rsidRPr="0061602A">
        <w:rPr>
          <w:rFonts w:cs="Calibri"/>
        </w:rPr>
        <w:t>. 2016 Sep</w:t>
      </w:r>
      <w:proofErr w:type="gramStart"/>
      <w:r w:rsidRPr="0061602A">
        <w:rPr>
          <w:rFonts w:cs="Calibri"/>
        </w:rPr>
        <w:t>;111</w:t>
      </w:r>
      <w:proofErr w:type="gramEnd"/>
      <w:r w:rsidRPr="0061602A">
        <w:rPr>
          <w:rFonts w:cs="Calibri"/>
        </w:rPr>
        <w:t xml:space="preserve">(3):235–55. </w:t>
      </w:r>
    </w:p>
    <w:p w:rsidR="0061602A" w:rsidRPr="0061602A" w:rsidRDefault="0061602A" w:rsidP="0061602A">
      <w:pPr>
        <w:pStyle w:val="Bibliografa"/>
        <w:rPr>
          <w:rFonts w:cs="Calibri"/>
        </w:rPr>
      </w:pPr>
      <w:r w:rsidRPr="0061602A">
        <w:rPr>
          <w:rFonts w:cs="Calibri"/>
        </w:rPr>
        <w:t xml:space="preserve">2. </w:t>
      </w:r>
      <w:r w:rsidRPr="0061602A">
        <w:rPr>
          <w:rFonts w:cs="Calibri"/>
        </w:rPr>
        <w:tab/>
      </w:r>
      <w:proofErr w:type="spellStart"/>
      <w:r w:rsidRPr="0061602A">
        <w:rPr>
          <w:rFonts w:cs="Calibri"/>
        </w:rPr>
        <w:t>United</w:t>
      </w:r>
      <w:proofErr w:type="spellEnd"/>
      <w:r w:rsidRPr="0061602A">
        <w:rPr>
          <w:rFonts w:cs="Calibri"/>
        </w:rPr>
        <w:t xml:space="preserve"> </w:t>
      </w:r>
      <w:proofErr w:type="spellStart"/>
      <w:r w:rsidRPr="0061602A">
        <w:rPr>
          <w:rFonts w:cs="Calibri"/>
        </w:rPr>
        <w:t>Nations</w:t>
      </w:r>
      <w:proofErr w:type="spellEnd"/>
      <w:r w:rsidRPr="0061602A">
        <w:rPr>
          <w:rFonts w:cs="Calibri"/>
        </w:rPr>
        <w:t xml:space="preserve">, editor. </w:t>
      </w:r>
      <w:proofErr w:type="spellStart"/>
      <w:r w:rsidRPr="0061602A">
        <w:rPr>
          <w:rFonts w:cs="Calibri"/>
        </w:rPr>
        <w:t>Sources</w:t>
      </w:r>
      <w:proofErr w:type="spellEnd"/>
      <w:r w:rsidRPr="0061602A">
        <w:rPr>
          <w:rFonts w:cs="Calibri"/>
        </w:rPr>
        <w:t xml:space="preserve"> and </w:t>
      </w:r>
      <w:proofErr w:type="spellStart"/>
      <w:r w:rsidRPr="0061602A">
        <w:rPr>
          <w:rFonts w:cs="Calibri"/>
        </w:rPr>
        <w:t>effects</w:t>
      </w:r>
      <w:proofErr w:type="spellEnd"/>
      <w:r w:rsidRPr="0061602A">
        <w:rPr>
          <w:rFonts w:cs="Calibri"/>
        </w:rPr>
        <w:t xml:space="preserve"> of </w:t>
      </w:r>
      <w:proofErr w:type="spellStart"/>
      <w:r w:rsidRPr="0061602A">
        <w:rPr>
          <w:rFonts w:cs="Calibri"/>
        </w:rPr>
        <w:t>ionizing</w:t>
      </w:r>
      <w:proofErr w:type="spellEnd"/>
      <w:r w:rsidRPr="0061602A">
        <w:rPr>
          <w:rFonts w:cs="Calibri"/>
        </w:rPr>
        <w:t xml:space="preserve"> </w:t>
      </w:r>
      <w:proofErr w:type="spellStart"/>
      <w:r w:rsidRPr="0061602A">
        <w:rPr>
          <w:rFonts w:cs="Calibri"/>
        </w:rPr>
        <w:t>radiation</w:t>
      </w:r>
      <w:proofErr w:type="spellEnd"/>
      <w:r w:rsidRPr="0061602A">
        <w:rPr>
          <w:rFonts w:cs="Calibri"/>
        </w:rPr>
        <w:t xml:space="preserve">: </w:t>
      </w:r>
      <w:proofErr w:type="spellStart"/>
      <w:r w:rsidRPr="0061602A">
        <w:rPr>
          <w:rFonts w:cs="Calibri"/>
        </w:rPr>
        <w:t>United</w:t>
      </w:r>
      <w:proofErr w:type="spellEnd"/>
      <w:r w:rsidRPr="0061602A">
        <w:rPr>
          <w:rFonts w:cs="Calibri"/>
        </w:rPr>
        <w:t xml:space="preserve"> </w:t>
      </w:r>
      <w:proofErr w:type="spellStart"/>
      <w:r w:rsidRPr="0061602A">
        <w:rPr>
          <w:rFonts w:cs="Calibri"/>
        </w:rPr>
        <w:t>Nations</w:t>
      </w:r>
      <w:proofErr w:type="spellEnd"/>
      <w:r w:rsidRPr="0061602A">
        <w:rPr>
          <w:rFonts w:cs="Calibri"/>
        </w:rPr>
        <w:t xml:space="preserve"> </w:t>
      </w:r>
      <w:proofErr w:type="spellStart"/>
      <w:r w:rsidRPr="0061602A">
        <w:rPr>
          <w:rFonts w:cs="Calibri"/>
        </w:rPr>
        <w:t>Scientific</w:t>
      </w:r>
      <w:proofErr w:type="spellEnd"/>
      <w:r w:rsidRPr="0061602A">
        <w:rPr>
          <w:rFonts w:cs="Calibri"/>
        </w:rPr>
        <w:t xml:space="preserve"> </w:t>
      </w:r>
      <w:proofErr w:type="spellStart"/>
      <w:r w:rsidRPr="0061602A">
        <w:rPr>
          <w:rFonts w:cs="Calibri"/>
        </w:rPr>
        <w:t>Committee</w:t>
      </w:r>
      <w:proofErr w:type="spellEnd"/>
      <w:r w:rsidRPr="0061602A">
        <w:rPr>
          <w:rFonts w:cs="Calibri"/>
        </w:rPr>
        <w:t xml:space="preserve"> </w:t>
      </w:r>
      <w:proofErr w:type="spellStart"/>
      <w:r w:rsidRPr="0061602A">
        <w:rPr>
          <w:rFonts w:cs="Calibri"/>
        </w:rPr>
        <w:t>on</w:t>
      </w:r>
      <w:proofErr w:type="spellEnd"/>
      <w:r w:rsidRPr="0061602A">
        <w:rPr>
          <w:rFonts w:cs="Calibri"/>
        </w:rPr>
        <w:t xml:space="preserve"> </w:t>
      </w:r>
      <w:proofErr w:type="spellStart"/>
      <w:r w:rsidRPr="0061602A">
        <w:rPr>
          <w:rFonts w:cs="Calibri"/>
        </w:rPr>
        <w:t>the</w:t>
      </w:r>
      <w:proofErr w:type="spellEnd"/>
      <w:r w:rsidRPr="0061602A">
        <w:rPr>
          <w:rFonts w:cs="Calibri"/>
        </w:rPr>
        <w:t xml:space="preserve"> </w:t>
      </w:r>
      <w:proofErr w:type="spellStart"/>
      <w:r w:rsidRPr="0061602A">
        <w:rPr>
          <w:rFonts w:cs="Calibri"/>
        </w:rPr>
        <w:t>Effects</w:t>
      </w:r>
      <w:proofErr w:type="spellEnd"/>
      <w:r w:rsidRPr="0061602A">
        <w:rPr>
          <w:rFonts w:cs="Calibri"/>
        </w:rPr>
        <w:t xml:space="preserve"> of </w:t>
      </w:r>
      <w:proofErr w:type="spellStart"/>
      <w:r w:rsidRPr="0061602A">
        <w:rPr>
          <w:rFonts w:cs="Calibri"/>
        </w:rPr>
        <w:t>Atomic</w:t>
      </w:r>
      <w:proofErr w:type="spellEnd"/>
      <w:r w:rsidRPr="0061602A">
        <w:rPr>
          <w:rFonts w:cs="Calibri"/>
        </w:rPr>
        <w:t xml:space="preserve"> </w:t>
      </w:r>
      <w:proofErr w:type="spellStart"/>
      <w:r w:rsidRPr="0061602A">
        <w:rPr>
          <w:rFonts w:cs="Calibri"/>
        </w:rPr>
        <w:t>Radiation</w:t>
      </w:r>
      <w:proofErr w:type="spellEnd"/>
      <w:r w:rsidRPr="0061602A">
        <w:rPr>
          <w:rFonts w:cs="Calibri"/>
        </w:rPr>
        <w:t xml:space="preserve">: UNSCEAR 2000 </w:t>
      </w:r>
      <w:proofErr w:type="spellStart"/>
      <w:r w:rsidRPr="0061602A">
        <w:rPr>
          <w:rFonts w:cs="Calibri"/>
        </w:rPr>
        <w:t>report</w:t>
      </w:r>
      <w:proofErr w:type="spellEnd"/>
      <w:r w:rsidRPr="0061602A">
        <w:rPr>
          <w:rFonts w:cs="Calibri"/>
        </w:rPr>
        <w:t xml:space="preserve"> </w:t>
      </w:r>
      <w:proofErr w:type="spellStart"/>
      <w:r w:rsidRPr="0061602A">
        <w:rPr>
          <w:rFonts w:cs="Calibri"/>
        </w:rPr>
        <w:t>to</w:t>
      </w:r>
      <w:proofErr w:type="spellEnd"/>
      <w:r w:rsidRPr="0061602A">
        <w:rPr>
          <w:rFonts w:cs="Calibri"/>
        </w:rPr>
        <w:t xml:space="preserve"> </w:t>
      </w:r>
      <w:proofErr w:type="spellStart"/>
      <w:r w:rsidRPr="0061602A">
        <w:rPr>
          <w:rFonts w:cs="Calibri"/>
        </w:rPr>
        <w:t>the</w:t>
      </w:r>
      <w:proofErr w:type="spellEnd"/>
      <w:r w:rsidRPr="0061602A">
        <w:rPr>
          <w:rFonts w:cs="Calibri"/>
        </w:rPr>
        <w:t xml:space="preserve"> General </w:t>
      </w:r>
      <w:proofErr w:type="spellStart"/>
      <w:r w:rsidRPr="0061602A">
        <w:rPr>
          <w:rFonts w:cs="Calibri"/>
        </w:rPr>
        <w:t>Assembly</w:t>
      </w:r>
      <w:proofErr w:type="spellEnd"/>
      <w:r w:rsidRPr="0061602A">
        <w:rPr>
          <w:rFonts w:cs="Calibri"/>
        </w:rPr>
        <w:t xml:space="preserve">, </w:t>
      </w:r>
      <w:proofErr w:type="spellStart"/>
      <w:r w:rsidRPr="0061602A">
        <w:rPr>
          <w:rFonts w:cs="Calibri"/>
        </w:rPr>
        <w:t>with</w:t>
      </w:r>
      <w:proofErr w:type="spellEnd"/>
      <w:r w:rsidRPr="0061602A">
        <w:rPr>
          <w:rFonts w:cs="Calibri"/>
        </w:rPr>
        <w:t xml:space="preserve"> </w:t>
      </w:r>
      <w:proofErr w:type="spellStart"/>
      <w:r w:rsidRPr="0061602A">
        <w:rPr>
          <w:rFonts w:cs="Calibri"/>
        </w:rPr>
        <w:t>scientific</w:t>
      </w:r>
      <w:proofErr w:type="spellEnd"/>
      <w:r w:rsidRPr="0061602A">
        <w:rPr>
          <w:rFonts w:cs="Calibri"/>
        </w:rPr>
        <w:t xml:space="preserve"> </w:t>
      </w:r>
      <w:proofErr w:type="spellStart"/>
      <w:r w:rsidRPr="0061602A">
        <w:rPr>
          <w:rFonts w:cs="Calibri"/>
        </w:rPr>
        <w:t>annexes</w:t>
      </w:r>
      <w:proofErr w:type="spellEnd"/>
      <w:r w:rsidRPr="0061602A">
        <w:rPr>
          <w:rFonts w:cs="Calibri"/>
        </w:rPr>
        <w:t xml:space="preserve">. New York: </w:t>
      </w:r>
      <w:proofErr w:type="spellStart"/>
      <w:r w:rsidRPr="0061602A">
        <w:rPr>
          <w:rFonts w:cs="Calibri"/>
        </w:rPr>
        <w:t>United</w:t>
      </w:r>
      <w:proofErr w:type="spellEnd"/>
      <w:r w:rsidRPr="0061602A">
        <w:rPr>
          <w:rFonts w:cs="Calibri"/>
        </w:rPr>
        <w:t xml:space="preserve"> </w:t>
      </w:r>
      <w:proofErr w:type="spellStart"/>
      <w:r w:rsidRPr="0061602A">
        <w:rPr>
          <w:rFonts w:cs="Calibri"/>
        </w:rPr>
        <w:t>Nations</w:t>
      </w:r>
      <w:proofErr w:type="spellEnd"/>
      <w:r w:rsidRPr="0061602A">
        <w:rPr>
          <w:rFonts w:cs="Calibri"/>
        </w:rPr>
        <w:t xml:space="preserve">; 2000. 2 p. </w:t>
      </w:r>
    </w:p>
    <w:p w:rsidR="0061602A" w:rsidRPr="0061602A" w:rsidRDefault="0061602A" w:rsidP="0061602A">
      <w:pPr>
        <w:pStyle w:val="Bibliografa"/>
        <w:rPr>
          <w:rFonts w:cs="Calibri"/>
        </w:rPr>
      </w:pPr>
      <w:r w:rsidRPr="0061602A">
        <w:rPr>
          <w:rFonts w:cs="Calibri"/>
        </w:rPr>
        <w:t xml:space="preserve">3. </w:t>
      </w:r>
      <w:r w:rsidRPr="0061602A">
        <w:rPr>
          <w:rFonts w:cs="Calibri"/>
        </w:rPr>
        <w:tab/>
        <w:t xml:space="preserve">Contento G, </w:t>
      </w:r>
      <w:proofErr w:type="spellStart"/>
      <w:r w:rsidRPr="0061602A">
        <w:rPr>
          <w:rFonts w:cs="Calibri"/>
        </w:rPr>
        <w:t>Malisan</w:t>
      </w:r>
      <w:proofErr w:type="spellEnd"/>
      <w:r w:rsidRPr="0061602A">
        <w:rPr>
          <w:rFonts w:cs="Calibri"/>
        </w:rPr>
        <w:t xml:space="preserve"> MR, </w:t>
      </w:r>
      <w:proofErr w:type="spellStart"/>
      <w:r w:rsidRPr="0061602A">
        <w:rPr>
          <w:rFonts w:cs="Calibri"/>
        </w:rPr>
        <w:t>Padovani</w:t>
      </w:r>
      <w:proofErr w:type="spellEnd"/>
      <w:r w:rsidRPr="0061602A">
        <w:rPr>
          <w:rFonts w:cs="Calibri"/>
        </w:rPr>
        <w:t xml:space="preserve"> R, </w:t>
      </w:r>
      <w:proofErr w:type="spellStart"/>
      <w:r w:rsidRPr="0061602A">
        <w:rPr>
          <w:rFonts w:cs="Calibri"/>
        </w:rPr>
        <w:t>Maccia</w:t>
      </w:r>
      <w:proofErr w:type="spellEnd"/>
      <w:r w:rsidRPr="0061602A">
        <w:rPr>
          <w:rFonts w:cs="Calibri"/>
        </w:rPr>
        <w:t xml:space="preserve"> C, Wall BF, </w:t>
      </w:r>
      <w:proofErr w:type="spellStart"/>
      <w:r w:rsidRPr="0061602A">
        <w:rPr>
          <w:rFonts w:cs="Calibri"/>
        </w:rPr>
        <w:t>Shrimpton</w:t>
      </w:r>
      <w:proofErr w:type="spellEnd"/>
      <w:r w:rsidRPr="0061602A">
        <w:rPr>
          <w:rFonts w:cs="Calibri"/>
        </w:rPr>
        <w:t xml:space="preserve"> PC. A </w:t>
      </w:r>
      <w:proofErr w:type="spellStart"/>
      <w:r w:rsidRPr="0061602A">
        <w:rPr>
          <w:rFonts w:cs="Calibri"/>
        </w:rPr>
        <w:t>comparison</w:t>
      </w:r>
      <w:proofErr w:type="spellEnd"/>
      <w:r w:rsidRPr="0061602A">
        <w:rPr>
          <w:rFonts w:cs="Calibri"/>
        </w:rPr>
        <w:t xml:space="preserve"> of </w:t>
      </w:r>
      <w:proofErr w:type="spellStart"/>
      <w:r w:rsidRPr="0061602A">
        <w:rPr>
          <w:rFonts w:cs="Calibri"/>
        </w:rPr>
        <w:t>diagnostic</w:t>
      </w:r>
      <w:proofErr w:type="spellEnd"/>
      <w:r w:rsidRPr="0061602A">
        <w:rPr>
          <w:rFonts w:cs="Calibri"/>
        </w:rPr>
        <w:t xml:space="preserve"> </w:t>
      </w:r>
      <w:proofErr w:type="spellStart"/>
      <w:r w:rsidRPr="0061602A">
        <w:rPr>
          <w:rFonts w:cs="Calibri"/>
        </w:rPr>
        <w:t>radiology</w:t>
      </w:r>
      <w:proofErr w:type="spellEnd"/>
      <w:r w:rsidRPr="0061602A">
        <w:rPr>
          <w:rFonts w:cs="Calibri"/>
        </w:rPr>
        <w:t xml:space="preserve"> </w:t>
      </w:r>
      <w:proofErr w:type="spellStart"/>
      <w:r w:rsidRPr="0061602A">
        <w:rPr>
          <w:rFonts w:cs="Calibri"/>
        </w:rPr>
        <w:t>practice</w:t>
      </w:r>
      <w:proofErr w:type="spellEnd"/>
      <w:r w:rsidRPr="0061602A">
        <w:rPr>
          <w:rFonts w:cs="Calibri"/>
        </w:rPr>
        <w:t xml:space="preserve"> and </w:t>
      </w:r>
      <w:proofErr w:type="spellStart"/>
      <w:r w:rsidRPr="0061602A">
        <w:rPr>
          <w:rFonts w:cs="Calibri"/>
        </w:rPr>
        <w:t>patient</w:t>
      </w:r>
      <w:proofErr w:type="spellEnd"/>
      <w:r w:rsidRPr="0061602A">
        <w:rPr>
          <w:rFonts w:cs="Calibri"/>
        </w:rPr>
        <w:t xml:space="preserve"> </w:t>
      </w:r>
      <w:proofErr w:type="spellStart"/>
      <w:r w:rsidRPr="0061602A">
        <w:rPr>
          <w:rFonts w:cs="Calibri"/>
        </w:rPr>
        <w:t>exposure</w:t>
      </w:r>
      <w:proofErr w:type="spellEnd"/>
      <w:r w:rsidRPr="0061602A">
        <w:rPr>
          <w:rFonts w:cs="Calibri"/>
        </w:rPr>
        <w:t xml:space="preserve"> in </w:t>
      </w:r>
      <w:proofErr w:type="spellStart"/>
      <w:r w:rsidRPr="0061602A">
        <w:rPr>
          <w:rFonts w:cs="Calibri"/>
        </w:rPr>
        <w:t>Britain</w:t>
      </w:r>
      <w:proofErr w:type="spellEnd"/>
      <w:r w:rsidRPr="0061602A">
        <w:rPr>
          <w:rFonts w:cs="Calibri"/>
        </w:rPr>
        <w:t xml:space="preserve">, France and </w:t>
      </w:r>
      <w:proofErr w:type="spellStart"/>
      <w:r w:rsidRPr="0061602A">
        <w:rPr>
          <w:rFonts w:cs="Calibri"/>
        </w:rPr>
        <w:t>Italy</w:t>
      </w:r>
      <w:proofErr w:type="spellEnd"/>
      <w:r w:rsidRPr="0061602A">
        <w:rPr>
          <w:rFonts w:cs="Calibri"/>
        </w:rPr>
        <w:t xml:space="preserve">. Br J </w:t>
      </w:r>
      <w:proofErr w:type="spellStart"/>
      <w:r w:rsidRPr="0061602A">
        <w:rPr>
          <w:rFonts w:cs="Calibri"/>
        </w:rPr>
        <w:t>Radiol</w:t>
      </w:r>
      <w:proofErr w:type="spellEnd"/>
      <w:r w:rsidRPr="0061602A">
        <w:rPr>
          <w:rFonts w:cs="Calibri"/>
        </w:rPr>
        <w:t>. 1988 Feb</w:t>
      </w:r>
      <w:proofErr w:type="gramStart"/>
      <w:r w:rsidRPr="0061602A">
        <w:rPr>
          <w:rFonts w:cs="Calibri"/>
        </w:rPr>
        <w:t>;61</w:t>
      </w:r>
      <w:proofErr w:type="gramEnd"/>
      <w:r w:rsidRPr="0061602A">
        <w:rPr>
          <w:rFonts w:cs="Calibri"/>
        </w:rPr>
        <w:t xml:space="preserve">(722):143–52. </w:t>
      </w:r>
    </w:p>
    <w:p w:rsidR="002B3D49" w:rsidRDefault="0061602A" w:rsidP="0061602A">
      <w:r>
        <w:fldChar w:fldCharType="end"/>
      </w:r>
    </w:p>
    <w:sectPr w:rsidR="002B3D49" w:rsidSect="005614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C9"/>
    <w:multiLevelType w:val="hybridMultilevel"/>
    <w:tmpl w:val="96DA9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602A"/>
    <w:rsid w:val="00355285"/>
    <w:rsid w:val="004D0411"/>
    <w:rsid w:val="00561431"/>
    <w:rsid w:val="0061602A"/>
    <w:rsid w:val="00C5131A"/>
    <w:rsid w:val="00F65E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2A"/>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02A"/>
    <w:pPr>
      <w:ind w:left="720"/>
      <w:contextualSpacing/>
    </w:pPr>
  </w:style>
  <w:style w:type="paragraph" w:styleId="Bibliografa">
    <w:name w:val="Bibliography"/>
    <w:basedOn w:val="Normal"/>
    <w:next w:val="Normal"/>
    <w:uiPriority w:val="37"/>
    <w:unhideWhenUsed/>
    <w:rsid w:val="0061602A"/>
    <w:pPr>
      <w:tabs>
        <w:tab w:val="left" w:pos="384"/>
      </w:tabs>
      <w:spacing w:after="240" w:line="240" w:lineRule="auto"/>
      <w:ind w:left="384" w:hanging="3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1978</Words>
  <Characters>10881</Characters>
  <Application>Microsoft Office Word</Application>
  <DocSecurity>0</DocSecurity>
  <Lines>90</Lines>
  <Paragraphs>25</Paragraphs>
  <ScaleCrop>false</ScaleCrop>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epasqual</dc:creator>
  <cp:lastModifiedBy>epasqual</cp:lastModifiedBy>
  <cp:revision>1</cp:revision>
  <dcterms:created xsi:type="dcterms:W3CDTF">2019-01-31T10:31:00Z</dcterms:created>
  <dcterms:modified xsi:type="dcterms:W3CDTF">2019-01-31T10:32:00Z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id="5QWp1fTz"/&gt;&lt;style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