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AA428" w14:textId="0C11A24C" w:rsidR="00E94342" w:rsidRDefault="00E94342" w:rsidP="00D34982">
      <w:pPr>
        <w:widowControl w:val="0"/>
        <w:jc w:val="center"/>
        <w:rPr>
          <w:b/>
          <w:bCs/>
        </w:rPr>
      </w:pPr>
      <w:r>
        <w:rPr>
          <w:b/>
          <w:bCs/>
        </w:rPr>
        <w:t>S1</w:t>
      </w:r>
    </w:p>
    <w:p w14:paraId="0D801D25" w14:textId="62C58B37" w:rsidR="002B4DC2" w:rsidRPr="00A47E5F" w:rsidRDefault="002B4DC2" w:rsidP="00D34982">
      <w:pPr>
        <w:widowControl w:val="0"/>
        <w:jc w:val="center"/>
        <w:rPr>
          <w:b/>
          <w:bCs/>
        </w:rPr>
      </w:pPr>
      <w:r w:rsidRPr="00A47E5F">
        <w:rPr>
          <w:b/>
          <w:bCs/>
        </w:rPr>
        <w:t xml:space="preserve">RDX </w:t>
      </w:r>
      <w:r w:rsidR="00CA06FF">
        <w:rPr>
          <w:b/>
          <w:bCs/>
        </w:rPr>
        <w:t>C</w:t>
      </w:r>
      <w:r w:rsidRPr="00A47E5F">
        <w:rPr>
          <w:b/>
          <w:bCs/>
        </w:rPr>
        <w:t>oncentrations</w:t>
      </w:r>
      <w:r w:rsidR="005A3258">
        <w:rPr>
          <w:b/>
          <w:bCs/>
        </w:rPr>
        <w:t xml:space="preserve"> and Translocation Factors </w:t>
      </w:r>
      <w:r w:rsidRPr="00A47E5F">
        <w:rPr>
          <w:b/>
          <w:bCs/>
        </w:rPr>
        <w:t xml:space="preserve">for </w:t>
      </w:r>
      <w:r w:rsidR="00CA06FF">
        <w:rPr>
          <w:b/>
          <w:bCs/>
        </w:rPr>
        <w:t>L</w:t>
      </w:r>
      <w:r w:rsidRPr="00A47E5F">
        <w:rPr>
          <w:b/>
          <w:bCs/>
        </w:rPr>
        <w:t xml:space="preserve">eaf and </w:t>
      </w:r>
      <w:r w:rsidR="00CA06FF">
        <w:rPr>
          <w:b/>
          <w:bCs/>
        </w:rPr>
        <w:t>F</w:t>
      </w:r>
      <w:r w:rsidRPr="00A47E5F">
        <w:rPr>
          <w:b/>
          <w:bCs/>
        </w:rPr>
        <w:t>low</w:t>
      </w:r>
      <w:r w:rsidR="004809EA" w:rsidRPr="00A47E5F">
        <w:rPr>
          <w:b/>
          <w:bCs/>
        </w:rPr>
        <w:t xml:space="preserve">er </w:t>
      </w:r>
      <w:r w:rsidR="00CA06FF">
        <w:rPr>
          <w:b/>
          <w:bCs/>
        </w:rPr>
        <w:t>T</w:t>
      </w:r>
      <w:r w:rsidR="004809EA" w:rsidRPr="00A47E5F">
        <w:rPr>
          <w:b/>
          <w:bCs/>
        </w:rPr>
        <w:t xml:space="preserve">issues in </w:t>
      </w:r>
      <w:r w:rsidR="00CA06FF">
        <w:rPr>
          <w:b/>
          <w:bCs/>
        </w:rPr>
        <w:t>the G</w:t>
      </w:r>
      <w:r w:rsidR="004809EA" w:rsidRPr="00A47E5F">
        <w:rPr>
          <w:b/>
          <w:bCs/>
        </w:rPr>
        <w:t xml:space="preserve">reenhouse </w:t>
      </w:r>
      <w:r w:rsidR="00CA06FF">
        <w:rPr>
          <w:b/>
          <w:bCs/>
        </w:rPr>
        <w:t>Trial</w:t>
      </w:r>
    </w:p>
    <w:p w14:paraId="7607FB78" w14:textId="77777777" w:rsidR="00B30936" w:rsidRDefault="00B30936" w:rsidP="00D34982">
      <w:pPr>
        <w:widowControl w:val="0"/>
        <w:rPr>
          <w:color w:val="000000"/>
        </w:rPr>
      </w:pPr>
    </w:p>
    <w:p w14:paraId="76AE436E" w14:textId="5B8335A2" w:rsidR="002B4DC2" w:rsidRPr="00B30936" w:rsidRDefault="006469E9" w:rsidP="00D34982">
      <w:pPr>
        <w:widowControl w:val="0"/>
        <w:jc w:val="both"/>
        <w:rPr>
          <w:color w:val="000000"/>
        </w:rPr>
      </w:pPr>
      <w:r>
        <w:rPr>
          <w:color w:val="000000"/>
        </w:rPr>
        <w:t>T</w:t>
      </w:r>
      <w:r w:rsidR="00D920DD">
        <w:rPr>
          <w:color w:val="000000"/>
        </w:rPr>
        <w:t>ranslocation factors</w:t>
      </w:r>
      <w:r>
        <w:rPr>
          <w:color w:val="000000"/>
        </w:rPr>
        <w:t xml:space="preserve"> </w:t>
      </w:r>
      <w:r w:rsidR="00D920DD">
        <w:rPr>
          <w:color w:val="000000"/>
        </w:rPr>
        <w:t>were calculated as the ratio of RDX concentrations measured in leaf or flower tissues to RDX concentrations measured in root tissues</w:t>
      </w:r>
      <w:r w:rsidR="00F54502" w:rsidRPr="00F54502">
        <w:rPr>
          <w:color w:val="000000"/>
        </w:rPr>
        <w:t xml:space="preserve"> </w:t>
      </w:r>
      <w:r w:rsidR="00484CED">
        <w:rPr>
          <w:color w:val="000000"/>
        </w:rPr>
        <w:t>(</w:t>
      </w:r>
      <w:r>
        <w:rPr>
          <w:color w:val="000000"/>
        </w:rPr>
        <w:t>Table S1A, Table S1B, Table S2A</w:t>
      </w:r>
      <w:r w:rsidR="00484CED">
        <w:rPr>
          <w:color w:val="000000"/>
        </w:rPr>
        <w:t>)</w:t>
      </w:r>
      <w:r w:rsidR="00D920DD">
        <w:rPr>
          <w:color w:val="000000"/>
        </w:rPr>
        <w:t xml:space="preserve">. </w:t>
      </w:r>
      <w:r w:rsidR="002B4DC2">
        <w:rPr>
          <w:color w:val="000000"/>
        </w:rPr>
        <w:t xml:space="preserve">At </w:t>
      </w:r>
      <w:r w:rsidR="00D920DD">
        <w:rPr>
          <w:color w:val="000000"/>
        </w:rPr>
        <w:t xml:space="preserve">the </w:t>
      </w:r>
      <w:r w:rsidR="002B4DC2">
        <w:rPr>
          <w:color w:val="000000"/>
        </w:rPr>
        <w:t>time of sampling for RDX concentration determination, only three species (</w:t>
      </w:r>
      <w:r w:rsidR="002B4DC2" w:rsidRPr="0041445E">
        <w:rPr>
          <w:i/>
          <w:color w:val="000000"/>
        </w:rPr>
        <w:t>Dianthus</w:t>
      </w:r>
      <w:r w:rsidR="002B4DC2">
        <w:rPr>
          <w:i/>
          <w:color w:val="000000"/>
        </w:rPr>
        <w:t xml:space="preserve">, </w:t>
      </w:r>
      <w:r w:rsidR="000E2870" w:rsidRPr="00C33512">
        <w:rPr>
          <w:i/>
        </w:rPr>
        <w:t>Hibiscus</w:t>
      </w:r>
      <w:r w:rsidR="002B4DC2" w:rsidRPr="00253C28">
        <w:rPr>
          <w:i/>
        </w:rPr>
        <w:t xml:space="preserve"> mocheutos</w:t>
      </w:r>
      <w:r w:rsidR="002B4DC2">
        <w:rPr>
          <w:i/>
        </w:rPr>
        <w:t xml:space="preserve">, and </w:t>
      </w:r>
      <w:r w:rsidR="000E2870" w:rsidRPr="00C33512">
        <w:rPr>
          <w:i/>
        </w:rPr>
        <w:t>Salvia</w:t>
      </w:r>
      <w:r w:rsidR="002B4DC2" w:rsidRPr="00253C28">
        <w:rPr>
          <w:i/>
        </w:rPr>
        <w:t xml:space="preserve"> coccinea</w:t>
      </w:r>
      <w:r w:rsidR="002B4DC2">
        <w:t>)</w:t>
      </w:r>
      <w:r w:rsidR="002B4DC2">
        <w:rPr>
          <w:i/>
        </w:rPr>
        <w:t xml:space="preserve"> </w:t>
      </w:r>
      <w:r w:rsidR="002B4DC2">
        <w:t>still had leaves.</w:t>
      </w:r>
      <w:r w:rsidR="002B4DC2">
        <w:rPr>
          <w:i/>
        </w:rPr>
        <w:t xml:space="preserve"> </w:t>
      </w:r>
      <w:r w:rsidR="002B4DC2">
        <w:t xml:space="preserve">RDX accumulated in </w:t>
      </w:r>
      <w:r w:rsidR="008C60F7">
        <w:t xml:space="preserve">the </w:t>
      </w:r>
      <w:r w:rsidR="002B4DC2">
        <w:t xml:space="preserve">leaf tissues of </w:t>
      </w:r>
      <w:r w:rsidR="00F51895">
        <w:t>these</w:t>
      </w:r>
      <w:r w:rsidR="002B4DC2">
        <w:t xml:space="preserve"> three plants </w:t>
      </w:r>
      <w:r w:rsidR="00F51895">
        <w:t xml:space="preserve">(Table S1A) </w:t>
      </w:r>
      <w:r w:rsidR="002B4DC2">
        <w:t>to concentrations exceeding those in the soil (</w:t>
      </w:r>
      <w:r w:rsidR="00F51895">
        <w:rPr>
          <w:color w:val="000000"/>
        </w:rPr>
        <w:t>TFs</w:t>
      </w:r>
      <w:r w:rsidR="00D920DD">
        <w:rPr>
          <w:color w:val="000000"/>
        </w:rPr>
        <w:t xml:space="preserve"> </w:t>
      </w:r>
      <w:r w:rsidR="002B4DC2">
        <w:rPr>
          <w:color w:val="000000"/>
        </w:rPr>
        <w:t>&gt;</w:t>
      </w:r>
      <w:r w:rsidR="00F51895">
        <w:rPr>
          <w:color w:val="000000"/>
        </w:rPr>
        <w:t xml:space="preserve"> </w:t>
      </w:r>
      <w:r w:rsidR="002B4DC2">
        <w:rPr>
          <w:color w:val="000000"/>
        </w:rPr>
        <w:t>1</w:t>
      </w:r>
      <w:r w:rsidR="00F51895">
        <w:rPr>
          <w:color w:val="000000"/>
        </w:rPr>
        <w:t>)</w:t>
      </w:r>
      <w:r w:rsidR="00D920DD">
        <w:rPr>
          <w:color w:val="000000"/>
        </w:rPr>
        <w:t>,</w:t>
      </w:r>
      <w:r w:rsidR="002B4DC2">
        <w:rPr>
          <w:color w:val="000000"/>
        </w:rPr>
        <w:t xml:space="preserve"> indicating that these were high efficiency plants for RDX translocation from roots to leaves. </w:t>
      </w:r>
      <w:r w:rsidR="008C60F7">
        <w:rPr>
          <w:color w:val="000000"/>
        </w:rPr>
        <w:t>At the time of sampling for RDX concentration determination, only five species (</w:t>
      </w:r>
      <w:r w:rsidR="000E2870" w:rsidRPr="00C33512">
        <w:rPr>
          <w:i/>
        </w:rPr>
        <w:t xml:space="preserve">Antirrhinum majus, </w:t>
      </w:r>
      <w:r w:rsidR="004D4E71" w:rsidRPr="00C33512">
        <w:rPr>
          <w:i/>
        </w:rPr>
        <w:t xml:space="preserve">Pentas lanceolata, </w:t>
      </w:r>
      <w:r w:rsidR="000E2870" w:rsidRPr="00C33512">
        <w:rPr>
          <w:i/>
        </w:rPr>
        <w:t>Plumbago auriculata, Ruellia</w:t>
      </w:r>
      <w:r w:rsidR="000E2870" w:rsidRPr="00C33512">
        <w:rPr>
          <w:i/>
          <w:iCs/>
          <w:color w:val="000000"/>
        </w:rPr>
        <w:t xml:space="preserve"> caroliniensis,</w:t>
      </w:r>
      <w:r w:rsidR="000E2870" w:rsidRPr="00C33512">
        <w:rPr>
          <w:i/>
        </w:rPr>
        <w:t xml:space="preserve"> and Tulbaghia violacea</w:t>
      </w:r>
      <w:r w:rsidR="008C60F7">
        <w:t>)</w:t>
      </w:r>
      <w:r w:rsidR="008C60F7">
        <w:rPr>
          <w:i/>
        </w:rPr>
        <w:t xml:space="preserve"> </w:t>
      </w:r>
      <w:r w:rsidR="008C60F7">
        <w:t>still had flowers.</w:t>
      </w:r>
      <w:r w:rsidR="008C60F7">
        <w:rPr>
          <w:color w:val="000000"/>
        </w:rPr>
        <w:t xml:space="preserve"> </w:t>
      </w:r>
      <w:r w:rsidR="008C60F7">
        <w:t xml:space="preserve">RDX accumulated in the flower tissues of these five plants (Table S1B) </w:t>
      </w:r>
      <w:r w:rsidR="00484CED">
        <w:t>at</w:t>
      </w:r>
      <w:r w:rsidR="008C60F7">
        <w:t xml:space="preserve"> lower concentrations than those in the soil (</w:t>
      </w:r>
      <w:r w:rsidR="008C60F7">
        <w:rPr>
          <w:color w:val="000000"/>
        </w:rPr>
        <w:t xml:space="preserve">TFs &lt; 1), indicating </w:t>
      </w:r>
      <w:r w:rsidR="002B4DC2">
        <w:t xml:space="preserve">low potential for RDX </w:t>
      </w:r>
      <w:r w:rsidR="00D920DD">
        <w:t>translocation</w:t>
      </w:r>
      <w:r w:rsidR="002B4DC2">
        <w:t xml:space="preserve"> from roots to flowers.</w:t>
      </w:r>
    </w:p>
    <w:p w14:paraId="36817D2B" w14:textId="77777777" w:rsidR="00B30936" w:rsidRDefault="00B30936" w:rsidP="002B4DC2">
      <w:pPr>
        <w:widowControl w:val="0"/>
        <w:spacing w:line="480" w:lineRule="auto"/>
        <w:ind w:right="900"/>
        <w:rPr>
          <w:b/>
        </w:rPr>
      </w:pPr>
    </w:p>
    <w:p w14:paraId="165DCA66" w14:textId="75A4F871" w:rsidR="002B4DC2" w:rsidRDefault="002B4DC2" w:rsidP="00C5336A">
      <w:pPr>
        <w:widowControl w:val="0"/>
        <w:spacing w:after="80"/>
        <w:ind w:left="806" w:right="806"/>
        <w:jc w:val="both"/>
      </w:pPr>
      <w:r w:rsidRPr="005625C9">
        <w:rPr>
          <w:b/>
        </w:rPr>
        <w:t xml:space="preserve">Table </w:t>
      </w:r>
      <w:r w:rsidR="001A222F">
        <w:rPr>
          <w:b/>
        </w:rPr>
        <w:t>S1</w:t>
      </w:r>
      <w:r w:rsidRPr="005625C9">
        <w:rPr>
          <w:b/>
        </w:rPr>
        <w:t>A.</w:t>
      </w:r>
      <w:r>
        <w:t xml:space="preserve"> Final mean</w:t>
      </w:r>
      <w:r w:rsidR="00D34982">
        <w:t>s</w:t>
      </w:r>
      <w:r>
        <w:t xml:space="preserve"> </w:t>
      </w:r>
      <w:r w:rsidR="00D34982">
        <w:t xml:space="preserve">and standard deviations of </w:t>
      </w:r>
      <w:r w:rsidRPr="00C5336A">
        <w:rPr>
          <w:u w:val="single"/>
        </w:rPr>
        <w:t>leaf</w:t>
      </w:r>
      <w:r>
        <w:t xml:space="preserve"> RDX concentrations</w:t>
      </w:r>
      <w:r w:rsidR="00D34982">
        <w:t xml:space="preserve"> </w:t>
      </w:r>
      <w:r w:rsidR="00005B84">
        <w:t>(ppm</w:t>
      </w:r>
      <w:r w:rsidR="00D34982">
        <w:t xml:space="preserve">; Mean RDX </w:t>
      </w:r>
      <w:r w:rsidR="00D34982" w:rsidRPr="00496D81">
        <w:t>± SD</w:t>
      </w:r>
      <w:r w:rsidR="00005B84">
        <w:t>)</w:t>
      </w:r>
      <w:r>
        <w:t>,</w:t>
      </w:r>
      <w:r w:rsidR="00D920DD">
        <w:t xml:space="preserve"> </w:t>
      </w:r>
      <w:r w:rsidR="00D34982">
        <w:t xml:space="preserve">means and standard deviation of </w:t>
      </w:r>
      <w:r w:rsidR="00D920DD">
        <w:t>translocation factors (</w:t>
      </w:r>
      <w:r w:rsidR="00D34982">
        <w:t xml:space="preserve">Mean TF </w:t>
      </w:r>
      <w:r w:rsidR="00D34982" w:rsidRPr="00496D81">
        <w:t>± SD</w:t>
      </w:r>
      <w:r>
        <w:t>)</w:t>
      </w:r>
      <w:r w:rsidR="00005B84">
        <w:t>, and sample size (N)</w:t>
      </w:r>
      <w:r>
        <w:t xml:space="preserve"> for </w:t>
      </w:r>
      <w:r w:rsidR="00005B84">
        <w:t xml:space="preserve">three </w:t>
      </w:r>
      <w:r>
        <w:t>plant</w:t>
      </w:r>
      <w:r w:rsidR="00005B84">
        <w:t xml:space="preserve"> </w:t>
      </w:r>
      <w:r>
        <w:t>s</w:t>
      </w:r>
      <w:r w:rsidR="00005B84">
        <w:t>pecies</w:t>
      </w:r>
      <w:r>
        <w:t xml:space="preserve"> exposed to different treatment combinations of </w:t>
      </w:r>
      <w:r w:rsidR="00005B84">
        <w:t>water-resourcing (1X or 0.5X) and initial soil RDX concentration (</w:t>
      </w:r>
      <w:r>
        <w:t>50 ppm or 100 ppm</w:t>
      </w:r>
      <w:r w:rsidR="00005B84">
        <w:t>)</w:t>
      </w:r>
      <w: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908"/>
        <w:gridCol w:w="2028"/>
        <w:gridCol w:w="2028"/>
      </w:tblGrid>
      <w:tr w:rsidR="002B4DC2" w14:paraId="7145577A" w14:textId="77777777" w:rsidTr="00D34982">
        <w:trPr>
          <w:trHeight w:val="143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272A7336" w14:textId="77777777" w:rsidR="002B4DC2" w:rsidRPr="00496D81" w:rsidRDefault="002B4DC2" w:rsidP="00D43E42">
            <w:pPr>
              <w:widowControl w:val="0"/>
            </w:pPr>
          </w:p>
        </w:tc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2292B563" w14:textId="77777777" w:rsidR="002B4DC2" w:rsidRPr="00496D81" w:rsidRDefault="002B4DC2" w:rsidP="00D43E42">
            <w:pPr>
              <w:widowControl w:val="0"/>
              <w:jc w:val="center"/>
            </w:pPr>
            <w:r>
              <w:t>Plant Species</w:t>
            </w:r>
          </w:p>
        </w:tc>
      </w:tr>
      <w:tr w:rsidR="002B4DC2" w14:paraId="1C7C5557" w14:textId="77777777" w:rsidTr="00D34982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14:paraId="0C39CC39" w14:textId="77777777" w:rsidR="002B4DC2" w:rsidRDefault="002B4DC2" w:rsidP="00D43E42">
            <w:pPr>
              <w:widowControl w:val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vAlign w:val="bottom"/>
          </w:tcPr>
          <w:p w14:paraId="205C6593" w14:textId="77777777" w:rsidR="002B4DC2" w:rsidRPr="003769FB" w:rsidRDefault="002B4DC2" w:rsidP="00D43E42">
            <w:pPr>
              <w:widowControl w:val="0"/>
              <w:jc w:val="center"/>
            </w:pPr>
            <w:r w:rsidRPr="00496D81">
              <w:rPr>
                <w:i/>
              </w:rPr>
              <w:t>Dianthus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vAlign w:val="bottom"/>
          </w:tcPr>
          <w:p w14:paraId="13B17B17" w14:textId="77777777" w:rsidR="002B4DC2" w:rsidRPr="003769FB" w:rsidRDefault="002B4DC2" w:rsidP="00D43E42">
            <w:pPr>
              <w:widowControl w:val="0"/>
              <w:jc w:val="center"/>
            </w:pPr>
            <w:r w:rsidRPr="00496D81">
              <w:rPr>
                <w:i/>
              </w:rPr>
              <w:t>H. mocheutos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vAlign w:val="bottom"/>
          </w:tcPr>
          <w:p w14:paraId="1ACBEE29" w14:textId="77777777" w:rsidR="002B4DC2" w:rsidRPr="00496D81" w:rsidRDefault="002B4DC2" w:rsidP="00D43E42">
            <w:pPr>
              <w:widowControl w:val="0"/>
              <w:jc w:val="center"/>
              <w:rPr>
                <w:i/>
              </w:rPr>
            </w:pPr>
            <w:r w:rsidRPr="00496D81">
              <w:rPr>
                <w:i/>
              </w:rPr>
              <w:t>S. coccinea</w:t>
            </w:r>
          </w:p>
        </w:tc>
      </w:tr>
      <w:tr w:rsidR="002B4DC2" w14:paraId="26E90E97" w14:textId="77777777" w:rsidTr="00D34982">
        <w:trPr>
          <w:trHeight w:val="780"/>
          <w:jc w:val="center"/>
        </w:trPr>
        <w:tc>
          <w:tcPr>
            <w:tcW w:w="0" w:type="auto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21979600" w14:textId="77777777" w:rsidR="00953F79" w:rsidRDefault="00953F79" w:rsidP="004809EA">
            <w:pPr>
              <w:widowControl w:val="0"/>
            </w:pPr>
          </w:p>
          <w:p w14:paraId="055E8381" w14:textId="77777777" w:rsidR="00953F79" w:rsidRDefault="00953F79" w:rsidP="004809EA">
            <w:pPr>
              <w:widowControl w:val="0"/>
            </w:pPr>
          </w:p>
          <w:p w14:paraId="68E2B827" w14:textId="4F623380" w:rsidR="002B4DC2" w:rsidRPr="00496D81" w:rsidRDefault="002B4DC2" w:rsidP="004809EA">
            <w:pPr>
              <w:widowControl w:val="0"/>
            </w:pPr>
            <w:r>
              <w:t>Treatment</w:t>
            </w:r>
          </w:p>
        </w:tc>
        <w:tc>
          <w:tcPr>
            <w:tcW w:w="0" w:type="auto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5CBFB04B" w14:textId="77777777" w:rsidR="002B4DC2" w:rsidRDefault="002B4DC2" w:rsidP="00D43E42">
            <w:pPr>
              <w:widowControl w:val="0"/>
              <w:jc w:val="center"/>
            </w:pPr>
            <w:r w:rsidRPr="00496D81">
              <w:t>Mean</w:t>
            </w:r>
            <w:r>
              <w:t xml:space="preserve"> RDX</w:t>
            </w:r>
            <w:r w:rsidRPr="00496D81">
              <w:t xml:space="preserve"> ± SD</w:t>
            </w:r>
          </w:p>
          <w:p w14:paraId="67555A5D" w14:textId="0DDA4369" w:rsidR="000E7E28" w:rsidRDefault="00D34982" w:rsidP="00D43E42">
            <w:pPr>
              <w:widowControl w:val="0"/>
              <w:jc w:val="center"/>
            </w:pPr>
            <w:r>
              <w:t xml:space="preserve">Mean </w:t>
            </w:r>
            <w:r w:rsidR="000E7E28">
              <w:t>TF</w:t>
            </w:r>
            <w:r>
              <w:t xml:space="preserve"> </w:t>
            </w:r>
            <w:r w:rsidRPr="00496D81">
              <w:t>± SD</w:t>
            </w:r>
            <w:r w:rsidR="000E7E28">
              <w:t xml:space="preserve"> </w:t>
            </w:r>
          </w:p>
          <w:p w14:paraId="3126C093" w14:textId="6AAF6F7F" w:rsidR="002B4DC2" w:rsidRPr="00496D81" w:rsidRDefault="002B4DC2" w:rsidP="00D43E42">
            <w:pPr>
              <w:widowControl w:val="0"/>
              <w:jc w:val="center"/>
            </w:pPr>
            <w:r>
              <w:t>N</w:t>
            </w:r>
          </w:p>
        </w:tc>
        <w:tc>
          <w:tcPr>
            <w:tcW w:w="0" w:type="auto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36B69541" w14:textId="2AC51F34" w:rsidR="002B4DC2" w:rsidRDefault="002B4DC2" w:rsidP="00D43E42">
            <w:pPr>
              <w:widowControl w:val="0"/>
              <w:jc w:val="center"/>
            </w:pPr>
            <w:r w:rsidRPr="00496D81">
              <w:t>Mean</w:t>
            </w:r>
            <w:r>
              <w:t xml:space="preserve"> RDX</w:t>
            </w:r>
            <w:r w:rsidR="00CF26D3">
              <w:t xml:space="preserve"> </w:t>
            </w:r>
            <w:r w:rsidRPr="00496D81">
              <w:t>± SD</w:t>
            </w:r>
          </w:p>
          <w:p w14:paraId="72052EC9" w14:textId="77777777" w:rsidR="00D34982" w:rsidRDefault="00D34982" w:rsidP="00D34982">
            <w:pPr>
              <w:widowControl w:val="0"/>
              <w:jc w:val="center"/>
            </w:pPr>
            <w:r>
              <w:t xml:space="preserve">Mean TF </w:t>
            </w:r>
            <w:r w:rsidRPr="00496D81">
              <w:t>± SD</w:t>
            </w:r>
            <w:r>
              <w:t xml:space="preserve"> </w:t>
            </w:r>
          </w:p>
          <w:p w14:paraId="3783BE0C" w14:textId="356602C4" w:rsidR="002B4DC2" w:rsidRPr="00496D81" w:rsidRDefault="002B4DC2" w:rsidP="00D43E42">
            <w:pPr>
              <w:widowControl w:val="0"/>
              <w:jc w:val="center"/>
            </w:pPr>
            <w:r>
              <w:t>N</w:t>
            </w:r>
          </w:p>
        </w:tc>
        <w:tc>
          <w:tcPr>
            <w:tcW w:w="0" w:type="auto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541EB15E" w14:textId="77777777" w:rsidR="002B4DC2" w:rsidRDefault="002B4DC2" w:rsidP="00D43E42">
            <w:pPr>
              <w:widowControl w:val="0"/>
              <w:jc w:val="center"/>
            </w:pPr>
            <w:r w:rsidRPr="00496D81">
              <w:t>Mean</w:t>
            </w:r>
            <w:r>
              <w:t xml:space="preserve"> RDX</w:t>
            </w:r>
            <w:r w:rsidRPr="00496D81">
              <w:t xml:space="preserve"> ± SD</w:t>
            </w:r>
          </w:p>
          <w:p w14:paraId="4BE0BE71" w14:textId="77777777" w:rsidR="00D34982" w:rsidRDefault="00D34982" w:rsidP="00D34982">
            <w:pPr>
              <w:widowControl w:val="0"/>
              <w:jc w:val="center"/>
            </w:pPr>
            <w:r>
              <w:t xml:space="preserve">Mean TF </w:t>
            </w:r>
            <w:r w:rsidRPr="00496D81">
              <w:t>± SD</w:t>
            </w:r>
            <w:r>
              <w:t xml:space="preserve"> </w:t>
            </w:r>
          </w:p>
          <w:p w14:paraId="3912F260" w14:textId="336B9142" w:rsidR="002B4DC2" w:rsidRPr="00496D81" w:rsidRDefault="002B4DC2" w:rsidP="00D43E42">
            <w:pPr>
              <w:widowControl w:val="0"/>
              <w:jc w:val="center"/>
              <w:rPr>
                <w:i/>
              </w:rPr>
            </w:pPr>
            <w:r>
              <w:t>N</w:t>
            </w:r>
          </w:p>
        </w:tc>
      </w:tr>
      <w:tr w:rsidR="002B4DC2" w14:paraId="3ECB522E" w14:textId="77777777" w:rsidTr="00D34982">
        <w:trPr>
          <w:trHeight w:val="384"/>
          <w:jc w:val="center"/>
        </w:trPr>
        <w:tc>
          <w:tcPr>
            <w:tcW w:w="0" w:type="auto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</w:tcPr>
          <w:p w14:paraId="55E175CB" w14:textId="452644F4" w:rsidR="002B4DC2" w:rsidRDefault="002B4DC2" w:rsidP="00D43E42">
            <w:pPr>
              <w:widowControl w:val="0"/>
            </w:pPr>
            <w:r w:rsidRPr="00E21305">
              <w:rPr>
                <w:color w:val="000000"/>
              </w:rPr>
              <w:t>1X</w:t>
            </w:r>
            <w:r w:rsidR="00005B84">
              <w:rPr>
                <w:color w:val="000000"/>
              </w:rPr>
              <w:t xml:space="preserve"> </w:t>
            </w:r>
            <w:r w:rsidRPr="00E21305">
              <w:rPr>
                <w:color w:val="000000"/>
              </w:rPr>
              <w:t>|</w:t>
            </w:r>
            <w:r w:rsidR="00005B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 ppm</w:t>
            </w:r>
          </w:p>
        </w:tc>
        <w:tc>
          <w:tcPr>
            <w:tcW w:w="0" w:type="auto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</w:tcPr>
          <w:p w14:paraId="4570DCC4" w14:textId="77777777" w:rsidR="002B4DC2" w:rsidRDefault="002B4DC2" w:rsidP="00D43E42">
            <w:pPr>
              <w:widowControl w:val="0"/>
              <w:jc w:val="center"/>
            </w:pPr>
            <w:r>
              <w:t>No sample</w:t>
            </w:r>
          </w:p>
        </w:tc>
        <w:tc>
          <w:tcPr>
            <w:tcW w:w="0" w:type="auto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</w:tcPr>
          <w:p w14:paraId="15D213E3" w14:textId="77777777" w:rsidR="002B4DC2" w:rsidRDefault="002B4DC2" w:rsidP="00D43E42">
            <w:pPr>
              <w:widowControl w:val="0"/>
              <w:jc w:val="center"/>
            </w:pPr>
            <w:r>
              <w:t>774.83 ± 851.57</w:t>
            </w:r>
          </w:p>
          <w:p w14:paraId="3751A649" w14:textId="02B9C971" w:rsidR="002B4DC2" w:rsidRDefault="002B4DC2" w:rsidP="00D43E42">
            <w:pPr>
              <w:widowControl w:val="0"/>
              <w:jc w:val="center"/>
            </w:pPr>
            <w:r>
              <w:t>6.34</w:t>
            </w:r>
            <w:r w:rsidR="00BA5131">
              <w:t xml:space="preserve"> ± 6.93</w:t>
            </w:r>
          </w:p>
          <w:p w14:paraId="5265088C" w14:textId="2AFBEECE" w:rsidR="002B4DC2" w:rsidRDefault="00BA5131" w:rsidP="00D43E42">
            <w:pPr>
              <w:widowControl w:val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</w:tcPr>
          <w:p w14:paraId="0905CE63" w14:textId="77777777" w:rsidR="002B4DC2" w:rsidRDefault="002B4DC2" w:rsidP="00D43E42">
            <w:pPr>
              <w:widowControl w:val="0"/>
              <w:jc w:val="center"/>
            </w:pPr>
            <w:r>
              <w:t>No sample</w:t>
            </w:r>
          </w:p>
        </w:tc>
      </w:tr>
      <w:tr w:rsidR="002B4DC2" w14:paraId="3208A17D" w14:textId="77777777" w:rsidTr="00D34982">
        <w:trPr>
          <w:trHeight w:val="3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1C7A9E" w14:textId="42E662A5" w:rsidR="002B4DC2" w:rsidRDefault="002B4DC2" w:rsidP="00D43E42">
            <w:pPr>
              <w:widowControl w:val="0"/>
            </w:pPr>
            <w:r w:rsidRPr="00E21305">
              <w:rPr>
                <w:color w:val="000000"/>
              </w:rPr>
              <w:t>0.5X</w:t>
            </w:r>
            <w:r w:rsidR="00005B84">
              <w:rPr>
                <w:color w:val="000000"/>
              </w:rPr>
              <w:t xml:space="preserve"> </w:t>
            </w:r>
            <w:r w:rsidRPr="00E21305">
              <w:rPr>
                <w:color w:val="000000"/>
              </w:rPr>
              <w:t>|</w:t>
            </w:r>
            <w:r w:rsidR="00005B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</w:t>
            </w:r>
            <w:r w:rsidRPr="00E21305">
              <w:rPr>
                <w:color w:val="000000"/>
              </w:rPr>
              <w:t xml:space="preserve"> ppm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98B2F2" w14:textId="77777777" w:rsidR="002B4DC2" w:rsidRDefault="002B4DC2" w:rsidP="00D43E42">
            <w:pPr>
              <w:widowControl w:val="0"/>
              <w:jc w:val="center"/>
            </w:pPr>
            <w:r>
              <w:t>No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15ECEB" w14:textId="26E7A930" w:rsidR="002B4DC2" w:rsidRDefault="002B4DC2" w:rsidP="00D43E42">
            <w:pPr>
              <w:widowControl w:val="0"/>
              <w:jc w:val="center"/>
            </w:pPr>
            <w:r>
              <w:t>347.70 ± 2</w:t>
            </w:r>
            <w:r w:rsidR="00BA5131">
              <w:t>84.59</w:t>
            </w:r>
          </w:p>
          <w:p w14:paraId="612EC8B6" w14:textId="611FD6DA" w:rsidR="002B4DC2" w:rsidRDefault="002B4DC2" w:rsidP="00D43E42">
            <w:pPr>
              <w:widowControl w:val="0"/>
              <w:jc w:val="center"/>
            </w:pPr>
            <w:r>
              <w:t>4.36</w:t>
            </w:r>
            <w:r w:rsidR="00BA5131">
              <w:t xml:space="preserve"> ± 2.62</w:t>
            </w:r>
          </w:p>
          <w:p w14:paraId="5AD6EA0C" w14:textId="5502D960" w:rsidR="002B4DC2" w:rsidRDefault="00BA5131" w:rsidP="00D43E42">
            <w:pPr>
              <w:widowControl w:val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DDB8D6" w14:textId="77777777" w:rsidR="002B4DC2" w:rsidRDefault="002B4DC2" w:rsidP="00D43E42">
            <w:pPr>
              <w:widowControl w:val="0"/>
              <w:jc w:val="center"/>
            </w:pPr>
            <w:r>
              <w:t>No sample</w:t>
            </w:r>
          </w:p>
        </w:tc>
      </w:tr>
      <w:tr w:rsidR="002B4DC2" w14:paraId="1E8185A3" w14:textId="77777777" w:rsidTr="00D34982">
        <w:trPr>
          <w:trHeight w:val="39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2817A6" w14:textId="1A514E3D" w:rsidR="002B4DC2" w:rsidRDefault="002B4DC2" w:rsidP="00D43E42">
            <w:pPr>
              <w:widowControl w:val="0"/>
            </w:pPr>
            <w:r w:rsidRPr="00E21305">
              <w:rPr>
                <w:color w:val="000000"/>
              </w:rPr>
              <w:t>1X</w:t>
            </w:r>
            <w:r w:rsidR="004809EA">
              <w:rPr>
                <w:color w:val="000000"/>
              </w:rPr>
              <w:t xml:space="preserve"> </w:t>
            </w:r>
            <w:r w:rsidRPr="00E21305">
              <w:rPr>
                <w:color w:val="000000"/>
              </w:rPr>
              <w:t>|</w:t>
            </w:r>
            <w:r w:rsidR="004809EA">
              <w:rPr>
                <w:color w:val="000000"/>
              </w:rPr>
              <w:t xml:space="preserve"> </w:t>
            </w:r>
            <w:r w:rsidRPr="00E21305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ppm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20009C" w14:textId="16C893E2" w:rsidR="002B4DC2" w:rsidRDefault="002B4DC2" w:rsidP="00D43E42">
            <w:pPr>
              <w:widowControl w:val="0"/>
              <w:jc w:val="center"/>
            </w:pPr>
            <w:r>
              <w:t>1942.36</w:t>
            </w:r>
            <w:r w:rsidR="00BA5131">
              <w:t xml:space="preserve"> </w:t>
            </w:r>
            <w:r>
              <w:t>± 717.82</w:t>
            </w:r>
          </w:p>
          <w:p w14:paraId="7FC4618C" w14:textId="612739F2" w:rsidR="002B4DC2" w:rsidRDefault="002B4DC2" w:rsidP="00D43E42">
            <w:pPr>
              <w:widowControl w:val="0"/>
              <w:jc w:val="center"/>
            </w:pPr>
            <w:r>
              <w:t>56.07</w:t>
            </w:r>
            <w:r w:rsidR="00BA5131">
              <w:t xml:space="preserve"> </w:t>
            </w:r>
            <w:r w:rsidR="000E7E28">
              <w:t>± 52.28</w:t>
            </w:r>
          </w:p>
          <w:p w14:paraId="2BDF21E2" w14:textId="77777777" w:rsidR="002B4DC2" w:rsidRDefault="002B4DC2" w:rsidP="00D43E42">
            <w:pPr>
              <w:widowControl w:val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8F81C9" w14:textId="0763F795" w:rsidR="002B4DC2" w:rsidRDefault="00BA5131" w:rsidP="00D43E42">
            <w:pPr>
              <w:widowControl w:val="0"/>
              <w:jc w:val="center"/>
            </w:pPr>
            <w:r>
              <w:t>No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72CEBE" w14:textId="77777777" w:rsidR="002B4DC2" w:rsidRDefault="002B4DC2" w:rsidP="00D43E42">
            <w:pPr>
              <w:widowControl w:val="0"/>
              <w:jc w:val="center"/>
            </w:pPr>
            <w:r>
              <w:t>1996.61 ± 1234.27</w:t>
            </w:r>
          </w:p>
          <w:p w14:paraId="637216E1" w14:textId="38C22E54" w:rsidR="002B4DC2" w:rsidRDefault="002B4DC2" w:rsidP="00D43E42">
            <w:pPr>
              <w:widowControl w:val="0"/>
              <w:jc w:val="center"/>
            </w:pPr>
            <w:r>
              <w:t>80.59</w:t>
            </w:r>
            <w:r w:rsidR="00BA5131">
              <w:t xml:space="preserve"> ± 89.63</w:t>
            </w:r>
          </w:p>
          <w:p w14:paraId="2AE496FF" w14:textId="77777777" w:rsidR="002B4DC2" w:rsidRDefault="002B4DC2" w:rsidP="00D43E42">
            <w:pPr>
              <w:widowControl w:val="0"/>
              <w:jc w:val="center"/>
            </w:pPr>
            <w:r>
              <w:t>2</w:t>
            </w:r>
          </w:p>
        </w:tc>
      </w:tr>
      <w:tr w:rsidR="002B4DC2" w14:paraId="31B79CFE" w14:textId="77777777" w:rsidTr="00D34982">
        <w:trPr>
          <w:trHeight w:val="384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07F40" w14:textId="261EC822" w:rsidR="002B4DC2" w:rsidRDefault="002B4DC2" w:rsidP="00D43E42">
            <w:pPr>
              <w:widowControl w:val="0"/>
            </w:pPr>
            <w:r w:rsidRPr="00E21305">
              <w:rPr>
                <w:color w:val="000000"/>
              </w:rPr>
              <w:t>0.5X</w:t>
            </w:r>
            <w:r w:rsidR="004809EA">
              <w:rPr>
                <w:color w:val="000000"/>
              </w:rPr>
              <w:t xml:space="preserve"> </w:t>
            </w:r>
            <w:r w:rsidRPr="00E21305">
              <w:rPr>
                <w:color w:val="000000"/>
              </w:rPr>
              <w:t>|</w:t>
            </w:r>
            <w:r w:rsidR="004809EA">
              <w:rPr>
                <w:color w:val="000000"/>
              </w:rPr>
              <w:t xml:space="preserve"> </w:t>
            </w:r>
            <w:r w:rsidRPr="00E21305">
              <w:rPr>
                <w:color w:val="000000"/>
              </w:rPr>
              <w:t>100 ppm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EAD90" w14:textId="77777777" w:rsidR="002B4DC2" w:rsidRDefault="002B4DC2" w:rsidP="00D43E42">
            <w:pPr>
              <w:widowControl w:val="0"/>
              <w:jc w:val="center"/>
            </w:pPr>
            <w:r>
              <w:t>No sample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22214" w14:textId="41AF1385" w:rsidR="00BA5131" w:rsidRDefault="00BA5131" w:rsidP="00BA5131">
            <w:pPr>
              <w:widowControl w:val="0"/>
              <w:jc w:val="center"/>
            </w:pPr>
            <w:r>
              <w:t>1840.98 ± 1556.19</w:t>
            </w:r>
          </w:p>
          <w:p w14:paraId="445AF802" w14:textId="38E6D12E" w:rsidR="00BA5131" w:rsidRDefault="00BA5131" w:rsidP="00BA5131">
            <w:pPr>
              <w:widowControl w:val="0"/>
              <w:jc w:val="center"/>
            </w:pPr>
            <w:r>
              <w:t>70.77 ± 0.38</w:t>
            </w:r>
          </w:p>
          <w:p w14:paraId="47655C0E" w14:textId="0C8CD57B" w:rsidR="002B4DC2" w:rsidRDefault="00BA5131" w:rsidP="00BA5131">
            <w:pPr>
              <w:widowControl w:val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970C3" w14:textId="77777777" w:rsidR="002B4DC2" w:rsidRDefault="002B4DC2" w:rsidP="00D43E42">
            <w:pPr>
              <w:widowControl w:val="0"/>
              <w:jc w:val="center"/>
            </w:pPr>
            <w:r>
              <w:t>No sample</w:t>
            </w:r>
          </w:p>
        </w:tc>
      </w:tr>
    </w:tbl>
    <w:p w14:paraId="6C0E7FEE" w14:textId="5FA88F57" w:rsidR="004D4E71" w:rsidRDefault="004D4E71" w:rsidP="002B4DC2">
      <w:pPr>
        <w:widowControl w:val="0"/>
        <w:spacing w:line="480" w:lineRule="auto"/>
      </w:pPr>
    </w:p>
    <w:p w14:paraId="0BE7C772" w14:textId="77777777" w:rsidR="004D4E71" w:rsidRDefault="004D4E71">
      <w:pPr>
        <w:sectPr w:rsidR="004D4E71" w:rsidSect="00D34982"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14:paraId="67BFFCC3" w14:textId="6FCB1C00" w:rsidR="004D4E71" w:rsidRDefault="004D4E71" w:rsidP="000F571E">
      <w:pPr>
        <w:widowControl w:val="0"/>
        <w:spacing w:after="80"/>
        <w:ind w:left="2250" w:right="2160"/>
        <w:jc w:val="both"/>
      </w:pPr>
      <w:r w:rsidRPr="005625C9">
        <w:rPr>
          <w:b/>
        </w:rPr>
        <w:lastRenderedPageBreak/>
        <w:t xml:space="preserve">Table </w:t>
      </w:r>
      <w:r>
        <w:rPr>
          <w:b/>
        </w:rPr>
        <w:t>S1B</w:t>
      </w:r>
      <w:r w:rsidRPr="005625C9">
        <w:rPr>
          <w:b/>
        </w:rPr>
        <w:t>.</w:t>
      </w:r>
      <w:r>
        <w:t xml:space="preserve"> </w:t>
      </w:r>
      <w:r w:rsidR="00714113">
        <w:rPr>
          <w:u w:val="single"/>
        </w:rPr>
        <w:t>F</w:t>
      </w:r>
      <w:r w:rsidR="00C5336A" w:rsidRPr="00C5336A">
        <w:rPr>
          <w:u w:val="single"/>
        </w:rPr>
        <w:t>lower</w:t>
      </w:r>
      <w:r w:rsidR="00C5336A" w:rsidRPr="00C5336A">
        <w:t xml:space="preserve"> </w:t>
      </w:r>
      <w:r w:rsidR="00C5336A">
        <w:t>RDX concentrations (ppm)</w:t>
      </w:r>
      <w:r w:rsidR="00714113">
        <w:t xml:space="preserve"> and</w:t>
      </w:r>
      <w:r w:rsidR="00C5336A">
        <w:t xml:space="preserve"> translocation factors </w:t>
      </w:r>
      <w:r w:rsidR="00714113">
        <w:t>(</w:t>
      </w:r>
      <w:r w:rsidR="00C5336A">
        <w:t>TF)</w:t>
      </w:r>
      <w:r w:rsidR="00714113">
        <w:t xml:space="preserve"> for one plant per treatment group </w:t>
      </w:r>
      <w:r w:rsidR="00C5336A">
        <w:t xml:space="preserve">for </w:t>
      </w:r>
      <w:r w:rsidR="00714113">
        <w:t xml:space="preserve">each of </w:t>
      </w:r>
      <w:r w:rsidR="00C5336A">
        <w:t>five plant species exposed to different combinations of water-resourcing (1X or 0.5X) and initial soil RDX concentration (50 ppm or 100 ppm).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1250"/>
        <w:gridCol w:w="1496"/>
        <w:gridCol w:w="1483"/>
        <w:gridCol w:w="1309"/>
        <w:gridCol w:w="1283"/>
      </w:tblGrid>
      <w:tr w:rsidR="004D4E71" w14:paraId="05F97C23" w14:textId="77777777" w:rsidTr="004D4E71">
        <w:trPr>
          <w:trHeight w:val="288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C4AC4B8" w14:textId="77777777" w:rsidR="004D4E71" w:rsidRDefault="004D4E71" w:rsidP="004D4E71">
            <w:pPr>
              <w:widowControl w:val="0"/>
            </w:pPr>
          </w:p>
        </w:tc>
        <w:tc>
          <w:tcPr>
            <w:tcW w:w="0" w:type="auto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4B11D3DC" w14:textId="25897422" w:rsidR="004D4E71" w:rsidRDefault="004D4E71" w:rsidP="004D4E71">
            <w:pPr>
              <w:widowControl w:val="0"/>
              <w:spacing w:after="120"/>
              <w:jc w:val="center"/>
              <w:rPr>
                <w:i/>
              </w:rPr>
            </w:pPr>
            <w:r>
              <w:t>Plant Species</w:t>
            </w:r>
          </w:p>
        </w:tc>
      </w:tr>
      <w:tr w:rsidR="004D4E71" w14:paraId="7C374C29" w14:textId="77777777" w:rsidTr="000F571E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60260" w14:textId="77777777" w:rsidR="004D4E71" w:rsidRDefault="004D4E71" w:rsidP="004D4E71">
            <w:pPr>
              <w:widowControl w:val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C5F3B8" w14:textId="77777777" w:rsidR="004D4E71" w:rsidRPr="004D4E71" w:rsidRDefault="004D4E71" w:rsidP="004D4E71">
            <w:pPr>
              <w:widowControl w:val="0"/>
              <w:jc w:val="center"/>
              <w:rPr>
                <w:i/>
                <w:iCs/>
              </w:rPr>
            </w:pPr>
            <w:r w:rsidRPr="004D4E71">
              <w:rPr>
                <w:i/>
                <w:iCs/>
              </w:rPr>
              <w:t>A. majus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23A153" w14:textId="77777777" w:rsidR="004D4E71" w:rsidRPr="004D4E71" w:rsidRDefault="004D4E71" w:rsidP="004D4E71">
            <w:pPr>
              <w:widowControl w:val="0"/>
              <w:jc w:val="center"/>
              <w:rPr>
                <w:i/>
                <w:iCs/>
              </w:rPr>
            </w:pPr>
            <w:r w:rsidRPr="004D4E71">
              <w:rPr>
                <w:i/>
                <w:iCs/>
              </w:rPr>
              <w:t>P. lanceolata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F0D1EF" w14:textId="77777777" w:rsidR="004D4E71" w:rsidRPr="004D4E71" w:rsidRDefault="004D4E71" w:rsidP="004D4E71">
            <w:pPr>
              <w:widowControl w:val="0"/>
              <w:jc w:val="center"/>
              <w:rPr>
                <w:i/>
                <w:iCs/>
              </w:rPr>
            </w:pPr>
            <w:r w:rsidRPr="004D4E71">
              <w:rPr>
                <w:i/>
                <w:iCs/>
              </w:rPr>
              <w:t>P. auriculata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B27D11" w14:textId="5E7BF48B" w:rsidR="004D4E71" w:rsidRDefault="00953F79" w:rsidP="004D4E71">
            <w:pPr>
              <w:widowControl w:val="0"/>
              <w:jc w:val="center"/>
            </w:pPr>
            <w:r w:rsidRPr="00496D81">
              <w:rPr>
                <w:i/>
              </w:rPr>
              <w:t>S. coccinea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74B457" w14:textId="77777777" w:rsidR="004D4E71" w:rsidRDefault="004D4E71" w:rsidP="004D4E71">
            <w:pPr>
              <w:widowControl w:val="0"/>
              <w:jc w:val="center"/>
            </w:pPr>
            <w:r>
              <w:rPr>
                <w:i/>
              </w:rPr>
              <w:t>T. violacea</w:t>
            </w:r>
          </w:p>
        </w:tc>
      </w:tr>
      <w:tr w:rsidR="004D4E71" w14:paraId="5083AF45" w14:textId="77777777" w:rsidTr="000F571E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88475B5" w14:textId="77777777" w:rsidR="00953F79" w:rsidRDefault="00953F79" w:rsidP="004D4E71">
            <w:pPr>
              <w:widowControl w:val="0"/>
            </w:pPr>
          </w:p>
          <w:p w14:paraId="7071C9F0" w14:textId="54025505" w:rsidR="004D4E71" w:rsidRDefault="004D4E71" w:rsidP="004D4E71">
            <w:pPr>
              <w:widowControl w:val="0"/>
            </w:pPr>
            <w:r>
              <w:t>Treatment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85CDE91" w14:textId="0C8FD5F4" w:rsidR="004D4E71" w:rsidRDefault="004D4E71" w:rsidP="004D4E71">
            <w:pPr>
              <w:widowControl w:val="0"/>
              <w:jc w:val="center"/>
            </w:pPr>
            <w:r>
              <w:t>RDX</w:t>
            </w:r>
          </w:p>
          <w:p w14:paraId="2E52CAC7" w14:textId="346DA2D4" w:rsidR="004D4E71" w:rsidRDefault="004D4E71" w:rsidP="00953F79">
            <w:pPr>
              <w:widowControl w:val="0"/>
              <w:jc w:val="center"/>
            </w:pPr>
            <w:r>
              <w:t>TF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9CEDDA9" w14:textId="77777777" w:rsidR="00953F79" w:rsidRDefault="00953F79" w:rsidP="00953F79">
            <w:pPr>
              <w:widowControl w:val="0"/>
              <w:jc w:val="center"/>
            </w:pPr>
            <w:r>
              <w:t>RDX</w:t>
            </w:r>
          </w:p>
          <w:p w14:paraId="5C67E030" w14:textId="301A5471" w:rsidR="004D4E71" w:rsidRDefault="00953F79" w:rsidP="00953F79">
            <w:pPr>
              <w:widowControl w:val="0"/>
              <w:jc w:val="center"/>
            </w:pPr>
            <w:r>
              <w:t>TF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09D214B" w14:textId="77777777" w:rsidR="00953F79" w:rsidRDefault="00953F79" w:rsidP="00953F79">
            <w:pPr>
              <w:widowControl w:val="0"/>
              <w:jc w:val="center"/>
            </w:pPr>
            <w:r>
              <w:t>RDX</w:t>
            </w:r>
          </w:p>
          <w:p w14:paraId="3C9814EA" w14:textId="67131F79" w:rsidR="004D4E71" w:rsidRDefault="00953F79" w:rsidP="00953F79">
            <w:pPr>
              <w:widowControl w:val="0"/>
              <w:jc w:val="center"/>
            </w:pPr>
            <w:r>
              <w:t>TF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DDC6F87" w14:textId="77777777" w:rsidR="00953F79" w:rsidRDefault="00953F79" w:rsidP="00953F79">
            <w:pPr>
              <w:widowControl w:val="0"/>
              <w:jc w:val="center"/>
            </w:pPr>
            <w:r>
              <w:t>RDX</w:t>
            </w:r>
          </w:p>
          <w:p w14:paraId="6E449DFE" w14:textId="4CAF6EDA" w:rsidR="004D4E71" w:rsidRDefault="00953F79" w:rsidP="00953F79">
            <w:pPr>
              <w:widowControl w:val="0"/>
              <w:jc w:val="center"/>
            </w:pPr>
            <w:r>
              <w:t>TF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6716F28" w14:textId="77777777" w:rsidR="00953F79" w:rsidRDefault="00953F79" w:rsidP="00953F79">
            <w:pPr>
              <w:widowControl w:val="0"/>
              <w:jc w:val="center"/>
            </w:pPr>
            <w:r>
              <w:t>RDX</w:t>
            </w:r>
          </w:p>
          <w:p w14:paraId="0B803526" w14:textId="48C1F5DF" w:rsidR="004D4E71" w:rsidRDefault="00953F79" w:rsidP="00953F79">
            <w:pPr>
              <w:widowControl w:val="0"/>
              <w:jc w:val="center"/>
            </w:pPr>
            <w:r>
              <w:t>TF</w:t>
            </w:r>
          </w:p>
        </w:tc>
      </w:tr>
      <w:tr w:rsidR="004D4E71" w14:paraId="70661815" w14:textId="77777777" w:rsidTr="000F571E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7DA4F" w14:textId="77777777" w:rsidR="004D4E71" w:rsidRDefault="004D4E71" w:rsidP="004D4E71">
            <w:pPr>
              <w:widowControl w:val="0"/>
            </w:pPr>
            <w:r w:rsidRPr="00E21305">
              <w:rPr>
                <w:color w:val="000000"/>
              </w:rPr>
              <w:t>1X</w:t>
            </w:r>
            <w:r>
              <w:rPr>
                <w:color w:val="000000"/>
              </w:rPr>
              <w:t xml:space="preserve"> </w:t>
            </w:r>
            <w:r w:rsidRPr="00E21305">
              <w:rPr>
                <w:color w:val="000000"/>
              </w:rPr>
              <w:t>|</w:t>
            </w:r>
            <w:r>
              <w:rPr>
                <w:color w:val="000000"/>
              </w:rPr>
              <w:t xml:space="preserve"> 50 ppm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F1037" w14:textId="77777777" w:rsidR="004D4E71" w:rsidRDefault="00953F79" w:rsidP="00953F79">
            <w:pPr>
              <w:widowControl w:val="0"/>
              <w:jc w:val="center"/>
            </w:pPr>
            <w:r>
              <w:t>5.55</w:t>
            </w:r>
          </w:p>
          <w:p w14:paraId="67AEE648" w14:textId="15E7A2B7" w:rsidR="00953F79" w:rsidRDefault="00953F79" w:rsidP="00953F79">
            <w:pPr>
              <w:widowControl w:val="0"/>
              <w:jc w:val="center"/>
            </w:pPr>
            <w:r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078D4" w14:textId="77777777" w:rsidR="004D4E71" w:rsidRDefault="00953F79" w:rsidP="00953F79">
            <w:pPr>
              <w:widowControl w:val="0"/>
              <w:jc w:val="center"/>
            </w:pPr>
            <w:r>
              <w:t>3.56</w:t>
            </w:r>
          </w:p>
          <w:p w14:paraId="3BC55357" w14:textId="782F59CD" w:rsidR="00953F79" w:rsidRDefault="00953F79" w:rsidP="00953F79">
            <w:pPr>
              <w:widowControl w:val="0"/>
              <w:jc w:val="center"/>
            </w:pPr>
            <w: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B9A00" w14:textId="77777777" w:rsidR="004D4E71" w:rsidRDefault="00953F79" w:rsidP="00953F79">
            <w:pPr>
              <w:widowControl w:val="0"/>
              <w:jc w:val="center"/>
            </w:pPr>
            <w:r>
              <w:t>1.65</w:t>
            </w:r>
          </w:p>
          <w:p w14:paraId="1C1AFBC3" w14:textId="75802B5B" w:rsidR="00953F79" w:rsidRDefault="00953F79" w:rsidP="00953F79">
            <w:pPr>
              <w:widowControl w:val="0"/>
              <w:jc w:val="center"/>
            </w:pPr>
            <w:r>
              <w:t>&lt; 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9226F" w14:textId="5D03CC83" w:rsidR="004D4E71" w:rsidRDefault="00953F79" w:rsidP="00953F79">
            <w:pPr>
              <w:widowControl w:val="0"/>
              <w:jc w:val="center"/>
            </w:pPr>
            <w:r>
              <w:t>No sample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BCA33" w14:textId="77777777" w:rsidR="004D4E71" w:rsidRDefault="000F571E" w:rsidP="00953F79">
            <w:pPr>
              <w:widowControl w:val="0"/>
              <w:jc w:val="center"/>
            </w:pPr>
            <w:r>
              <w:t>38.22</w:t>
            </w:r>
          </w:p>
          <w:p w14:paraId="74EAD7CF" w14:textId="4C2127C3" w:rsidR="000F571E" w:rsidRDefault="000F571E" w:rsidP="00953F79">
            <w:pPr>
              <w:widowControl w:val="0"/>
              <w:jc w:val="center"/>
            </w:pPr>
            <w:r>
              <w:t>0.13</w:t>
            </w:r>
          </w:p>
        </w:tc>
      </w:tr>
      <w:tr w:rsidR="004D4E71" w14:paraId="73B4310E" w14:textId="77777777" w:rsidTr="000F571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B6CF73" w14:textId="77777777" w:rsidR="004D4E71" w:rsidRDefault="004D4E71" w:rsidP="004D4E71">
            <w:pPr>
              <w:widowControl w:val="0"/>
            </w:pPr>
            <w:r w:rsidRPr="00E21305">
              <w:rPr>
                <w:color w:val="000000"/>
              </w:rPr>
              <w:t>0.5X</w:t>
            </w:r>
            <w:r>
              <w:rPr>
                <w:color w:val="000000"/>
              </w:rPr>
              <w:t xml:space="preserve"> </w:t>
            </w:r>
            <w:r w:rsidRPr="00E21305">
              <w:rPr>
                <w:color w:val="000000"/>
              </w:rPr>
              <w:t>|</w:t>
            </w:r>
            <w:r>
              <w:rPr>
                <w:color w:val="000000"/>
              </w:rPr>
              <w:t xml:space="preserve"> 50</w:t>
            </w:r>
            <w:r w:rsidRPr="00E21305">
              <w:rPr>
                <w:color w:val="000000"/>
              </w:rPr>
              <w:t xml:space="preserve"> ppm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411EF4" w14:textId="276030F7" w:rsidR="00953F79" w:rsidRDefault="00953F79" w:rsidP="00953F79">
            <w:pPr>
              <w:widowControl w:val="0"/>
              <w:jc w:val="center"/>
            </w:pPr>
            <w:r>
              <w:t>No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7B2324" w14:textId="77777777" w:rsidR="004D4E71" w:rsidRDefault="00953F79" w:rsidP="00953F79">
            <w:pPr>
              <w:widowControl w:val="0"/>
              <w:jc w:val="center"/>
            </w:pPr>
            <w:r>
              <w:t>15.46</w:t>
            </w:r>
          </w:p>
          <w:p w14:paraId="6C4D6EF9" w14:textId="08431E20" w:rsidR="00953F79" w:rsidRDefault="00953F79" w:rsidP="00953F79">
            <w:pPr>
              <w:widowControl w:val="0"/>
              <w:jc w:val="center"/>
            </w:pPr>
            <w: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9CF803" w14:textId="77777777" w:rsidR="004D4E71" w:rsidRDefault="00953F79" w:rsidP="00953F79">
            <w:pPr>
              <w:widowControl w:val="0"/>
              <w:jc w:val="center"/>
            </w:pPr>
            <w:r>
              <w:t>8.24</w:t>
            </w:r>
          </w:p>
          <w:p w14:paraId="71A73BB8" w14:textId="4CC784AC" w:rsidR="00953F79" w:rsidRDefault="00953F79" w:rsidP="00953F79">
            <w:pPr>
              <w:widowControl w:val="0"/>
              <w:jc w:val="center"/>
            </w:pPr>
            <w: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AAE606" w14:textId="75C99AF3" w:rsidR="004D4E71" w:rsidRDefault="00953F79" w:rsidP="00953F79">
            <w:pPr>
              <w:widowControl w:val="0"/>
              <w:jc w:val="center"/>
            </w:pPr>
            <w:r>
              <w:t>No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9BF948" w14:textId="77777777" w:rsidR="004D4E71" w:rsidRDefault="00953F79" w:rsidP="00953F79">
            <w:pPr>
              <w:widowControl w:val="0"/>
              <w:jc w:val="center"/>
            </w:pPr>
            <w:r>
              <w:t>16.94</w:t>
            </w:r>
          </w:p>
          <w:p w14:paraId="3247487A" w14:textId="35F77C57" w:rsidR="00953F79" w:rsidRDefault="00953F79" w:rsidP="00953F79">
            <w:pPr>
              <w:widowControl w:val="0"/>
              <w:jc w:val="center"/>
            </w:pPr>
            <w:r>
              <w:t>0.09</w:t>
            </w:r>
          </w:p>
        </w:tc>
      </w:tr>
      <w:tr w:rsidR="004D4E71" w14:paraId="2EFFE383" w14:textId="77777777" w:rsidTr="000F571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CAE3E4" w14:textId="77777777" w:rsidR="004D4E71" w:rsidRDefault="004D4E71" w:rsidP="004D4E71">
            <w:pPr>
              <w:widowControl w:val="0"/>
            </w:pPr>
            <w:r w:rsidRPr="00E21305">
              <w:rPr>
                <w:color w:val="000000"/>
              </w:rPr>
              <w:t>1X</w:t>
            </w:r>
            <w:r>
              <w:rPr>
                <w:color w:val="000000"/>
              </w:rPr>
              <w:t xml:space="preserve"> </w:t>
            </w:r>
            <w:r w:rsidRPr="00E21305">
              <w:rPr>
                <w:color w:val="000000"/>
              </w:rPr>
              <w:t>|</w:t>
            </w:r>
            <w:r>
              <w:rPr>
                <w:color w:val="000000"/>
              </w:rPr>
              <w:t xml:space="preserve"> </w:t>
            </w:r>
            <w:r w:rsidRPr="00E21305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ppm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B6B4F7" w14:textId="77777777" w:rsidR="00953F79" w:rsidRDefault="00953F79" w:rsidP="00953F79">
            <w:pPr>
              <w:widowControl w:val="0"/>
              <w:jc w:val="center"/>
            </w:pPr>
            <w:r>
              <w:t>3.00</w:t>
            </w:r>
          </w:p>
          <w:p w14:paraId="1C957AC5" w14:textId="3E493894" w:rsidR="004D4E71" w:rsidRDefault="00953F79" w:rsidP="00953F79">
            <w:pPr>
              <w:widowControl w:val="0"/>
              <w:jc w:val="center"/>
            </w:pPr>
            <w: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93A259" w14:textId="0746871F" w:rsidR="004D4E71" w:rsidRDefault="00953F79" w:rsidP="00953F79">
            <w:pPr>
              <w:widowControl w:val="0"/>
              <w:jc w:val="center"/>
            </w:pPr>
            <w:r>
              <w:t>No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599F66" w14:textId="77777777" w:rsidR="004D4E71" w:rsidRDefault="00953F79" w:rsidP="00953F79">
            <w:pPr>
              <w:widowControl w:val="0"/>
              <w:jc w:val="center"/>
            </w:pPr>
            <w:r>
              <w:t>5.19</w:t>
            </w:r>
          </w:p>
          <w:p w14:paraId="13C7EE73" w14:textId="61D5B538" w:rsidR="00953F79" w:rsidRDefault="00953F79" w:rsidP="00953F79">
            <w:pPr>
              <w:widowControl w:val="0"/>
              <w:jc w:val="center"/>
            </w:pPr>
            <w: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C208EB" w14:textId="77777777" w:rsidR="004D4E71" w:rsidRDefault="00953F79" w:rsidP="00953F79">
            <w:pPr>
              <w:widowControl w:val="0"/>
              <w:jc w:val="center"/>
            </w:pPr>
            <w:r>
              <w:t>11.07</w:t>
            </w:r>
          </w:p>
          <w:p w14:paraId="78137B81" w14:textId="61859E68" w:rsidR="00953F79" w:rsidRDefault="00953F79" w:rsidP="00953F79">
            <w:pPr>
              <w:widowControl w:val="0"/>
              <w:jc w:val="center"/>
            </w:pPr>
            <w: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DD8482" w14:textId="77777777" w:rsidR="004D4E71" w:rsidRDefault="00953F79" w:rsidP="00953F79">
            <w:pPr>
              <w:widowControl w:val="0"/>
              <w:jc w:val="center"/>
            </w:pPr>
            <w:r>
              <w:t>26.87</w:t>
            </w:r>
          </w:p>
          <w:p w14:paraId="1E75F9E1" w14:textId="3070805D" w:rsidR="00953F79" w:rsidRDefault="00953F79" w:rsidP="00953F79">
            <w:pPr>
              <w:widowControl w:val="0"/>
              <w:jc w:val="center"/>
            </w:pPr>
            <w:r>
              <w:t>0.17</w:t>
            </w:r>
          </w:p>
        </w:tc>
      </w:tr>
      <w:tr w:rsidR="004D4E71" w14:paraId="7C504388" w14:textId="77777777" w:rsidTr="000F571E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9C7E9F7" w14:textId="77777777" w:rsidR="004D4E71" w:rsidRPr="00E21305" w:rsidRDefault="004D4E71" w:rsidP="004D4E71">
            <w:pPr>
              <w:widowControl w:val="0"/>
              <w:rPr>
                <w:color w:val="000000"/>
              </w:rPr>
            </w:pPr>
            <w:r w:rsidRPr="00E21305">
              <w:rPr>
                <w:color w:val="000000"/>
              </w:rPr>
              <w:t>0.5X</w:t>
            </w:r>
            <w:r>
              <w:rPr>
                <w:color w:val="000000"/>
              </w:rPr>
              <w:t xml:space="preserve"> </w:t>
            </w:r>
            <w:r w:rsidRPr="00E21305">
              <w:rPr>
                <w:color w:val="000000"/>
              </w:rPr>
              <w:t>|</w:t>
            </w:r>
            <w:r>
              <w:rPr>
                <w:color w:val="000000"/>
              </w:rPr>
              <w:t xml:space="preserve"> </w:t>
            </w:r>
            <w:r w:rsidRPr="00E21305">
              <w:rPr>
                <w:color w:val="000000"/>
              </w:rPr>
              <w:t>100 ppm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CD58D9D" w14:textId="77777777" w:rsidR="004D4E71" w:rsidRDefault="00953F79" w:rsidP="00953F79">
            <w:pPr>
              <w:widowControl w:val="0"/>
              <w:jc w:val="center"/>
            </w:pPr>
            <w:r>
              <w:t>36.22</w:t>
            </w:r>
          </w:p>
          <w:p w14:paraId="7567663E" w14:textId="1783A520" w:rsidR="00953F79" w:rsidRDefault="00953F79" w:rsidP="00953F79">
            <w:pPr>
              <w:widowControl w:val="0"/>
              <w:jc w:val="center"/>
            </w:pPr>
            <w:r>
              <w:t>0.36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F8252EB" w14:textId="77777777" w:rsidR="004D4E71" w:rsidRDefault="00953F79" w:rsidP="00953F79">
            <w:pPr>
              <w:widowControl w:val="0"/>
              <w:jc w:val="center"/>
            </w:pPr>
            <w:r>
              <w:t>38.80</w:t>
            </w:r>
          </w:p>
          <w:p w14:paraId="1ACA5D99" w14:textId="11235593" w:rsidR="00953F79" w:rsidRDefault="00953F79" w:rsidP="00953F79">
            <w:pPr>
              <w:widowControl w:val="0"/>
              <w:jc w:val="center"/>
            </w:pPr>
            <w:r>
              <w:t>0.21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88DCCBF" w14:textId="77777777" w:rsidR="004D4E71" w:rsidRDefault="00953F79" w:rsidP="00953F79">
            <w:pPr>
              <w:widowControl w:val="0"/>
              <w:jc w:val="center"/>
            </w:pPr>
            <w:r>
              <w:t>10.08</w:t>
            </w:r>
          </w:p>
          <w:p w14:paraId="607580D6" w14:textId="16587001" w:rsidR="00953F79" w:rsidRDefault="00953F79" w:rsidP="00953F79">
            <w:pPr>
              <w:widowControl w:val="0"/>
              <w:jc w:val="center"/>
            </w:pPr>
            <w:r>
              <w:t>0.21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6DC6BCF" w14:textId="524A428E" w:rsidR="004D4E71" w:rsidRDefault="00953F79" w:rsidP="00953F79">
            <w:pPr>
              <w:widowControl w:val="0"/>
              <w:jc w:val="center"/>
            </w:pPr>
            <w:r>
              <w:t>No sample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720A86E" w14:textId="77777777" w:rsidR="004D4E71" w:rsidRDefault="00953F79" w:rsidP="00953F79">
            <w:pPr>
              <w:widowControl w:val="0"/>
              <w:jc w:val="center"/>
            </w:pPr>
            <w:r>
              <w:t>47.89</w:t>
            </w:r>
          </w:p>
          <w:p w14:paraId="2120A46A" w14:textId="0344C166" w:rsidR="00953F79" w:rsidRDefault="00953F79" w:rsidP="00953F79">
            <w:pPr>
              <w:widowControl w:val="0"/>
              <w:jc w:val="center"/>
            </w:pPr>
            <w:r>
              <w:t>0.39</w:t>
            </w:r>
          </w:p>
        </w:tc>
      </w:tr>
    </w:tbl>
    <w:p w14:paraId="745EBDB0" w14:textId="05305736" w:rsidR="002B4DC2" w:rsidRDefault="002B4DC2" w:rsidP="000F571E">
      <w:pPr>
        <w:rPr>
          <w:b/>
          <w:bCs/>
        </w:rPr>
      </w:pPr>
    </w:p>
    <w:sectPr w:rsidR="002B4DC2" w:rsidSect="004D4E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FAAA2" w14:textId="77777777" w:rsidR="00002C20" w:rsidRDefault="00002C20" w:rsidP="001F22FA">
      <w:r>
        <w:separator/>
      </w:r>
    </w:p>
  </w:endnote>
  <w:endnote w:type="continuationSeparator" w:id="0">
    <w:p w14:paraId="6466C2BA" w14:textId="77777777" w:rsidR="00002C20" w:rsidRDefault="00002C20" w:rsidP="001F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35 Light">
    <w:altName w:val="Calibri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673586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D52C7D" w14:textId="77777777" w:rsidR="00C37C0C" w:rsidRDefault="00C37C0C" w:rsidP="009D7A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18900D" w14:textId="77777777" w:rsidR="00C37C0C" w:rsidRDefault="00C37C0C" w:rsidP="001F22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554542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B439DF" w14:textId="02BEEB02" w:rsidR="00C37C0C" w:rsidRDefault="00C37C0C" w:rsidP="009D7A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E287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B1D0E9C" w14:textId="77777777" w:rsidR="00C37C0C" w:rsidRDefault="00C37C0C" w:rsidP="001F22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C5483" w14:textId="77777777" w:rsidR="00002C20" w:rsidRDefault="00002C20" w:rsidP="001F22FA">
      <w:r>
        <w:separator/>
      </w:r>
    </w:p>
  </w:footnote>
  <w:footnote w:type="continuationSeparator" w:id="0">
    <w:p w14:paraId="332F3C2A" w14:textId="77777777" w:rsidR="00002C20" w:rsidRDefault="00002C20" w:rsidP="001F2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6BF6"/>
    <w:multiLevelType w:val="hybridMultilevel"/>
    <w:tmpl w:val="302C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1727"/>
    <w:multiLevelType w:val="multilevel"/>
    <w:tmpl w:val="2E281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53EA2"/>
    <w:multiLevelType w:val="hybridMultilevel"/>
    <w:tmpl w:val="16A2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159F6"/>
    <w:multiLevelType w:val="multilevel"/>
    <w:tmpl w:val="E92E0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1D2C34"/>
    <w:multiLevelType w:val="hybridMultilevel"/>
    <w:tmpl w:val="0386A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84A2D"/>
    <w:multiLevelType w:val="hybridMultilevel"/>
    <w:tmpl w:val="92F8D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66DB9"/>
    <w:multiLevelType w:val="multilevel"/>
    <w:tmpl w:val="50B6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985242"/>
    <w:multiLevelType w:val="hybridMultilevel"/>
    <w:tmpl w:val="2E5CEA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87C2A"/>
    <w:multiLevelType w:val="multilevel"/>
    <w:tmpl w:val="5806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7F04C6"/>
    <w:multiLevelType w:val="hybridMultilevel"/>
    <w:tmpl w:val="CB0282D0"/>
    <w:lvl w:ilvl="0" w:tplc="EA847FB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404F0"/>
    <w:multiLevelType w:val="multilevel"/>
    <w:tmpl w:val="280C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853194"/>
    <w:multiLevelType w:val="multilevel"/>
    <w:tmpl w:val="4A66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092187"/>
    <w:multiLevelType w:val="hybridMultilevel"/>
    <w:tmpl w:val="B4A46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0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59tr2f2jr5szbews2bxr9949t0attvzw09s&quot;&gt;My EndNote Library&lt;record-ids&gt;&lt;item&gt;718&lt;/item&gt;&lt;item&gt;845&lt;/item&gt;&lt;item&gt;846&lt;/item&gt;&lt;item&gt;847&lt;/item&gt;&lt;item&gt;848&lt;/item&gt;&lt;item&gt;849&lt;/item&gt;&lt;item&gt;850&lt;/item&gt;&lt;/record-ids&gt;&lt;/item&gt;&lt;/Libraries&gt;"/>
  </w:docVars>
  <w:rsids>
    <w:rsidRoot w:val="00695A10"/>
    <w:rsid w:val="00001D5A"/>
    <w:rsid w:val="00002C20"/>
    <w:rsid w:val="0000423D"/>
    <w:rsid w:val="000055C1"/>
    <w:rsid w:val="00005B84"/>
    <w:rsid w:val="00007022"/>
    <w:rsid w:val="0000762E"/>
    <w:rsid w:val="0001100C"/>
    <w:rsid w:val="00011616"/>
    <w:rsid w:val="00013412"/>
    <w:rsid w:val="00013EB5"/>
    <w:rsid w:val="0001587B"/>
    <w:rsid w:val="000158F8"/>
    <w:rsid w:val="00017FCC"/>
    <w:rsid w:val="000208EE"/>
    <w:rsid w:val="00022D14"/>
    <w:rsid w:val="000238A8"/>
    <w:rsid w:val="000264A7"/>
    <w:rsid w:val="000267DF"/>
    <w:rsid w:val="00026E26"/>
    <w:rsid w:val="00032075"/>
    <w:rsid w:val="0003324F"/>
    <w:rsid w:val="000342FA"/>
    <w:rsid w:val="000358FD"/>
    <w:rsid w:val="00035C4F"/>
    <w:rsid w:val="00035D8A"/>
    <w:rsid w:val="000360EB"/>
    <w:rsid w:val="00041D4B"/>
    <w:rsid w:val="00043C2C"/>
    <w:rsid w:val="00043ED4"/>
    <w:rsid w:val="00046459"/>
    <w:rsid w:val="0005070F"/>
    <w:rsid w:val="00052713"/>
    <w:rsid w:val="00057042"/>
    <w:rsid w:val="000576BD"/>
    <w:rsid w:val="000578AE"/>
    <w:rsid w:val="00070A2D"/>
    <w:rsid w:val="00073E57"/>
    <w:rsid w:val="00074525"/>
    <w:rsid w:val="00074D1D"/>
    <w:rsid w:val="0007501B"/>
    <w:rsid w:val="00075D9D"/>
    <w:rsid w:val="0007627B"/>
    <w:rsid w:val="00076D72"/>
    <w:rsid w:val="00077080"/>
    <w:rsid w:val="00080125"/>
    <w:rsid w:val="00081875"/>
    <w:rsid w:val="00082A64"/>
    <w:rsid w:val="00082B20"/>
    <w:rsid w:val="00082DE9"/>
    <w:rsid w:val="00083BAF"/>
    <w:rsid w:val="00084E80"/>
    <w:rsid w:val="00085080"/>
    <w:rsid w:val="0008572D"/>
    <w:rsid w:val="0008660E"/>
    <w:rsid w:val="00092AEE"/>
    <w:rsid w:val="0009449C"/>
    <w:rsid w:val="00096BCC"/>
    <w:rsid w:val="000A0DE4"/>
    <w:rsid w:val="000A1EC0"/>
    <w:rsid w:val="000A3635"/>
    <w:rsid w:val="000A3DC7"/>
    <w:rsid w:val="000A486E"/>
    <w:rsid w:val="000A4DF5"/>
    <w:rsid w:val="000A51DF"/>
    <w:rsid w:val="000A5627"/>
    <w:rsid w:val="000A7C45"/>
    <w:rsid w:val="000B4D1F"/>
    <w:rsid w:val="000B5DB8"/>
    <w:rsid w:val="000B6D28"/>
    <w:rsid w:val="000C3C1B"/>
    <w:rsid w:val="000C6C1E"/>
    <w:rsid w:val="000D0769"/>
    <w:rsid w:val="000D13E9"/>
    <w:rsid w:val="000D217A"/>
    <w:rsid w:val="000D3E0E"/>
    <w:rsid w:val="000D54A9"/>
    <w:rsid w:val="000D5CFC"/>
    <w:rsid w:val="000E2870"/>
    <w:rsid w:val="000E2BEE"/>
    <w:rsid w:val="000E43B9"/>
    <w:rsid w:val="000E62D8"/>
    <w:rsid w:val="000E7E28"/>
    <w:rsid w:val="000F0E56"/>
    <w:rsid w:val="000F3D7A"/>
    <w:rsid w:val="000F571E"/>
    <w:rsid w:val="000F5F1F"/>
    <w:rsid w:val="000F7616"/>
    <w:rsid w:val="00100B03"/>
    <w:rsid w:val="001016EE"/>
    <w:rsid w:val="00101A83"/>
    <w:rsid w:val="0011214C"/>
    <w:rsid w:val="001130C7"/>
    <w:rsid w:val="001133A0"/>
    <w:rsid w:val="00113C1A"/>
    <w:rsid w:val="00116856"/>
    <w:rsid w:val="00117138"/>
    <w:rsid w:val="00120D99"/>
    <w:rsid w:val="0012194D"/>
    <w:rsid w:val="00123B54"/>
    <w:rsid w:val="00123BB5"/>
    <w:rsid w:val="001277FB"/>
    <w:rsid w:val="00127A4D"/>
    <w:rsid w:val="00127FD5"/>
    <w:rsid w:val="00127FE2"/>
    <w:rsid w:val="0013037F"/>
    <w:rsid w:val="00130E41"/>
    <w:rsid w:val="00133189"/>
    <w:rsid w:val="00134118"/>
    <w:rsid w:val="00134A08"/>
    <w:rsid w:val="0013667E"/>
    <w:rsid w:val="00136845"/>
    <w:rsid w:val="00136CF0"/>
    <w:rsid w:val="001379E8"/>
    <w:rsid w:val="00141E83"/>
    <w:rsid w:val="00141EC1"/>
    <w:rsid w:val="00144560"/>
    <w:rsid w:val="00146759"/>
    <w:rsid w:val="0014796C"/>
    <w:rsid w:val="00151383"/>
    <w:rsid w:val="00152E77"/>
    <w:rsid w:val="0015325E"/>
    <w:rsid w:val="00154343"/>
    <w:rsid w:val="001549F6"/>
    <w:rsid w:val="00156B4A"/>
    <w:rsid w:val="00156D20"/>
    <w:rsid w:val="00163017"/>
    <w:rsid w:val="0016363C"/>
    <w:rsid w:val="001643B8"/>
    <w:rsid w:val="00164F10"/>
    <w:rsid w:val="00164FCF"/>
    <w:rsid w:val="00167DDE"/>
    <w:rsid w:val="00171C68"/>
    <w:rsid w:val="0017246D"/>
    <w:rsid w:val="001730F8"/>
    <w:rsid w:val="001736C1"/>
    <w:rsid w:val="001736F4"/>
    <w:rsid w:val="00173F0E"/>
    <w:rsid w:val="001762A5"/>
    <w:rsid w:val="0017701E"/>
    <w:rsid w:val="00181CEE"/>
    <w:rsid w:val="00186B2E"/>
    <w:rsid w:val="00186CCD"/>
    <w:rsid w:val="001873D4"/>
    <w:rsid w:val="00192526"/>
    <w:rsid w:val="00193EA8"/>
    <w:rsid w:val="00195681"/>
    <w:rsid w:val="00195EE3"/>
    <w:rsid w:val="00196380"/>
    <w:rsid w:val="001965C4"/>
    <w:rsid w:val="0019672D"/>
    <w:rsid w:val="00197A0D"/>
    <w:rsid w:val="00197EB5"/>
    <w:rsid w:val="001A0C15"/>
    <w:rsid w:val="001A222F"/>
    <w:rsid w:val="001A3375"/>
    <w:rsid w:val="001A5079"/>
    <w:rsid w:val="001A6EAB"/>
    <w:rsid w:val="001B1C9A"/>
    <w:rsid w:val="001B1F31"/>
    <w:rsid w:val="001B300F"/>
    <w:rsid w:val="001C0A80"/>
    <w:rsid w:val="001C1356"/>
    <w:rsid w:val="001C1DEA"/>
    <w:rsid w:val="001C2B8F"/>
    <w:rsid w:val="001C2D11"/>
    <w:rsid w:val="001C3CA4"/>
    <w:rsid w:val="001C58CB"/>
    <w:rsid w:val="001C59C6"/>
    <w:rsid w:val="001D100A"/>
    <w:rsid w:val="001D106F"/>
    <w:rsid w:val="001D1AE5"/>
    <w:rsid w:val="001D5C55"/>
    <w:rsid w:val="001D784A"/>
    <w:rsid w:val="001E11F1"/>
    <w:rsid w:val="001E35FB"/>
    <w:rsid w:val="001E51FD"/>
    <w:rsid w:val="001F1906"/>
    <w:rsid w:val="001F22FA"/>
    <w:rsid w:val="001F34F9"/>
    <w:rsid w:val="001F41B2"/>
    <w:rsid w:val="001F5B98"/>
    <w:rsid w:val="001F5DF5"/>
    <w:rsid w:val="001F5EB8"/>
    <w:rsid w:val="001F64C1"/>
    <w:rsid w:val="002006D1"/>
    <w:rsid w:val="0020282F"/>
    <w:rsid w:val="0020514C"/>
    <w:rsid w:val="00205D7E"/>
    <w:rsid w:val="00211720"/>
    <w:rsid w:val="002125A1"/>
    <w:rsid w:val="00214373"/>
    <w:rsid w:val="0022499D"/>
    <w:rsid w:val="00224E41"/>
    <w:rsid w:val="0023232D"/>
    <w:rsid w:val="00235432"/>
    <w:rsid w:val="0023560B"/>
    <w:rsid w:val="00237489"/>
    <w:rsid w:val="00237721"/>
    <w:rsid w:val="00237A0B"/>
    <w:rsid w:val="00240C60"/>
    <w:rsid w:val="0024125E"/>
    <w:rsid w:val="00242202"/>
    <w:rsid w:val="00242B74"/>
    <w:rsid w:val="00242C49"/>
    <w:rsid w:val="00242E74"/>
    <w:rsid w:val="0024410C"/>
    <w:rsid w:val="00244A47"/>
    <w:rsid w:val="00244C44"/>
    <w:rsid w:val="00246A1D"/>
    <w:rsid w:val="00246EC8"/>
    <w:rsid w:val="00247610"/>
    <w:rsid w:val="002504CD"/>
    <w:rsid w:val="002632DA"/>
    <w:rsid w:val="002656E7"/>
    <w:rsid w:val="002657A2"/>
    <w:rsid w:val="00266B4E"/>
    <w:rsid w:val="00267BEA"/>
    <w:rsid w:val="00271060"/>
    <w:rsid w:val="00271E7E"/>
    <w:rsid w:val="00272A07"/>
    <w:rsid w:val="00272C64"/>
    <w:rsid w:val="00272E05"/>
    <w:rsid w:val="00275BC0"/>
    <w:rsid w:val="00275E63"/>
    <w:rsid w:val="00277337"/>
    <w:rsid w:val="00277563"/>
    <w:rsid w:val="002810DC"/>
    <w:rsid w:val="00281928"/>
    <w:rsid w:val="00286F9D"/>
    <w:rsid w:val="00291E65"/>
    <w:rsid w:val="00291F77"/>
    <w:rsid w:val="00292094"/>
    <w:rsid w:val="00292129"/>
    <w:rsid w:val="00292C80"/>
    <w:rsid w:val="00292E34"/>
    <w:rsid w:val="00294C32"/>
    <w:rsid w:val="00294CB1"/>
    <w:rsid w:val="00296DAE"/>
    <w:rsid w:val="002A08C2"/>
    <w:rsid w:val="002A0BA4"/>
    <w:rsid w:val="002A0D82"/>
    <w:rsid w:val="002A0F33"/>
    <w:rsid w:val="002A1987"/>
    <w:rsid w:val="002A1D0E"/>
    <w:rsid w:val="002A227E"/>
    <w:rsid w:val="002A27C8"/>
    <w:rsid w:val="002A61FB"/>
    <w:rsid w:val="002A6354"/>
    <w:rsid w:val="002A7750"/>
    <w:rsid w:val="002B09F5"/>
    <w:rsid w:val="002B0E49"/>
    <w:rsid w:val="002B34B2"/>
    <w:rsid w:val="002B4B23"/>
    <w:rsid w:val="002B4B8B"/>
    <w:rsid w:val="002B4DC2"/>
    <w:rsid w:val="002B7B88"/>
    <w:rsid w:val="002B7DA7"/>
    <w:rsid w:val="002B7FE0"/>
    <w:rsid w:val="002C00CB"/>
    <w:rsid w:val="002C21C9"/>
    <w:rsid w:val="002C3439"/>
    <w:rsid w:val="002C5AAD"/>
    <w:rsid w:val="002D30B5"/>
    <w:rsid w:val="002D3F2E"/>
    <w:rsid w:val="002D6D03"/>
    <w:rsid w:val="002E31CC"/>
    <w:rsid w:val="002E5678"/>
    <w:rsid w:val="002E6441"/>
    <w:rsid w:val="002F0672"/>
    <w:rsid w:val="002F2C18"/>
    <w:rsid w:val="002F3405"/>
    <w:rsid w:val="002F6731"/>
    <w:rsid w:val="003002D9"/>
    <w:rsid w:val="00303377"/>
    <w:rsid w:val="0030404D"/>
    <w:rsid w:val="00304185"/>
    <w:rsid w:val="00304BBA"/>
    <w:rsid w:val="00305C54"/>
    <w:rsid w:val="00305F09"/>
    <w:rsid w:val="00307635"/>
    <w:rsid w:val="0031026E"/>
    <w:rsid w:val="00310420"/>
    <w:rsid w:val="003106B1"/>
    <w:rsid w:val="00312A28"/>
    <w:rsid w:val="003130E1"/>
    <w:rsid w:val="0031402C"/>
    <w:rsid w:val="0031427D"/>
    <w:rsid w:val="0031728B"/>
    <w:rsid w:val="00317891"/>
    <w:rsid w:val="003218E3"/>
    <w:rsid w:val="00324118"/>
    <w:rsid w:val="003276BA"/>
    <w:rsid w:val="003277C7"/>
    <w:rsid w:val="00330D38"/>
    <w:rsid w:val="00332790"/>
    <w:rsid w:val="00332833"/>
    <w:rsid w:val="0033286C"/>
    <w:rsid w:val="00336A6C"/>
    <w:rsid w:val="0033721A"/>
    <w:rsid w:val="00342970"/>
    <w:rsid w:val="00342CDC"/>
    <w:rsid w:val="00344BDA"/>
    <w:rsid w:val="0034511A"/>
    <w:rsid w:val="003467B5"/>
    <w:rsid w:val="00350878"/>
    <w:rsid w:val="00354552"/>
    <w:rsid w:val="00354C8B"/>
    <w:rsid w:val="0035708A"/>
    <w:rsid w:val="003606FB"/>
    <w:rsid w:val="00360B3D"/>
    <w:rsid w:val="00364B2E"/>
    <w:rsid w:val="003655FF"/>
    <w:rsid w:val="003660D4"/>
    <w:rsid w:val="00367068"/>
    <w:rsid w:val="003677D8"/>
    <w:rsid w:val="0037024E"/>
    <w:rsid w:val="00370F9F"/>
    <w:rsid w:val="00371042"/>
    <w:rsid w:val="00371B9C"/>
    <w:rsid w:val="003738A9"/>
    <w:rsid w:val="003769FB"/>
    <w:rsid w:val="00385387"/>
    <w:rsid w:val="00387E8D"/>
    <w:rsid w:val="00390A7F"/>
    <w:rsid w:val="00394397"/>
    <w:rsid w:val="00397089"/>
    <w:rsid w:val="003A1E2A"/>
    <w:rsid w:val="003A1EAC"/>
    <w:rsid w:val="003A30D4"/>
    <w:rsid w:val="003A32E0"/>
    <w:rsid w:val="003A33CF"/>
    <w:rsid w:val="003A5AAC"/>
    <w:rsid w:val="003A5C97"/>
    <w:rsid w:val="003A62C5"/>
    <w:rsid w:val="003A6AAC"/>
    <w:rsid w:val="003B15B8"/>
    <w:rsid w:val="003B2A5F"/>
    <w:rsid w:val="003B2F12"/>
    <w:rsid w:val="003B3CCD"/>
    <w:rsid w:val="003C0E9C"/>
    <w:rsid w:val="003C523F"/>
    <w:rsid w:val="003C7C45"/>
    <w:rsid w:val="003D023B"/>
    <w:rsid w:val="003D3067"/>
    <w:rsid w:val="003D380B"/>
    <w:rsid w:val="003D4398"/>
    <w:rsid w:val="003D75C0"/>
    <w:rsid w:val="003D7FFE"/>
    <w:rsid w:val="003E3E57"/>
    <w:rsid w:val="003E6C09"/>
    <w:rsid w:val="003E75C0"/>
    <w:rsid w:val="003F1F73"/>
    <w:rsid w:val="003F2EED"/>
    <w:rsid w:val="003F4FBF"/>
    <w:rsid w:val="003F5C31"/>
    <w:rsid w:val="003F6AEF"/>
    <w:rsid w:val="003F77E3"/>
    <w:rsid w:val="003F7A74"/>
    <w:rsid w:val="003F7DA0"/>
    <w:rsid w:val="004009AE"/>
    <w:rsid w:val="00403791"/>
    <w:rsid w:val="004108CC"/>
    <w:rsid w:val="00410CD2"/>
    <w:rsid w:val="00415072"/>
    <w:rsid w:val="00416F62"/>
    <w:rsid w:val="00417974"/>
    <w:rsid w:val="0042013C"/>
    <w:rsid w:val="004202DD"/>
    <w:rsid w:val="00423373"/>
    <w:rsid w:val="00426B3D"/>
    <w:rsid w:val="004275E8"/>
    <w:rsid w:val="0043262F"/>
    <w:rsid w:val="004326F8"/>
    <w:rsid w:val="00437580"/>
    <w:rsid w:val="00440AAC"/>
    <w:rsid w:val="00442124"/>
    <w:rsid w:val="00442228"/>
    <w:rsid w:val="004423D2"/>
    <w:rsid w:val="0044355B"/>
    <w:rsid w:val="00443A4B"/>
    <w:rsid w:val="00444BE9"/>
    <w:rsid w:val="00444F8C"/>
    <w:rsid w:val="0044520B"/>
    <w:rsid w:val="004471C9"/>
    <w:rsid w:val="00451201"/>
    <w:rsid w:val="0045198A"/>
    <w:rsid w:val="004521A5"/>
    <w:rsid w:val="00460C11"/>
    <w:rsid w:val="004620A1"/>
    <w:rsid w:val="004662A5"/>
    <w:rsid w:val="00467386"/>
    <w:rsid w:val="004673B8"/>
    <w:rsid w:val="00467EDB"/>
    <w:rsid w:val="004743EE"/>
    <w:rsid w:val="0048049A"/>
    <w:rsid w:val="004809EA"/>
    <w:rsid w:val="00480F4A"/>
    <w:rsid w:val="004824D3"/>
    <w:rsid w:val="004833EA"/>
    <w:rsid w:val="004842D6"/>
    <w:rsid w:val="004844F1"/>
    <w:rsid w:val="004845B5"/>
    <w:rsid w:val="00484CED"/>
    <w:rsid w:val="0049431B"/>
    <w:rsid w:val="004A151F"/>
    <w:rsid w:val="004A3142"/>
    <w:rsid w:val="004A75B8"/>
    <w:rsid w:val="004B3D7A"/>
    <w:rsid w:val="004B42EA"/>
    <w:rsid w:val="004B4E50"/>
    <w:rsid w:val="004B4F60"/>
    <w:rsid w:val="004B5AD0"/>
    <w:rsid w:val="004B766C"/>
    <w:rsid w:val="004C16B1"/>
    <w:rsid w:val="004C1A51"/>
    <w:rsid w:val="004C242A"/>
    <w:rsid w:val="004C4AF9"/>
    <w:rsid w:val="004C542D"/>
    <w:rsid w:val="004C6071"/>
    <w:rsid w:val="004C79DF"/>
    <w:rsid w:val="004D30FC"/>
    <w:rsid w:val="004D3F4D"/>
    <w:rsid w:val="004D4062"/>
    <w:rsid w:val="004D4E71"/>
    <w:rsid w:val="004D6883"/>
    <w:rsid w:val="004E1332"/>
    <w:rsid w:val="004E1D7B"/>
    <w:rsid w:val="004E4BFF"/>
    <w:rsid w:val="004E4DD9"/>
    <w:rsid w:val="004E5E19"/>
    <w:rsid w:val="004E7872"/>
    <w:rsid w:val="004E7946"/>
    <w:rsid w:val="004F3DCA"/>
    <w:rsid w:val="004F49C7"/>
    <w:rsid w:val="004F758E"/>
    <w:rsid w:val="004F7BEB"/>
    <w:rsid w:val="00500F7A"/>
    <w:rsid w:val="0050319B"/>
    <w:rsid w:val="005033BF"/>
    <w:rsid w:val="00503A9C"/>
    <w:rsid w:val="00504BB0"/>
    <w:rsid w:val="00504CDA"/>
    <w:rsid w:val="00505E0E"/>
    <w:rsid w:val="0050611F"/>
    <w:rsid w:val="00506B34"/>
    <w:rsid w:val="00507995"/>
    <w:rsid w:val="00507FE4"/>
    <w:rsid w:val="00511AFA"/>
    <w:rsid w:val="00512CD4"/>
    <w:rsid w:val="0051536D"/>
    <w:rsid w:val="005164C2"/>
    <w:rsid w:val="00516AF3"/>
    <w:rsid w:val="005170F1"/>
    <w:rsid w:val="0052112E"/>
    <w:rsid w:val="00523162"/>
    <w:rsid w:val="005315EE"/>
    <w:rsid w:val="00532C9D"/>
    <w:rsid w:val="00535453"/>
    <w:rsid w:val="005412BC"/>
    <w:rsid w:val="005427DE"/>
    <w:rsid w:val="0054292E"/>
    <w:rsid w:val="0054689B"/>
    <w:rsid w:val="00546951"/>
    <w:rsid w:val="00546DD7"/>
    <w:rsid w:val="005472AE"/>
    <w:rsid w:val="005502DB"/>
    <w:rsid w:val="005504CE"/>
    <w:rsid w:val="005508DB"/>
    <w:rsid w:val="00553CAD"/>
    <w:rsid w:val="00554058"/>
    <w:rsid w:val="00560649"/>
    <w:rsid w:val="005625C9"/>
    <w:rsid w:val="00563BA0"/>
    <w:rsid w:val="00563CB6"/>
    <w:rsid w:val="005640AC"/>
    <w:rsid w:val="0056740C"/>
    <w:rsid w:val="00570017"/>
    <w:rsid w:val="005704C8"/>
    <w:rsid w:val="00570BD2"/>
    <w:rsid w:val="005752FD"/>
    <w:rsid w:val="005768F1"/>
    <w:rsid w:val="00577684"/>
    <w:rsid w:val="00577D68"/>
    <w:rsid w:val="005802FF"/>
    <w:rsid w:val="00582152"/>
    <w:rsid w:val="00582365"/>
    <w:rsid w:val="0058279D"/>
    <w:rsid w:val="00582F85"/>
    <w:rsid w:val="005831A1"/>
    <w:rsid w:val="00590C86"/>
    <w:rsid w:val="00592DAB"/>
    <w:rsid w:val="00594FB4"/>
    <w:rsid w:val="0059565E"/>
    <w:rsid w:val="0059571B"/>
    <w:rsid w:val="00595EBB"/>
    <w:rsid w:val="0059660E"/>
    <w:rsid w:val="005A2AC2"/>
    <w:rsid w:val="005A2DEA"/>
    <w:rsid w:val="005A3258"/>
    <w:rsid w:val="005A524B"/>
    <w:rsid w:val="005A53BF"/>
    <w:rsid w:val="005A6678"/>
    <w:rsid w:val="005B286B"/>
    <w:rsid w:val="005B2C02"/>
    <w:rsid w:val="005B30FB"/>
    <w:rsid w:val="005B461F"/>
    <w:rsid w:val="005B4D7F"/>
    <w:rsid w:val="005B6EC6"/>
    <w:rsid w:val="005C00A9"/>
    <w:rsid w:val="005C7BB2"/>
    <w:rsid w:val="005C7D99"/>
    <w:rsid w:val="005D1DDA"/>
    <w:rsid w:val="005D35CA"/>
    <w:rsid w:val="005D4448"/>
    <w:rsid w:val="005D5B1C"/>
    <w:rsid w:val="005D5FB3"/>
    <w:rsid w:val="005D70AF"/>
    <w:rsid w:val="005D7110"/>
    <w:rsid w:val="005D7359"/>
    <w:rsid w:val="005E0989"/>
    <w:rsid w:val="005E2B96"/>
    <w:rsid w:val="005E42D2"/>
    <w:rsid w:val="005E6DEC"/>
    <w:rsid w:val="005F02B6"/>
    <w:rsid w:val="005F0E2F"/>
    <w:rsid w:val="005F15E7"/>
    <w:rsid w:val="005F1E0A"/>
    <w:rsid w:val="005F3128"/>
    <w:rsid w:val="005F4AE1"/>
    <w:rsid w:val="005F4B5F"/>
    <w:rsid w:val="005F586D"/>
    <w:rsid w:val="0060034D"/>
    <w:rsid w:val="00604FDF"/>
    <w:rsid w:val="0060534D"/>
    <w:rsid w:val="006067B9"/>
    <w:rsid w:val="00606D2B"/>
    <w:rsid w:val="00607310"/>
    <w:rsid w:val="00607E8B"/>
    <w:rsid w:val="006104CC"/>
    <w:rsid w:val="00610635"/>
    <w:rsid w:val="0062253D"/>
    <w:rsid w:val="006229EA"/>
    <w:rsid w:val="00622D94"/>
    <w:rsid w:val="00625FB9"/>
    <w:rsid w:val="00631BF4"/>
    <w:rsid w:val="006345F5"/>
    <w:rsid w:val="0063460C"/>
    <w:rsid w:val="006372F2"/>
    <w:rsid w:val="0063758D"/>
    <w:rsid w:val="00637ABE"/>
    <w:rsid w:val="00640C30"/>
    <w:rsid w:val="00641254"/>
    <w:rsid w:val="0064133E"/>
    <w:rsid w:val="006426E1"/>
    <w:rsid w:val="00643C0C"/>
    <w:rsid w:val="00644F3E"/>
    <w:rsid w:val="006452CF"/>
    <w:rsid w:val="006469E9"/>
    <w:rsid w:val="006473E9"/>
    <w:rsid w:val="00650E60"/>
    <w:rsid w:val="00650F05"/>
    <w:rsid w:val="006532FB"/>
    <w:rsid w:val="006555B7"/>
    <w:rsid w:val="00660372"/>
    <w:rsid w:val="00660DE4"/>
    <w:rsid w:val="00661152"/>
    <w:rsid w:val="00662205"/>
    <w:rsid w:val="00662FC5"/>
    <w:rsid w:val="00663078"/>
    <w:rsid w:val="006632F3"/>
    <w:rsid w:val="006634FF"/>
    <w:rsid w:val="006653E2"/>
    <w:rsid w:val="006656AA"/>
    <w:rsid w:val="00667957"/>
    <w:rsid w:val="00667C62"/>
    <w:rsid w:val="00670D42"/>
    <w:rsid w:val="00673C0F"/>
    <w:rsid w:val="00674529"/>
    <w:rsid w:val="0067671A"/>
    <w:rsid w:val="006770B0"/>
    <w:rsid w:val="00683FB6"/>
    <w:rsid w:val="00685F17"/>
    <w:rsid w:val="006938DB"/>
    <w:rsid w:val="00694AA3"/>
    <w:rsid w:val="00695A10"/>
    <w:rsid w:val="00695F3F"/>
    <w:rsid w:val="00696BC5"/>
    <w:rsid w:val="006A096A"/>
    <w:rsid w:val="006A1E72"/>
    <w:rsid w:val="006A359A"/>
    <w:rsid w:val="006A43B5"/>
    <w:rsid w:val="006A4DAA"/>
    <w:rsid w:val="006A657B"/>
    <w:rsid w:val="006B0CA8"/>
    <w:rsid w:val="006B43EF"/>
    <w:rsid w:val="006B5A5B"/>
    <w:rsid w:val="006B6C66"/>
    <w:rsid w:val="006B7359"/>
    <w:rsid w:val="006B74D0"/>
    <w:rsid w:val="006B7F4D"/>
    <w:rsid w:val="006C2EF9"/>
    <w:rsid w:val="006C3BF1"/>
    <w:rsid w:val="006C4052"/>
    <w:rsid w:val="006C610F"/>
    <w:rsid w:val="006C6955"/>
    <w:rsid w:val="006D24A0"/>
    <w:rsid w:val="006E09D6"/>
    <w:rsid w:val="006E124B"/>
    <w:rsid w:val="006E284E"/>
    <w:rsid w:val="006E3A6C"/>
    <w:rsid w:val="006E4D5B"/>
    <w:rsid w:val="006E525C"/>
    <w:rsid w:val="006E6CF7"/>
    <w:rsid w:val="006E6FF5"/>
    <w:rsid w:val="006E739C"/>
    <w:rsid w:val="006E7B1D"/>
    <w:rsid w:val="006F0D07"/>
    <w:rsid w:val="006F3996"/>
    <w:rsid w:val="006F46C7"/>
    <w:rsid w:val="006F4980"/>
    <w:rsid w:val="006F5FD1"/>
    <w:rsid w:val="006F68A7"/>
    <w:rsid w:val="006F7C1E"/>
    <w:rsid w:val="0070043B"/>
    <w:rsid w:val="007009F9"/>
    <w:rsid w:val="007076D1"/>
    <w:rsid w:val="00707C51"/>
    <w:rsid w:val="0071176C"/>
    <w:rsid w:val="007127E5"/>
    <w:rsid w:val="00712FD9"/>
    <w:rsid w:val="00714113"/>
    <w:rsid w:val="00714EAA"/>
    <w:rsid w:val="00714FFB"/>
    <w:rsid w:val="00715A92"/>
    <w:rsid w:val="007165CE"/>
    <w:rsid w:val="00720521"/>
    <w:rsid w:val="007210AD"/>
    <w:rsid w:val="007214E2"/>
    <w:rsid w:val="00723C38"/>
    <w:rsid w:val="00724118"/>
    <w:rsid w:val="0072424A"/>
    <w:rsid w:val="0072504E"/>
    <w:rsid w:val="00726DF8"/>
    <w:rsid w:val="007277A6"/>
    <w:rsid w:val="00731168"/>
    <w:rsid w:val="0073277E"/>
    <w:rsid w:val="00734053"/>
    <w:rsid w:val="00734F66"/>
    <w:rsid w:val="0073564E"/>
    <w:rsid w:val="00740B26"/>
    <w:rsid w:val="00742BF4"/>
    <w:rsid w:val="00744EB2"/>
    <w:rsid w:val="00745363"/>
    <w:rsid w:val="007453CA"/>
    <w:rsid w:val="007471DC"/>
    <w:rsid w:val="0076241C"/>
    <w:rsid w:val="00763396"/>
    <w:rsid w:val="00763C76"/>
    <w:rsid w:val="00764ADB"/>
    <w:rsid w:val="00780CE5"/>
    <w:rsid w:val="00781198"/>
    <w:rsid w:val="007828BD"/>
    <w:rsid w:val="007833B0"/>
    <w:rsid w:val="007837DC"/>
    <w:rsid w:val="007848AE"/>
    <w:rsid w:val="007871AB"/>
    <w:rsid w:val="00791540"/>
    <w:rsid w:val="0079333A"/>
    <w:rsid w:val="007941B8"/>
    <w:rsid w:val="00794604"/>
    <w:rsid w:val="00795475"/>
    <w:rsid w:val="00797307"/>
    <w:rsid w:val="00797792"/>
    <w:rsid w:val="00797795"/>
    <w:rsid w:val="007A0D65"/>
    <w:rsid w:val="007A185B"/>
    <w:rsid w:val="007A1990"/>
    <w:rsid w:val="007A1D6F"/>
    <w:rsid w:val="007A2C9E"/>
    <w:rsid w:val="007A59D7"/>
    <w:rsid w:val="007B2076"/>
    <w:rsid w:val="007B2306"/>
    <w:rsid w:val="007B5B00"/>
    <w:rsid w:val="007B5F51"/>
    <w:rsid w:val="007B714E"/>
    <w:rsid w:val="007C44B9"/>
    <w:rsid w:val="007C4C25"/>
    <w:rsid w:val="007C67F7"/>
    <w:rsid w:val="007C681F"/>
    <w:rsid w:val="007C6BF7"/>
    <w:rsid w:val="007D033D"/>
    <w:rsid w:val="007D0546"/>
    <w:rsid w:val="007D10E5"/>
    <w:rsid w:val="007D2994"/>
    <w:rsid w:val="007D60C2"/>
    <w:rsid w:val="007D683D"/>
    <w:rsid w:val="007D6DB2"/>
    <w:rsid w:val="007D74EF"/>
    <w:rsid w:val="007D78AD"/>
    <w:rsid w:val="007E04D8"/>
    <w:rsid w:val="007E3140"/>
    <w:rsid w:val="007E4027"/>
    <w:rsid w:val="007E457F"/>
    <w:rsid w:val="007E50CB"/>
    <w:rsid w:val="007E6EE1"/>
    <w:rsid w:val="007E7209"/>
    <w:rsid w:val="007E752C"/>
    <w:rsid w:val="007F114D"/>
    <w:rsid w:val="007F16EE"/>
    <w:rsid w:val="007F410D"/>
    <w:rsid w:val="007F5D7B"/>
    <w:rsid w:val="0080166B"/>
    <w:rsid w:val="00810CD6"/>
    <w:rsid w:val="00811E63"/>
    <w:rsid w:val="0081310B"/>
    <w:rsid w:val="0081318D"/>
    <w:rsid w:val="00816605"/>
    <w:rsid w:val="00817E5D"/>
    <w:rsid w:val="00820860"/>
    <w:rsid w:val="00821665"/>
    <w:rsid w:val="008236B8"/>
    <w:rsid w:val="008240B0"/>
    <w:rsid w:val="00824521"/>
    <w:rsid w:val="00826BCC"/>
    <w:rsid w:val="00827B2B"/>
    <w:rsid w:val="008301F9"/>
    <w:rsid w:val="008351FA"/>
    <w:rsid w:val="0083638F"/>
    <w:rsid w:val="008366CE"/>
    <w:rsid w:val="00836DA0"/>
    <w:rsid w:val="00841FA8"/>
    <w:rsid w:val="00842FA0"/>
    <w:rsid w:val="0085138F"/>
    <w:rsid w:val="0085212D"/>
    <w:rsid w:val="0085326A"/>
    <w:rsid w:val="00854B9C"/>
    <w:rsid w:val="00855300"/>
    <w:rsid w:val="00855CE4"/>
    <w:rsid w:val="00861B32"/>
    <w:rsid w:val="008620CC"/>
    <w:rsid w:val="00863D75"/>
    <w:rsid w:val="00863DEE"/>
    <w:rsid w:val="00865876"/>
    <w:rsid w:val="008665A5"/>
    <w:rsid w:val="00867E24"/>
    <w:rsid w:val="00870304"/>
    <w:rsid w:val="0087455F"/>
    <w:rsid w:val="00875D16"/>
    <w:rsid w:val="00877D53"/>
    <w:rsid w:val="00880D9A"/>
    <w:rsid w:val="008822E1"/>
    <w:rsid w:val="00884BDA"/>
    <w:rsid w:val="0088581B"/>
    <w:rsid w:val="00893A1B"/>
    <w:rsid w:val="00893CA3"/>
    <w:rsid w:val="008951AF"/>
    <w:rsid w:val="00895EB3"/>
    <w:rsid w:val="0089769F"/>
    <w:rsid w:val="00897A68"/>
    <w:rsid w:val="00897C00"/>
    <w:rsid w:val="008A1E91"/>
    <w:rsid w:val="008A3C57"/>
    <w:rsid w:val="008A48AA"/>
    <w:rsid w:val="008A660C"/>
    <w:rsid w:val="008A66BE"/>
    <w:rsid w:val="008A6958"/>
    <w:rsid w:val="008A6DE9"/>
    <w:rsid w:val="008A79BA"/>
    <w:rsid w:val="008B062D"/>
    <w:rsid w:val="008B0C7D"/>
    <w:rsid w:val="008B1BDD"/>
    <w:rsid w:val="008B4B6E"/>
    <w:rsid w:val="008B508E"/>
    <w:rsid w:val="008B5777"/>
    <w:rsid w:val="008B5793"/>
    <w:rsid w:val="008B5EC4"/>
    <w:rsid w:val="008B60B7"/>
    <w:rsid w:val="008B6EF8"/>
    <w:rsid w:val="008B708A"/>
    <w:rsid w:val="008B7C93"/>
    <w:rsid w:val="008C0CE8"/>
    <w:rsid w:val="008C1271"/>
    <w:rsid w:val="008C12CE"/>
    <w:rsid w:val="008C1795"/>
    <w:rsid w:val="008C3B28"/>
    <w:rsid w:val="008C4094"/>
    <w:rsid w:val="008C5EEE"/>
    <w:rsid w:val="008C60F7"/>
    <w:rsid w:val="008C7382"/>
    <w:rsid w:val="008C7598"/>
    <w:rsid w:val="008C76F0"/>
    <w:rsid w:val="008D0C70"/>
    <w:rsid w:val="008D1915"/>
    <w:rsid w:val="008D1A4D"/>
    <w:rsid w:val="008D240C"/>
    <w:rsid w:val="008D2E23"/>
    <w:rsid w:val="008D40A1"/>
    <w:rsid w:val="008D4B7E"/>
    <w:rsid w:val="008D647B"/>
    <w:rsid w:val="008D7916"/>
    <w:rsid w:val="008E1123"/>
    <w:rsid w:val="008E140E"/>
    <w:rsid w:val="008E14FF"/>
    <w:rsid w:val="008E1701"/>
    <w:rsid w:val="008E366B"/>
    <w:rsid w:val="008E65D7"/>
    <w:rsid w:val="008E683D"/>
    <w:rsid w:val="008F2CE8"/>
    <w:rsid w:val="008F2F24"/>
    <w:rsid w:val="008F30AF"/>
    <w:rsid w:val="008F30D4"/>
    <w:rsid w:val="008F32AE"/>
    <w:rsid w:val="0090068F"/>
    <w:rsid w:val="00900785"/>
    <w:rsid w:val="00901218"/>
    <w:rsid w:val="00903131"/>
    <w:rsid w:val="00903526"/>
    <w:rsid w:val="00903E77"/>
    <w:rsid w:val="0091117D"/>
    <w:rsid w:val="0091160C"/>
    <w:rsid w:val="00912724"/>
    <w:rsid w:val="0091327B"/>
    <w:rsid w:val="00917A9C"/>
    <w:rsid w:val="00920D83"/>
    <w:rsid w:val="00921BAE"/>
    <w:rsid w:val="009225D1"/>
    <w:rsid w:val="009234E2"/>
    <w:rsid w:val="009260E4"/>
    <w:rsid w:val="00930736"/>
    <w:rsid w:val="00930CAA"/>
    <w:rsid w:val="00932ACB"/>
    <w:rsid w:val="00936F64"/>
    <w:rsid w:val="0094193B"/>
    <w:rsid w:val="00943752"/>
    <w:rsid w:val="009462E7"/>
    <w:rsid w:val="00946482"/>
    <w:rsid w:val="009469E1"/>
    <w:rsid w:val="00952B8A"/>
    <w:rsid w:val="00953F25"/>
    <w:rsid w:val="00953F79"/>
    <w:rsid w:val="00955776"/>
    <w:rsid w:val="00955DC8"/>
    <w:rsid w:val="00957BFA"/>
    <w:rsid w:val="009601C6"/>
    <w:rsid w:val="00960206"/>
    <w:rsid w:val="009613AF"/>
    <w:rsid w:val="00965E85"/>
    <w:rsid w:val="00970650"/>
    <w:rsid w:val="00970F4A"/>
    <w:rsid w:val="00971E01"/>
    <w:rsid w:val="00972193"/>
    <w:rsid w:val="009725BA"/>
    <w:rsid w:val="00972955"/>
    <w:rsid w:val="009730ED"/>
    <w:rsid w:val="00976158"/>
    <w:rsid w:val="0098135A"/>
    <w:rsid w:val="009824BF"/>
    <w:rsid w:val="00982F67"/>
    <w:rsid w:val="009832DB"/>
    <w:rsid w:val="00985988"/>
    <w:rsid w:val="0098636B"/>
    <w:rsid w:val="009865A8"/>
    <w:rsid w:val="00990FE2"/>
    <w:rsid w:val="00992E0E"/>
    <w:rsid w:val="00994126"/>
    <w:rsid w:val="00995F53"/>
    <w:rsid w:val="009966F0"/>
    <w:rsid w:val="009A1AE8"/>
    <w:rsid w:val="009A3B52"/>
    <w:rsid w:val="009A595A"/>
    <w:rsid w:val="009A659A"/>
    <w:rsid w:val="009A7067"/>
    <w:rsid w:val="009B1F65"/>
    <w:rsid w:val="009B2433"/>
    <w:rsid w:val="009B3FC3"/>
    <w:rsid w:val="009B3FC5"/>
    <w:rsid w:val="009B5157"/>
    <w:rsid w:val="009B590B"/>
    <w:rsid w:val="009B5DA2"/>
    <w:rsid w:val="009B7783"/>
    <w:rsid w:val="009B7869"/>
    <w:rsid w:val="009C0988"/>
    <w:rsid w:val="009C288E"/>
    <w:rsid w:val="009C30BE"/>
    <w:rsid w:val="009C74B1"/>
    <w:rsid w:val="009D1542"/>
    <w:rsid w:val="009D3FB1"/>
    <w:rsid w:val="009D5E14"/>
    <w:rsid w:val="009D6F3E"/>
    <w:rsid w:val="009D7A14"/>
    <w:rsid w:val="009E1010"/>
    <w:rsid w:val="009E1A3D"/>
    <w:rsid w:val="009E2D50"/>
    <w:rsid w:val="009E45AF"/>
    <w:rsid w:val="009E47C4"/>
    <w:rsid w:val="009E5430"/>
    <w:rsid w:val="009E63EA"/>
    <w:rsid w:val="009E6533"/>
    <w:rsid w:val="009E71A3"/>
    <w:rsid w:val="009F008D"/>
    <w:rsid w:val="009F4006"/>
    <w:rsid w:val="009F46A9"/>
    <w:rsid w:val="00A056B3"/>
    <w:rsid w:val="00A07FDE"/>
    <w:rsid w:val="00A15673"/>
    <w:rsid w:val="00A15FAA"/>
    <w:rsid w:val="00A20BD3"/>
    <w:rsid w:val="00A21CF3"/>
    <w:rsid w:val="00A231C2"/>
    <w:rsid w:val="00A242AF"/>
    <w:rsid w:val="00A2497F"/>
    <w:rsid w:val="00A25D63"/>
    <w:rsid w:val="00A3086C"/>
    <w:rsid w:val="00A32D27"/>
    <w:rsid w:val="00A36761"/>
    <w:rsid w:val="00A370B3"/>
    <w:rsid w:val="00A37B2F"/>
    <w:rsid w:val="00A405DE"/>
    <w:rsid w:val="00A42430"/>
    <w:rsid w:val="00A43CCB"/>
    <w:rsid w:val="00A45050"/>
    <w:rsid w:val="00A4618C"/>
    <w:rsid w:val="00A475D2"/>
    <w:rsid w:val="00A4780A"/>
    <w:rsid w:val="00A47D13"/>
    <w:rsid w:val="00A47E5F"/>
    <w:rsid w:val="00A51AFE"/>
    <w:rsid w:val="00A51E89"/>
    <w:rsid w:val="00A521DC"/>
    <w:rsid w:val="00A5317A"/>
    <w:rsid w:val="00A53F6F"/>
    <w:rsid w:val="00A54B2E"/>
    <w:rsid w:val="00A55281"/>
    <w:rsid w:val="00A553DB"/>
    <w:rsid w:val="00A55748"/>
    <w:rsid w:val="00A57255"/>
    <w:rsid w:val="00A601FD"/>
    <w:rsid w:val="00A60327"/>
    <w:rsid w:val="00A63455"/>
    <w:rsid w:val="00A63EC8"/>
    <w:rsid w:val="00A64447"/>
    <w:rsid w:val="00A655C0"/>
    <w:rsid w:val="00A65DB1"/>
    <w:rsid w:val="00A67E29"/>
    <w:rsid w:val="00A71F3A"/>
    <w:rsid w:val="00A73AC1"/>
    <w:rsid w:val="00A75760"/>
    <w:rsid w:val="00A8027C"/>
    <w:rsid w:val="00A81D68"/>
    <w:rsid w:val="00A83730"/>
    <w:rsid w:val="00A83A0B"/>
    <w:rsid w:val="00A8414F"/>
    <w:rsid w:val="00A8570F"/>
    <w:rsid w:val="00A86D24"/>
    <w:rsid w:val="00A9095A"/>
    <w:rsid w:val="00A929DA"/>
    <w:rsid w:val="00A92BD1"/>
    <w:rsid w:val="00A94819"/>
    <w:rsid w:val="00A962E6"/>
    <w:rsid w:val="00A96C83"/>
    <w:rsid w:val="00A97137"/>
    <w:rsid w:val="00AA0688"/>
    <w:rsid w:val="00AA1E21"/>
    <w:rsid w:val="00AB11BE"/>
    <w:rsid w:val="00AB1B8A"/>
    <w:rsid w:val="00AB1FB0"/>
    <w:rsid w:val="00AB2CD1"/>
    <w:rsid w:val="00AB5373"/>
    <w:rsid w:val="00AB68AD"/>
    <w:rsid w:val="00AB715F"/>
    <w:rsid w:val="00AC053E"/>
    <w:rsid w:val="00AC15A9"/>
    <w:rsid w:val="00AD10F1"/>
    <w:rsid w:val="00AD16BF"/>
    <w:rsid w:val="00AD2AF4"/>
    <w:rsid w:val="00AD3C07"/>
    <w:rsid w:val="00AD3CB0"/>
    <w:rsid w:val="00AE1850"/>
    <w:rsid w:val="00AE215F"/>
    <w:rsid w:val="00AF3B0F"/>
    <w:rsid w:val="00AF41B7"/>
    <w:rsid w:val="00AF47F6"/>
    <w:rsid w:val="00AF63F6"/>
    <w:rsid w:val="00AF6556"/>
    <w:rsid w:val="00AF68D4"/>
    <w:rsid w:val="00AF737A"/>
    <w:rsid w:val="00B0040C"/>
    <w:rsid w:val="00B00FD8"/>
    <w:rsid w:val="00B01BB6"/>
    <w:rsid w:val="00B032E2"/>
    <w:rsid w:val="00B0406C"/>
    <w:rsid w:val="00B06ABC"/>
    <w:rsid w:val="00B075C1"/>
    <w:rsid w:val="00B114C0"/>
    <w:rsid w:val="00B1160F"/>
    <w:rsid w:val="00B131E2"/>
    <w:rsid w:val="00B136C4"/>
    <w:rsid w:val="00B13FDA"/>
    <w:rsid w:val="00B15E88"/>
    <w:rsid w:val="00B17FA0"/>
    <w:rsid w:val="00B2076E"/>
    <w:rsid w:val="00B216D8"/>
    <w:rsid w:val="00B24391"/>
    <w:rsid w:val="00B26ACB"/>
    <w:rsid w:val="00B272F6"/>
    <w:rsid w:val="00B30936"/>
    <w:rsid w:val="00B32422"/>
    <w:rsid w:val="00B326E0"/>
    <w:rsid w:val="00B33AEF"/>
    <w:rsid w:val="00B404BC"/>
    <w:rsid w:val="00B41646"/>
    <w:rsid w:val="00B43848"/>
    <w:rsid w:val="00B441FB"/>
    <w:rsid w:val="00B44248"/>
    <w:rsid w:val="00B46529"/>
    <w:rsid w:val="00B47579"/>
    <w:rsid w:val="00B511F2"/>
    <w:rsid w:val="00B534F4"/>
    <w:rsid w:val="00B54B12"/>
    <w:rsid w:val="00B54D7B"/>
    <w:rsid w:val="00B55A98"/>
    <w:rsid w:val="00B569C5"/>
    <w:rsid w:val="00B56AE7"/>
    <w:rsid w:val="00B57D13"/>
    <w:rsid w:val="00B57F06"/>
    <w:rsid w:val="00B60B9C"/>
    <w:rsid w:val="00B619B6"/>
    <w:rsid w:val="00B62414"/>
    <w:rsid w:val="00B628A0"/>
    <w:rsid w:val="00B646C4"/>
    <w:rsid w:val="00B67C41"/>
    <w:rsid w:val="00B7045D"/>
    <w:rsid w:val="00B81224"/>
    <w:rsid w:val="00B819CB"/>
    <w:rsid w:val="00B8571D"/>
    <w:rsid w:val="00B90502"/>
    <w:rsid w:val="00B9102F"/>
    <w:rsid w:val="00B93381"/>
    <w:rsid w:val="00B9530A"/>
    <w:rsid w:val="00BA05C1"/>
    <w:rsid w:val="00BA1026"/>
    <w:rsid w:val="00BA111C"/>
    <w:rsid w:val="00BA5131"/>
    <w:rsid w:val="00BA5A7D"/>
    <w:rsid w:val="00BA732A"/>
    <w:rsid w:val="00BA7443"/>
    <w:rsid w:val="00BA7B84"/>
    <w:rsid w:val="00BB2992"/>
    <w:rsid w:val="00BB2A7E"/>
    <w:rsid w:val="00BB2C44"/>
    <w:rsid w:val="00BB3CCE"/>
    <w:rsid w:val="00BB491B"/>
    <w:rsid w:val="00BB6F5C"/>
    <w:rsid w:val="00BC1C59"/>
    <w:rsid w:val="00BC332D"/>
    <w:rsid w:val="00BC5D7A"/>
    <w:rsid w:val="00BC7406"/>
    <w:rsid w:val="00BD2D5F"/>
    <w:rsid w:val="00BD2FC3"/>
    <w:rsid w:val="00BD3341"/>
    <w:rsid w:val="00BD358E"/>
    <w:rsid w:val="00BD35CA"/>
    <w:rsid w:val="00BD47BC"/>
    <w:rsid w:val="00BD4B26"/>
    <w:rsid w:val="00BD51EA"/>
    <w:rsid w:val="00BD610B"/>
    <w:rsid w:val="00BD6509"/>
    <w:rsid w:val="00BE0052"/>
    <w:rsid w:val="00BE123C"/>
    <w:rsid w:val="00BE19D2"/>
    <w:rsid w:val="00BE2F45"/>
    <w:rsid w:val="00BE3F42"/>
    <w:rsid w:val="00BE49DE"/>
    <w:rsid w:val="00BE5101"/>
    <w:rsid w:val="00BE66EB"/>
    <w:rsid w:val="00BE706C"/>
    <w:rsid w:val="00BF1938"/>
    <w:rsid w:val="00BF34C7"/>
    <w:rsid w:val="00BF52D2"/>
    <w:rsid w:val="00BF5A73"/>
    <w:rsid w:val="00BF639A"/>
    <w:rsid w:val="00BF6E88"/>
    <w:rsid w:val="00C011BD"/>
    <w:rsid w:val="00C01762"/>
    <w:rsid w:val="00C0336D"/>
    <w:rsid w:val="00C03F21"/>
    <w:rsid w:val="00C0676B"/>
    <w:rsid w:val="00C06AC8"/>
    <w:rsid w:val="00C11540"/>
    <w:rsid w:val="00C1637D"/>
    <w:rsid w:val="00C17E4C"/>
    <w:rsid w:val="00C26736"/>
    <w:rsid w:val="00C26833"/>
    <w:rsid w:val="00C26905"/>
    <w:rsid w:val="00C26E2F"/>
    <w:rsid w:val="00C27BBF"/>
    <w:rsid w:val="00C308E5"/>
    <w:rsid w:val="00C313A4"/>
    <w:rsid w:val="00C325ED"/>
    <w:rsid w:val="00C32C54"/>
    <w:rsid w:val="00C3382A"/>
    <w:rsid w:val="00C346E5"/>
    <w:rsid w:val="00C366A1"/>
    <w:rsid w:val="00C36722"/>
    <w:rsid w:val="00C3691A"/>
    <w:rsid w:val="00C3729E"/>
    <w:rsid w:val="00C372B2"/>
    <w:rsid w:val="00C37C0C"/>
    <w:rsid w:val="00C42734"/>
    <w:rsid w:val="00C43DE9"/>
    <w:rsid w:val="00C44FE6"/>
    <w:rsid w:val="00C458E8"/>
    <w:rsid w:val="00C470D4"/>
    <w:rsid w:val="00C51646"/>
    <w:rsid w:val="00C52325"/>
    <w:rsid w:val="00C5336A"/>
    <w:rsid w:val="00C53E66"/>
    <w:rsid w:val="00C54280"/>
    <w:rsid w:val="00C55615"/>
    <w:rsid w:val="00C5633B"/>
    <w:rsid w:val="00C5710E"/>
    <w:rsid w:val="00C61AFB"/>
    <w:rsid w:val="00C6225F"/>
    <w:rsid w:val="00C62B9E"/>
    <w:rsid w:val="00C63038"/>
    <w:rsid w:val="00C63FD1"/>
    <w:rsid w:val="00C66186"/>
    <w:rsid w:val="00C66C9D"/>
    <w:rsid w:val="00C66CCC"/>
    <w:rsid w:val="00C67414"/>
    <w:rsid w:val="00C725D9"/>
    <w:rsid w:val="00C7280B"/>
    <w:rsid w:val="00C76BC9"/>
    <w:rsid w:val="00C814B8"/>
    <w:rsid w:val="00C81ABE"/>
    <w:rsid w:val="00C8316B"/>
    <w:rsid w:val="00C84DC0"/>
    <w:rsid w:val="00C86A06"/>
    <w:rsid w:val="00C930E7"/>
    <w:rsid w:val="00C94DAE"/>
    <w:rsid w:val="00C9657A"/>
    <w:rsid w:val="00C9788E"/>
    <w:rsid w:val="00C97E78"/>
    <w:rsid w:val="00CA06FF"/>
    <w:rsid w:val="00CA113A"/>
    <w:rsid w:val="00CA1628"/>
    <w:rsid w:val="00CA1F18"/>
    <w:rsid w:val="00CA4062"/>
    <w:rsid w:val="00CB0C16"/>
    <w:rsid w:val="00CB1725"/>
    <w:rsid w:val="00CB1A24"/>
    <w:rsid w:val="00CB1D86"/>
    <w:rsid w:val="00CB720E"/>
    <w:rsid w:val="00CB74D6"/>
    <w:rsid w:val="00CC0A30"/>
    <w:rsid w:val="00CC0EB0"/>
    <w:rsid w:val="00CC1C38"/>
    <w:rsid w:val="00CC5C62"/>
    <w:rsid w:val="00CC68A3"/>
    <w:rsid w:val="00CC6976"/>
    <w:rsid w:val="00CD0AF2"/>
    <w:rsid w:val="00CD5290"/>
    <w:rsid w:val="00CD696A"/>
    <w:rsid w:val="00CD7EC5"/>
    <w:rsid w:val="00CE0069"/>
    <w:rsid w:val="00CE0FBC"/>
    <w:rsid w:val="00CE2283"/>
    <w:rsid w:val="00CE44CA"/>
    <w:rsid w:val="00CE6820"/>
    <w:rsid w:val="00CF0191"/>
    <w:rsid w:val="00CF256C"/>
    <w:rsid w:val="00CF26D3"/>
    <w:rsid w:val="00CF44EF"/>
    <w:rsid w:val="00CF4BD8"/>
    <w:rsid w:val="00D00A7E"/>
    <w:rsid w:val="00D10730"/>
    <w:rsid w:val="00D10918"/>
    <w:rsid w:val="00D10F7B"/>
    <w:rsid w:val="00D120AD"/>
    <w:rsid w:val="00D121ED"/>
    <w:rsid w:val="00D13E64"/>
    <w:rsid w:val="00D15071"/>
    <w:rsid w:val="00D157C9"/>
    <w:rsid w:val="00D205C6"/>
    <w:rsid w:val="00D2076D"/>
    <w:rsid w:val="00D20953"/>
    <w:rsid w:val="00D21BCD"/>
    <w:rsid w:val="00D232BC"/>
    <w:rsid w:val="00D23F88"/>
    <w:rsid w:val="00D266A4"/>
    <w:rsid w:val="00D30A88"/>
    <w:rsid w:val="00D30EB2"/>
    <w:rsid w:val="00D332B1"/>
    <w:rsid w:val="00D346C1"/>
    <w:rsid w:val="00D34982"/>
    <w:rsid w:val="00D34D24"/>
    <w:rsid w:val="00D4087F"/>
    <w:rsid w:val="00D410C4"/>
    <w:rsid w:val="00D419CE"/>
    <w:rsid w:val="00D41A00"/>
    <w:rsid w:val="00D43563"/>
    <w:rsid w:val="00D43FCD"/>
    <w:rsid w:val="00D46F3E"/>
    <w:rsid w:val="00D4700C"/>
    <w:rsid w:val="00D50E4B"/>
    <w:rsid w:val="00D5213A"/>
    <w:rsid w:val="00D52AA8"/>
    <w:rsid w:val="00D52D7F"/>
    <w:rsid w:val="00D54129"/>
    <w:rsid w:val="00D55543"/>
    <w:rsid w:val="00D56835"/>
    <w:rsid w:val="00D57FDA"/>
    <w:rsid w:val="00D60622"/>
    <w:rsid w:val="00D60B3F"/>
    <w:rsid w:val="00D60CF7"/>
    <w:rsid w:val="00D624AA"/>
    <w:rsid w:val="00D64202"/>
    <w:rsid w:val="00D64FAB"/>
    <w:rsid w:val="00D66F60"/>
    <w:rsid w:val="00D71327"/>
    <w:rsid w:val="00D71B40"/>
    <w:rsid w:val="00D731B2"/>
    <w:rsid w:val="00D73493"/>
    <w:rsid w:val="00D75A42"/>
    <w:rsid w:val="00D77966"/>
    <w:rsid w:val="00D83226"/>
    <w:rsid w:val="00D846E7"/>
    <w:rsid w:val="00D848F1"/>
    <w:rsid w:val="00D851B7"/>
    <w:rsid w:val="00D8563D"/>
    <w:rsid w:val="00D920DD"/>
    <w:rsid w:val="00D92CAB"/>
    <w:rsid w:val="00D93923"/>
    <w:rsid w:val="00D93E16"/>
    <w:rsid w:val="00D978F8"/>
    <w:rsid w:val="00D97D1E"/>
    <w:rsid w:val="00DA22E0"/>
    <w:rsid w:val="00DA3D55"/>
    <w:rsid w:val="00DB0034"/>
    <w:rsid w:val="00DB00C4"/>
    <w:rsid w:val="00DB0D22"/>
    <w:rsid w:val="00DB226F"/>
    <w:rsid w:val="00DB336D"/>
    <w:rsid w:val="00DB443E"/>
    <w:rsid w:val="00DB571B"/>
    <w:rsid w:val="00DB6260"/>
    <w:rsid w:val="00DB7336"/>
    <w:rsid w:val="00DC0C1F"/>
    <w:rsid w:val="00DC139E"/>
    <w:rsid w:val="00DC208F"/>
    <w:rsid w:val="00DC65C1"/>
    <w:rsid w:val="00DD0940"/>
    <w:rsid w:val="00DD1339"/>
    <w:rsid w:val="00DD19C2"/>
    <w:rsid w:val="00DD35C2"/>
    <w:rsid w:val="00DD42E9"/>
    <w:rsid w:val="00DD52F8"/>
    <w:rsid w:val="00DD573E"/>
    <w:rsid w:val="00DD6B60"/>
    <w:rsid w:val="00DD7DBE"/>
    <w:rsid w:val="00DE3CA2"/>
    <w:rsid w:val="00DE3FE9"/>
    <w:rsid w:val="00DE4494"/>
    <w:rsid w:val="00DE6D95"/>
    <w:rsid w:val="00DF0918"/>
    <w:rsid w:val="00DF3644"/>
    <w:rsid w:val="00DF4E10"/>
    <w:rsid w:val="00DF54C0"/>
    <w:rsid w:val="00DF6080"/>
    <w:rsid w:val="00DF6EDC"/>
    <w:rsid w:val="00E00755"/>
    <w:rsid w:val="00E00A32"/>
    <w:rsid w:val="00E0130B"/>
    <w:rsid w:val="00E0141E"/>
    <w:rsid w:val="00E0460C"/>
    <w:rsid w:val="00E07AE8"/>
    <w:rsid w:val="00E102FD"/>
    <w:rsid w:val="00E13872"/>
    <w:rsid w:val="00E17056"/>
    <w:rsid w:val="00E20BFF"/>
    <w:rsid w:val="00E21305"/>
    <w:rsid w:val="00E2147A"/>
    <w:rsid w:val="00E24B24"/>
    <w:rsid w:val="00E27BE0"/>
    <w:rsid w:val="00E27C2C"/>
    <w:rsid w:val="00E35109"/>
    <w:rsid w:val="00E36858"/>
    <w:rsid w:val="00E4221A"/>
    <w:rsid w:val="00E42EA3"/>
    <w:rsid w:val="00E43D21"/>
    <w:rsid w:val="00E45762"/>
    <w:rsid w:val="00E46D45"/>
    <w:rsid w:val="00E51082"/>
    <w:rsid w:val="00E55A9D"/>
    <w:rsid w:val="00E627E9"/>
    <w:rsid w:val="00E62E47"/>
    <w:rsid w:val="00E642A8"/>
    <w:rsid w:val="00E67CD4"/>
    <w:rsid w:val="00E71663"/>
    <w:rsid w:val="00E75453"/>
    <w:rsid w:val="00E806EC"/>
    <w:rsid w:val="00E8165A"/>
    <w:rsid w:val="00E8274D"/>
    <w:rsid w:val="00E82AD8"/>
    <w:rsid w:val="00E843D3"/>
    <w:rsid w:val="00E8463E"/>
    <w:rsid w:val="00E85C10"/>
    <w:rsid w:val="00E85D3D"/>
    <w:rsid w:val="00E86F21"/>
    <w:rsid w:val="00E873F3"/>
    <w:rsid w:val="00E91231"/>
    <w:rsid w:val="00E94342"/>
    <w:rsid w:val="00E94522"/>
    <w:rsid w:val="00E95368"/>
    <w:rsid w:val="00E96F35"/>
    <w:rsid w:val="00E97E01"/>
    <w:rsid w:val="00EA175F"/>
    <w:rsid w:val="00EA1D28"/>
    <w:rsid w:val="00EA23D6"/>
    <w:rsid w:val="00EA29A7"/>
    <w:rsid w:val="00EA3D04"/>
    <w:rsid w:val="00EB1EFE"/>
    <w:rsid w:val="00EB281D"/>
    <w:rsid w:val="00EB4905"/>
    <w:rsid w:val="00EB4C8D"/>
    <w:rsid w:val="00EB7698"/>
    <w:rsid w:val="00EC2F8A"/>
    <w:rsid w:val="00EC321B"/>
    <w:rsid w:val="00EC34BF"/>
    <w:rsid w:val="00EC67DE"/>
    <w:rsid w:val="00EC70AF"/>
    <w:rsid w:val="00EC787E"/>
    <w:rsid w:val="00ED258A"/>
    <w:rsid w:val="00ED4B2C"/>
    <w:rsid w:val="00ED534A"/>
    <w:rsid w:val="00ED5D43"/>
    <w:rsid w:val="00ED621B"/>
    <w:rsid w:val="00ED673C"/>
    <w:rsid w:val="00ED6A43"/>
    <w:rsid w:val="00ED7B83"/>
    <w:rsid w:val="00EE0A4B"/>
    <w:rsid w:val="00EE0CB8"/>
    <w:rsid w:val="00EE2DDE"/>
    <w:rsid w:val="00EE66BC"/>
    <w:rsid w:val="00EF1D79"/>
    <w:rsid w:val="00EF466C"/>
    <w:rsid w:val="00EF4E64"/>
    <w:rsid w:val="00EF5606"/>
    <w:rsid w:val="00EF6819"/>
    <w:rsid w:val="00EF73A3"/>
    <w:rsid w:val="00EF7579"/>
    <w:rsid w:val="00F000DF"/>
    <w:rsid w:val="00F01219"/>
    <w:rsid w:val="00F01BC7"/>
    <w:rsid w:val="00F029A6"/>
    <w:rsid w:val="00F04703"/>
    <w:rsid w:val="00F05B8A"/>
    <w:rsid w:val="00F10A04"/>
    <w:rsid w:val="00F11931"/>
    <w:rsid w:val="00F11A90"/>
    <w:rsid w:val="00F1216F"/>
    <w:rsid w:val="00F122C1"/>
    <w:rsid w:val="00F1349C"/>
    <w:rsid w:val="00F1385B"/>
    <w:rsid w:val="00F14569"/>
    <w:rsid w:val="00F1485A"/>
    <w:rsid w:val="00F16C2C"/>
    <w:rsid w:val="00F21FAB"/>
    <w:rsid w:val="00F23498"/>
    <w:rsid w:val="00F23C20"/>
    <w:rsid w:val="00F264E2"/>
    <w:rsid w:val="00F2685C"/>
    <w:rsid w:val="00F30623"/>
    <w:rsid w:val="00F31973"/>
    <w:rsid w:val="00F33DE5"/>
    <w:rsid w:val="00F364AD"/>
    <w:rsid w:val="00F42A0D"/>
    <w:rsid w:val="00F42BBB"/>
    <w:rsid w:val="00F42F7C"/>
    <w:rsid w:val="00F44599"/>
    <w:rsid w:val="00F44D7A"/>
    <w:rsid w:val="00F46917"/>
    <w:rsid w:val="00F46D53"/>
    <w:rsid w:val="00F47655"/>
    <w:rsid w:val="00F5049E"/>
    <w:rsid w:val="00F51895"/>
    <w:rsid w:val="00F529EE"/>
    <w:rsid w:val="00F54286"/>
    <w:rsid w:val="00F54502"/>
    <w:rsid w:val="00F555BA"/>
    <w:rsid w:val="00F5576C"/>
    <w:rsid w:val="00F56990"/>
    <w:rsid w:val="00F576F0"/>
    <w:rsid w:val="00F60277"/>
    <w:rsid w:val="00F60B53"/>
    <w:rsid w:val="00F615A2"/>
    <w:rsid w:val="00F63F34"/>
    <w:rsid w:val="00F65AEE"/>
    <w:rsid w:val="00F66D1F"/>
    <w:rsid w:val="00F67708"/>
    <w:rsid w:val="00F70548"/>
    <w:rsid w:val="00F7092B"/>
    <w:rsid w:val="00F73096"/>
    <w:rsid w:val="00F73FFA"/>
    <w:rsid w:val="00F74445"/>
    <w:rsid w:val="00F75677"/>
    <w:rsid w:val="00F7627B"/>
    <w:rsid w:val="00F82AB8"/>
    <w:rsid w:val="00F84A33"/>
    <w:rsid w:val="00F85ABE"/>
    <w:rsid w:val="00F914E6"/>
    <w:rsid w:val="00F942FC"/>
    <w:rsid w:val="00F96DF8"/>
    <w:rsid w:val="00FA0E3E"/>
    <w:rsid w:val="00FA1739"/>
    <w:rsid w:val="00FA1DDC"/>
    <w:rsid w:val="00FA6E0D"/>
    <w:rsid w:val="00FA794C"/>
    <w:rsid w:val="00FB099D"/>
    <w:rsid w:val="00FB0D1F"/>
    <w:rsid w:val="00FB1401"/>
    <w:rsid w:val="00FB185B"/>
    <w:rsid w:val="00FB2C93"/>
    <w:rsid w:val="00FB351E"/>
    <w:rsid w:val="00FB41C0"/>
    <w:rsid w:val="00FB72B3"/>
    <w:rsid w:val="00FC116E"/>
    <w:rsid w:val="00FC11B9"/>
    <w:rsid w:val="00FC1B23"/>
    <w:rsid w:val="00FC2A2D"/>
    <w:rsid w:val="00FC62A4"/>
    <w:rsid w:val="00FC64D7"/>
    <w:rsid w:val="00FC6B5F"/>
    <w:rsid w:val="00FC6D2B"/>
    <w:rsid w:val="00FD2AAF"/>
    <w:rsid w:val="00FD40BE"/>
    <w:rsid w:val="00FD4C65"/>
    <w:rsid w:val="00FE0266"/>
    <w:rsid w:val="00FE04E3"/>
    <w:rsid w:val="00FE410B"/>
    <w:rsid w:val="00FE4355"/>
    <w:rsid w:val="00FE58E2"/>
    <w:rsid w:val="00FE68E2"/>
    <w:rsid w:val="00FF246F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01F4"/>
  <w15:chartTrackingRefBased/>
  <w15:docId w15:val="{40494C00-AD01-BA40-B40C-8360FDBD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81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3040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5D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22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F22FA"/>
  </w:style>
  <w:style w:type="character" w:styleId="PageNumber">
    <w:name w:val="page number"/>
    <w:basedOn w:val="DefaultParagraphFont"/>
    <w:uiPriority w:val="99"/>
    <w:semiHidden/>
    <w:unhideWhenUsed/>
    <w:rsid w:val="001F22FA"/>
  </w:style>
  <w:style w:type="character" w:styleId="LineNumber">
    <w:name w:val="line number"/>
    <w:basedOn w:val="DefaultParagraphFont"/>
    <w:uiPriority w:val="99"/>
    <w:semiHidden/>
    <w:unhideWhenUsed/>
    <w:rsid w:val="001F22FA"/>
  </w:style>
  <w:style w:type="character" w:styleId="Hyperlink">
    <w:name w:val="Hyperlink"/>
    <w:basedOn w:val="DefaultParagraphFont"/>
    <w:uiPriority w:val="99"/>
    <w:unhideWhenUsed/>
    <w:rsid w:val="00DD52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52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7FC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D55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543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5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5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543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43"/>
    <w:rPr>
      <w:rFonts w:ascii="Times New Roman" w:hAnsi="Times New Roman" w:cs="Times New Roman"/>
      <w:sz w:val="18"/>
      <w:szCs w:val="18"/>
    </w:rPr>
  </w:style>
  <w:style w:type="character" w:customStyle="1" w:styleId="author">
    <w:name w:val="author"/>
    <w:basedOn w:val="DefaultParagraphFont"/>
    <w:rsid w:val="00D55543"/>
  </w:style>
  <w:style w:type="character" w:customStyle="1" w:styleId="pubyear">
    <w:name w:val="pubyear"/>
    <w:basedOn w:val="DefaultParagraphFont"/>
    <w:rsid w:val="00D55543"/>
  </w:style>
  <w:style w:type="character" w:customStyle="1" w:styleId="othertitle">
    <w:name w:val="othertitle"/>
    <w:basedOn w:val="DefaultParagraphFont"/>
    <w:rsid w:val="00D55543"/>
  </w:style>
  <w:style w:type="paragraph" w:styleId="Header">
    <w:name w:val="header"/>
    <w:basedOn w:val="Normal"/>
    <w:link w:val="HeaderChar"/>
    <w:uiPriority w:val="99"/>
    <w:unhideWhenUsed/>
    <w:rsid w:val="008C17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C1795"/>
  </w:style>
  <w:style w:type="paragraph" w:customStyle="1" w:styleId="EndNoteBibliographyTitle">
    <w:name w:val="EndNote Bibliography Title"/>
    <w:basedOn w:val="Normal"/>
    <w:link w:val="EndNoteBibliographyTitleChar"/>
    <w:rsid w:val="00B24391"/>
    <w:pPr>
      <w:jc w:val="center"/>
    </w:pPr>
    <w:rPr>
      <w:rFonts w:ascii="Calibri" w:eastAsiaTheme="minorHAns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2439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24391"/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24391"/>
    <w:rPr>
      <w:rFonts w:ascii="Calibri" w:hAnsi="Calibri" w:cs="Calibri"/>
      <w:noProof/>
    </w:rPr>
  </w:style>
  <w:style w:type="paragraph" w:styleId="Revision">
    <w:name w:val="Revision"/>
    <w:hidden/>
    <w:uiPriority w:val="99"/>
    <w:semiHidden/>
    <w:rsid w:val="003D4398"/>
  </w:style>
  <w:style w:type="table" w:styleId="TableGrid">
    <w:name w:val="Table Grid"/>
    <w:basedOn w:val="TableNormal"/>
    <w:uiPriority w:val="39"/>
    <w:rsid w:val="00EB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A657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685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40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fld-contribauthor">
    <w:name w:val="hlfld-contribauthor"/>
    <w:basedOn w:val="DefaultParagraphFont"/>
    <w:rsid w:val="0030404D"/>
  </w:style>
  <w:style w:type="character" w:customStyle="1" w:styleId="prooftitle">
    <w:name w:val="proof_title"/>
    <w:basedOn w:val="DefaultParagraphFont"/>
    <w:rsid w:val="00BE66EB"/>
  </w:style>
  <w:style w:type="character" w:customStyle="1" w:styleId="title-text">
    <w:name w:val="title-text"/>
    <w:basedOn w:val="DefaultParagraphFont"/>
    <w:rsid w:val="00387E8D"/>
  </w:style>
  <w:style w:type="character" w:customStyle="1" w:styleId="name">
    <w:name w:val="name"/>
    <w:basedOn w:val="DefaultParagraphFont"/>
    <w:rsid w:val="009B5157"/>
  </w:style>
  <w:style w:type="character" w:customStyle="1" w:styleId="sup">
    <w:name w:val="sup"/>
    <w:basedOn w:val="DefaultParagraphFont"/>
    <w:rsid w:val="009B5157"/>
  </w:style>
  <w:style w:type="character" w:customStyle="1" w:styleId="nlmarticle-title">
    <w:name w:val="nlm_article-title"/>
    <w:basedOn w:val="DefaultParagraphFont"/>
    <w:rsid w:val="004B42EA"/>
  </w:style>
  <w:style w:type="paragraph" w:customStyle="1" w:styleId="Pa4">
    <w:name w:val="Pa4"/>
    <w:basedOn w:val="Normal"/>
    <w:next w:val="Normal"/>
    <w:uiPriority w:val="99"/>
    <w:rsid w:val="00C313A4"/>
    <w:pPr>
      <w:autoSpaceDE w:val="0"/>
      <w:autoSpaceDN w:val="0"/>
      <w:adjustRightInd w:val="0"/>
      <w:spacing w:line="240" w:lineRule="atLeast"/>
    </w:pPr>
    <w:rPr>
      <w:rFonts w:ascii="Ubuntu" w:eastAsiaTheme="minorHAnsi" w:hAnsi="Ubuntu" w:cstheme="minorBidi"/>
    </w:rPr>
  </w:style>
  <w:style w:type="paragraph" w:customStyle="1" w:styleId="Default">
    <w:name w:val="Default"/>
    <w:rsid w:val="00A67E29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</w:rPr>
  </w:style>
  <w:style w:type="character" w:customStyle="1" w:styleId="A2">
    <w:name w:val="A2"/>
    <w:uiPriority w:val="99"/>
    <w:rsid w:val="00A67E29"/>
    <w:rPr>
      <w:rFonts w:cs="Avenir LT Std 35 Light"/>
      <w:color w:val="211D1E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A67E29"/>
    <w:pPr>
      <w:spacing w:line="240" w:lineRule="atLeast"/>
    </w:pPr>
    <w:rPr>
      <w:rFonts w:cstheme="minorBidi"/>
      <w:color w:val="auto"/>
    </w:rPr>
  </w:style>
  <w:style w:type="character" w:styleId="PlaceholderText">
    <w:name w:val="Placeholder Text"/>
    <w:basedOn w:val="DefaultParagraphFont"/>
    <w:uiPriority w:val="99"/>
    <w:semiHidden/>
    <w:rsid w:val="005508DB"/>
    <w:rPr>
      <w:color w:val="80808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A173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C1A51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15E88"/>
    <w:rPr>
      <w:color w:val="605E5C"/>
      <w:shd w:val="clear" w:color="auto" w:fill="E1DFDD"/>
    </w:rPr>
  </w:style>
  <w:style w:type="character" w:customStyle="1" w:styleId="orcid-id-https">
    <w:name w:val="orcid-id-https"/>
    <w:basedOn w:val="DefaultParagraphFont"/>
    <w:rsid w:val="00B15E88"/>
  </w:style>
  <w:style w:type="character" w:customStyle="1" w:styleId="Heading2Char">
    <w:name w:val="Heading 2 Char"/>
    <w:basedOn w:val="DefaultParagraphFont"/>
    <w:link w:val="Heading2"/>
    <w:uiPriority w:val="9"/>
    <w:semiHidden/>
    <w:rsid w:val="00BC5D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C5D7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C5D7A"/>
    <w:rPr>
      <w:b/>
      <w:bCs/>
    </w:rPr>
  </w:style>
  <w:style w:type="character" w:styleId="Emphasis">
    <w:name w:val="Emphasis"/>
    <w:basedOn w:val="DefaultParagraphFont"/>
    <w:uiPriority w:val="20"/>
    <w:qFormat/>
    <w:rsid w:val="00BC5D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03C471DB0814E868D7779E053F89B" ma:contentTypeVersion="9" ma:contentTypeDescription="Create a new document." ma:contentTypeScope="" ma:versionID="ad68e215c500aeeed946e4224b467010">
  <xsd:schema xmlns:xsd="http://www.w3.org/2001/XMLSchema" xmlns:xs="http://www.w3.org/2001/XMLSchema" xmlns:p="http://schemas.microsoft.com/office/2006/metadata/properties" xmlns:ns2="c437a57b-3ec2-4971-8fcd-2950c0eec1bf" targetNamespace="http://schemas.microsoft.com/office/2006/metadata/properties" ma:root="true" ma:fieldsID="9d231ca5c383d344fe461814e1bcd7a7" ns2:_="">
    <xsd:import namespace="c437a57b-3ec2-4971-8fcd-2950c0eec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7a57b-3ec2-4971-8fcd-2950c0eec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C7C3D7-91AA-4A7E-AE3F-B5A205C19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4F126-5635-4341-9122-C1C14DCB2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8B159E-BDEA-40AC-AC71-FE5C089A0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7a57b-3ec2-4971-8fcd-2950c0eec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Lance</dc:creator>
  <cp:keywords/>
  <dc:description/>
  <cp:lastModifiedBy>chn off29</cp:lastModifiedBy>
  <cp:revision>5</cp:revision>
  <cp:lastPrinted>2019-12-16T20:47:00Z</cp:lastPrinted>
  <dcterms:created xsi:type="dcterms:W3CDTF">2020-06-22T17:33:00Z</dcterms:created>
  <dcterms:modified xsi:type="dcterms:W3CDTF">2020-08-08T12:49:00Z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0x010100B4503C471DB0814E868D7779E053F89B</vt:lpwstr>
  </property>
</Properties>
</file>