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0B" w:rsidRDefault="00D513FB" w:rsidP="00D513FB">
      <w:pPr>
        <w:pStyle w:val="Caption"/>
        <w:keepNext/>
        <w:jc w:val="center"/>
        <w:rPr>
          <w:rFonts w:asciiTheme="majorBidi" w:hAnsiTheme="majorBidi" w:cstheme="majorBidi"/>
          <w:color w:val="000000" w:themeColor="text1"/>
          <w:sz w:val="22"/>
          <w:szCs w:val="22"/>
        </w:rPr>
      </w:pPr>
      <w:bookmarkStart w:id="0" w:name="_Ref509859571"/>
      <w:r>
        <w:rPr>
          <w:rFonts w:asciiTheme="majorBidi" w:hAnsiTheme="majorBidi" w:cstheme="majorBidi"/>
          <w:color w:val="000000" w:themeColor="text1"/>
          <w:sz w:val="22"/>
          <w:szCs w:val="22"/>
        </w:rPr>
        <w:t>S1</w:t>
      </w:r>
      <w:r w:rsidR="0073670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Table</w:t>
      </w:r>
      <w:bookmarkStart w:id="1" w:name="_GoBack"/>
      <w:bookmarkEnd w:id="0"/>
      <w:bookmarkEnd w:id="1"/>
      <w:r w:rsidR="0073670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: </w:t>
      </w:r>
      <w:r w:rsidR="0073670B">
        <w:rPr>
          <w:rFonts w:asciiTheme="majorBidi" w:hAnsiTheme="majorBidi" w:cstheme="majorBidi"/>
          <w:b w:val="0"/>
          <w:bCs w:val="0"/>
          <w:color w:val="000000" w:themeColor="text1"/>
          <w:sz w:val="22"/>
          <w:szCs w:val="22"/>
        </w:rPr>
        <w:t>Tissue features comparison of healthy, HCM and DCM subjects (median [1</w:t>
      </w:r>
      <w:r w:rsidR="0073670B">
        <w:rPr>
          <w:rFonts w:asciiTheme="majorBidi" w:hAnsiTheme="majorBidi" w:cstheme="majorBidi"/>
          <w:b w:val="0"/>
          <w:bCs w:val="0"/>
          <w:color w:val="000000" w:themeColor="text1"/>
          <w:sz w:val="22"/>
          <w:szCs w:val="22"/>
          <w:vertAlign w:val="superscript"/>
        </w:rPr>
        <w:t>st</w:t>
      </w:r>
      <w:r w:rsidR="0073670B">
        <w:rPr>
          <w:rFonts w:asciiTheme="majorBidi" w:hAnsiTheme="majorBidi" w:cstheme="majorBidi"/>
          <w:b w:val="0"/>
          <w:bCs w:val="0"/>
          <w:color w:val="000000" w:themeColor="text1"/>
          <w:sz w:val="22"/>
          <w:szCs w:val="22"/>
        </w:rPr>
        <w:t xml:space="preserve"> quartile; 3</w:t>
      </w:r>
      <w:r w:rsidR="0073670B">
        <w:rPr>
          <w:rFonts w:asciiTheme="majorBidi" w:hAnsiTheme="majorBidi" w:cstheme="majorBidi"/>
          <w:b w:val="0"/>
          <w:bCs w:val="0"/>
          <w:color w:val="000000" w:themeColor="text1"/>
          <w:sz w:val="22"/>
          <w:szCs w:val="22"/>
          <w:vertAlign w:val="superscript"/>
        </w:rPr>
        <w:t>rd</w:t>
      </w:r>
      <w:r w:rsidR="0073670B">
        <w:rPr>
          <w:rFonts w:asciiTheme="majorBidi" w:hAnsiTheme="majorBidi" w:cstheme="majorBidi"/>
          <w:b w:val="0"/>
          <w:bCs w:val="0"/>
          <w:color w:val="000000" w:themeColor="text1"/>
          <w:sz w:val="22"/>
          <w:szCs w:val="22"/>
        </w:rPr>
        <w:t xml:space="preserve"> quartile]).</w:t>
      </w:r>
    </w:p>
    <w:tbl>
      <w:tblPr>
        <w:tblStyle w:val="TableClassic1"/>
        <w:tblW w:w="90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340"/>
        <w:gridCol w:w="2168"/>
        <w:gridCol w:w="874"/>
      </w:tblGrid>
      <w:tr w:rsidR="0073670B" w:rsidTr="00736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12" w:space="0" w:color="000000"/>
              <w:left w:val="nil"/>
              <w:bottom w:val="single" w:sz="4" w:space="0" w:color="auto"/>
            </w:tcBorders>
            <w:vAlign w:val="center"/>
            <w:hideMark/>
          </w:tcPr>
          <w:p w:rsidR="0073670B" w:rsidRDefault="0073670B">
            <w:pPr>
              <w:bidi/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Features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Healthy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HCM</w:t>
            </w:r>
          </w:p>
        </w:tc>
        <w:tc>
          <w:tcPr>
            <w:tcW w:w="2168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DCM</w:t>
            </w:r>
          </w:p>
        </w:tc>
        <w:tc>
          <w:tcPr>
            <w:tcW w:w="87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670B" w:rsidRDefault="0073670B">
            <w:pPr>
              <w:bidi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P-value</w:t>
            </w:r>
          </w:p>
        </w:tc>
      </w:tr>
      <w:tr w:rsidR="0073670B" w:rsidTr="0073670B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LBP(8)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21.25 [19.51; 22.07]</w:t>
            </w:r>
            <w:r>
              <w:rPr>
                <w:rFonts w:asciiTheme="majorBidi" w:hAnsiTheme="majorBidi" w:cstheme="majorBidi"/>
              </w:rPr>
              <w:t xml:space="preserve"> ×10</w:t>
            </w:r>
            <w:r>
              <w:rPr>
                <w:rFonts w:asciiTheme="majorBidi" w:hAnsiTheme="majorBidi" w:cstheme="majorBidi"/>
                <w:vertAlign w:val="superscript"/>
              </w:rPr>
              <w:t>-4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12.43[20.16; 16.93]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-4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25.48[24.47; 57.66]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-4</w:t>
            </w:r>
            <w:r>
              <w:rPr>
                <w:rFonts w:asciiTheme="majorBidi" w:hAnsiTheme="majorBidi" w:cstheme="majorBidi"/>
              </w:rPr>
              <w:t>‡§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670B" w:rsidRDefault="0073670B">
            <w:pPr>
              <w:bidi/>
              <w:spacing w:after="0" w:line="60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Bidi" w:hAnsiTheme="majorBidi" w:cstheme="majorBidi"/>
              </w:rPr>
              <w:t>&lt;0.001</w:t>
            </w:r>
          </w:p>
        </w:tc>
      </w:tr>
      <w:tr w:rsidR="0073670B" w:rsidTr="0073670B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LBP(36)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5.80[4.89; 10.27]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-4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6.21[10.07; 24.60]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-4</w:t>
            </w:r>
            <w:r>
              <w:rPr>
                <w:rFonts w:asciiTheme="majorBidi" w:hAnsiTheme="majorBidi" w:cstheme="majorBidi"/>
              </w:rPr>
              <w:t>‡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9.44[8.78; 15.91]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-4</w:t>
            </w:r>
            <w:r>
              <w:rPr>
                <w:rFonts w:asciiTheme="majorBidi" w:hAnsiTheme="majorBidi" w:cstheme="majorBidi"/>
              </w:rPr>
              <w:t>‡§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70B" w:rsidRDefault="0073670B">
            <w:pPr>
              <w:bidi/>
              <w:spacing w:after="0" w:line="60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Bidi" w:hAnsiTheme="majorBidi" w:cstheme="majorBidi"/>
              </w:rPr>
              <w:t>&lt;0.001</w:t>
            </w:r>
          </w:p>
        </w:tc>
      </w:tr>
      <w:tr w:rsidR="0073670B" w:rsidTr="0073670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GLN(135</w:t>
            </w:r>
            <w:r>
              <w:rPr>
                <w:rFonts w:asciiTheme="majorBidi" w:hAnsiTheme="majorBidi" w:cstheme="majorBidi"/>
                <w:vertAlign w:val="superscript"/>
              </w:rPr>
              <w:t>o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21.73[28.67; 62.04]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39.49[33.28; 71.00]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2</w:t>
            </w:r>
            <w:r>
              <w:rPr>
                <w:rFonts w:asciiTheme="majorBidi" w:hAnsiTheme="majorBidi" w:cstheme="majorBidi"/>
              </w:rPr>
              <w:t>‡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40.71[44.72; 74.77]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2</w:t>
            </w:r>
            <w:r>
              <w:rPr>
                <w:rFonts w:asciiTheme="majorBidi" w:hAnsiTheme="majorBidi" w:cstheme="majorBidi"/>
              </w:rPr>
              <w:t>‡§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70B" w:rsidRDefault="0073670B">
            <w:pPr>
              <w:bidi/>
              <w:spacing w:after="0" w:line="60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Bidi" w:hAnsiTheme="majorBidi" w:cstheme="majorBidi"/>
              </w:rPr>
              <w:t>&lt;0.001</w:t>
            </w:r>
          </w:p>
        </w:tc>
      </w:tr>
      <w:tr w:rsidR="0073670B" w:rsidTr="0073670B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LBP(26)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25.43[26.84; 59.07]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-4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29.12[30.73; 62.01]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-4</w:t>
            </w:r>
            <w:r>
              <w:rPr>
                <w:rFonts w:asciiTheme="majorBidi" w:hAnsiTheme="majorBidi" w:cstheme="majorBidi"/>
              </w:rPr>
              <w:t>‡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41.42[32.81; 97.59]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-4</w:t>
            </w:r>
            <w:r>
              <w:rPr>
                <w:rFonts w:asciiTheme="majorBidi" w:hAnsiTheme="majorBidi" w:cstheme="majorBidi"/>
              </w:rPr>
              <w:t>‡§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70B" w:rsidRDefault="0073670B">
            <w:pPr>
              <w:bidi/>
              <w:spacing w:after="0" w:line="60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Bidi" w:hAnsiTheme="majorBidi" w:cstheme="majorBidi"/>
              </w:rPr>
              <w:t>&lt;0.001</w:t>
            </w:r>
          </w:p>
        </w:tc>
      </w:tr>
      <w:tr w:rsidR="0073670B" w:rsidTr="0073670B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nil"/>
            </w:tcBorders>
            <w:hideMark/>
          </w:tcPr>
          <w:p w:rsidR="0073670B" w:rsidRDefault="0073670B">
            <w:pPr>
              <w:bidi/>
              <w:spacing w:after="0" w:line="60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SRHGE(45</w:t>
            </w:r>
            <w:r>
              <w:rPr>
                <w:rFonts w:asciiTheme="majorBidi" w:hAnsiTheme="majorBidi" w:cstheme="majorBidi"/>
                <w:vertAlign w:val="superscript"/>
              </w:rPr>
              <w:t>o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7.30[11.93; 38.54]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-3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7.92[7.92; 23.81]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-3</w:t>
            </w:r>
            <w:r>
              <w:rPr>
                <w:rFonts w:asciiTheme="majorBidi" w:hAnsiTheme="majorBidi" w:cstheme="majorBidi"/>
              </w:rPr>
              <w:t>‡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7.98[6.67; 43.66]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-3</w:t>
            </w:r>
            <w:r>
              <w:rPr>
                <w:rFonts w:asciiTheme="majorBidi" w:hAnsiTheme="majorBidi" w:cstheme="majorBidi"/>
              </w:rPr>
              <w:t>‡§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70B" w:rsidRDefault="0073670B">
            <w:pPr>
              <w:bidi/>
              <w:spacing w:after="0" w:line="60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Bidi" w:hAnsiTheme="majorBidi" w:cstheme="majorBidi"/>
              </w:rPr>
              <w:t>&lt;0.001</w:t>
            </w:r>
          </w:p>
        </w:tc>
      </w:tr>
      <w:tr w:rsidR="0073670B" w:rsidTr="0073670B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LBP(21)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7.58[8.22; 35.48]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-3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8.32[8.00; 46.50]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-3</w:t>
            </w:r>
            <w:r>
              <w:rPr>
                <w:rFonts w:asciiTheme="majorBidi" w:hAnsiTheme="majorBidi" w:cstheme="majorBidi"/>
              </w:rPr>
              <w:t>‡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10.85[8.25; 40.54]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-3</w:t>
            </w:r>
            <w:r>
              <w:rPr>
                <w:rFonts w:asciiTheme="majorBidi" w:hAnsiTheme="majorBidi" w:cstheme="majorBidi"/>
              </w:rPr>
              <w:t>‡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70B" w:rsidRDefault="0073670B">
            <w:pPr>
              <w:bidi/>
              <w:spacing w:after="0" w:line="60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Bidi" w:hAnsiTheme="majorBidi" w:cstheme="majorBidi"/>
              </w:rPr>
              <w:t>&lt;0.001</w:t>
            </w:r>
          </w:p>
        </w:tc>
      </w:tr>
      <w:tr w:rsidR="0073670B" w:rsidTr="0073670B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single" w:sz="12" w:space="0" w:color="000000"/>
            </w:tcBorders>
            <w:hideMark/>
          </w:tcPr>
          <w:p w:rsidR="0073670B" w:rsidRDefault="0073670B">
            <w:pPr>
              <w:bidi/>
              <w:spacing w:after="0" w:line="24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Variance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7.27[15.06; 12.50]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6.36[15.49; 14.60]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2</w:t>
            </w:r>
            <w:r>
              <w:rPr>
                <w:rFonts w:asciiTheme="majorBidi" w:hAnsiTheme="majorBidi" w:cstheme="majorBidi"/>
              </w:rPr>
              <w:t>‡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14.66[16.63; 25.04]</w:t>
            </w:r>
          </w:p>
          <w:p w:rsidR="0073670B" w:rsidRDefault="0073670B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×10</w:t>
            </w:r>
            <w:r>
              <w:rPr>
                <w:rFonts w:asciiTheme="majorBidi" w:hAnsiTheme="majorBidi" w:cstheme="majorBidi"/>
                <w:vertAlign w:val="superscript"/>
              </w:rPr>
              <w:t>2</w:t>
            </w:r>
            <w:r>
              <w:rPr>
                <w:rFonts w:asciiTheme="majorBidi" w:hAnsiTheme="majorBidi" w:cstheme="majorBidi"/>
              </w:rPr>
              <w:t>‡§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3670B" w:rsidRDefault="0073670B">
            <w:pPr>
              <w:bidi/>
              <w:spacing w:after="0" w:line="60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Bidi" w:hAnsiTheme="majorBidi" w:cstheme="majorBidi"/>
              </w:rPr>
              <w:t>&lt;0.001</w:t>
            </w:r>
          </w:p>
        </w:tc>
      </w:tr>
    </w:tbl>
    <w:p w:rsidR="0073670B" w:rsidRDefault="0073670B" w:rsidP="0073670B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‡ P&lt;0.001 when compared with Healthy Control subgroup</w:t>
      </w:r>
    </w:p>
    <w:p w:rsidR="0073670B" w:rsidRDefault="0073670B" w:rsidP="0073670B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† P&lt;0.01 when compared with Healthy Control subgroup</w:t>
      </w:r>
    </w:p>
    <w:p w:rsidR="0073670B" w:rsidRDefault="0073670B" w:rsidP="0073670B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P&lt;0.001 when compared with HCM subgroup</w:t>
      </w:r>
    </w:p>
    <w:p w:rsidR="0073670B" w:rsidRDefault="0073670B" w:rsidP="0073670B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ǁ P&lt;0.01 when compared with HCM subgroup</w:t>
      </w:r>
    </w:p>
    <w:p w:rsidR="0073670B" w:rsidRDefault="0073670B" w:rsidP="0073670B">
      <w:pPr>
        <w:rPr>
          <w:rFonts w:asciiTheme="majorBidi" w:eastAsia="Times New Roman" w:hAnsiTheme="majorBidi" w:cstheme="majorBidi"/>
          <w:sz w:val="20"/>
          <w:szCs w:val="20"/>
        </w:rPr>
      </w:pPr>
    </w:p>
    <w:p w:rsidR="00064856" w:rsidRDefault="00064856"/>
    <w:sectPr w:rsidR="0006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33"/>
    <w:rsid w:val="00064856"/>
    <w:rsid w:val="006E7A33"/>
    <w:rsid w:val="0073670B"/>
    <w:rsid w:val="00D5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14BE"/>
  <w15:chartTrackingRefBased/>
  <w15:docId w15:val="{12302E8B-6FEA-458F-B2BA-36A73D04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73670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oSpacing">
    <w:name w:val="No Spacing"/>
    <w:uiPriority w:val="1"/>
    <w:qFormat/>
    <w:rsid w:val="0073670B"/>
    <w:pPr>
      <w:spacing w:after="0" w:line="240" w:lineRule="auto"/>
    </w:pPr>
  </w:style>
  <w:style w:type="table" w:styleId="TableClassic1">
    <w:name w:val="Table Classic 1"/>
    <w:basedOn w:val="TableNormal"/>
    <w:semiHidden/>
    <w:unhideWhenUsed/>
    <w:rsid w:val="0073670B"/>
    <w:pPr>
      <w:spacing w:after="0" w:line="240" w:lineRule="auto"/>
      <w:jc w:val="right"/>
    </w:pPr>
    <w:rPr>
      <w:rFonts w:ascii="Calibri" w:eastAsia="Times New Roman" w:hAnsi="Calibri" w:cs="Arial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 El-Rewaidy</dc:creator>
  <cp:keywords/>
  <dc:description/>
  <cp:lastModifiedBy>Hossam El-Rewaidy</cp:lastModifiedBy>
  <cp:revision>3</cp:revision>
  <dcterms:created xsi:type="dcterms:W3CDTF">2019-04-09T17:16:00Z</dcterms:created>
  <dcterms:modified xsi:type="dcterms:W3CDTF">2019-07-03T14:37:00Z</dcterms:modified>
</cp:coreProperties>
</file>