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EB16E" w14:textId="3273B291" w:rsidR="000F2D31" w:rsidRPr="00D62F7E" w:rsidRDefault="00D87BAC" w:rsidP="000F2D31">
      <w:pPr>
        <w:rPr>
          <w:rFonts w:ascii="Arial" w:hAnsi="Arial" w:cs="Arial"/>
          <w:sz w:val="20"/>
          <w:szCs w:val="20"/>
          <w:lang w:val="en-US"/>
        </w:rPr>
      </w:pPr>
      <w:r>
        <w:rPr>
          <w:rFonts w:ascii="Arial" w:hAnsi="Arial" w:cs="Arial"/>
          <w:b/>
          <w:bCs/>
          <w:sz w:val="20"/>
          <w:szCs w:val="20"/>
          <w:lang w:val="en-US"/>
        </w:rPr>
        <w:t>S1 Table</w:t>
      </w:r>
      <w:r w:rsidR="00F10940">
        <w:rPr>
          <w:rFonts w:ascii="Arial" w:hAnsi="Arial" w:cs="Arial"/>
          <w:b/>
          <w:bCs/>
          <w:sz w:val="20"/>
          <w:szCs w:val="20"/>
          <w:lang w:val="en-US"/>
        </w:rPr>
        <w:t xml:space="preserve">. </w:t>
      </w:r>
      <w:r w:rsidR="000F2D31" w:rsidRPr="00D62F7E">
        <w:rPr>
          <w:rFonts w:ascii="Arial" w:hAnsi="Arial" w:cs="Arial"/>
          <w:sz w:val="20"/>
          <w:szCs w:val="20"/>
          <w:lang w:val="en-US"/>
        </w:rPr>
        <w:t>Standard ERP in the University Hospitals Leuven for colorectal surgical patients in 2017</w:t>
      </w:r>
    </w:p>
    <w:tbl>
      <w:tblPr>
        <w:tblStyle w:val="TableGrid"/>
        <w:tblW w:w="0" w:type="auto"/>
        <w:tblInd w:w="0" w:type="dxa"/>
        <w:tblCellMar>
          <w:left w:w="57" w:type="dxa"/>
          <w:right w:w="57" w:type="dxa"/>
        </w:tblCellMar>
        <w:tblLook w:val="04A0" w:firstRow="1" w:lastRow="0" w:firstColumn="1" w:lastColumn="0" w:noHBand="0" w:noVBand="1"/>
      </w:tblPr>
      <w:tblGrid>
        <w:gridCol w:w="337"/>
        <w:gridCol w:w="2393"/>
        <w:gridCol w:w="7726"/>
      </w:tblGrid>
      <w:tr w:rsidR="000F2D31" w:rsidRPr="00D62F7E" w14:paraId="389AD9B9" w14:textId="77777777" w:rsidTr="00160E16">
        <w:tc>
          <w:tcPr>
            <w:tcW w:w="0" w:type="auto"/>
            <w:gridSpan w:val="2"/>
          </w:tcPr>
          <w:p w14:paraId="3AA9CDF6" w14:textId="77777777" w:rsidR="000F2D31" w:rsidRPr="00D62F7E" w:rsidRDefault="000F2D31" w:rsidP="00160E16">
            <w:pPr>
              <w:rPr>
                <w:rFonts w:ascii="Arial" w:hAnsi="Arial" w:cs="Arial"/>
                <w:b/>
                <w:sz w:val="20"/>
                <w:szCs w:val="20"/>
                <w:lang w:val="en-US"/>
              </w:rPr>
            </w:pPr>
            <w:r w:rsidRPr="00D62F7E">
              <w:rPr>
                <w:rFonts w:ascii="Arial" w:hAnsi="Arial" w:cs="Arial"/>
                <w:b/>
                <w:sz w:val="20"/>
                <w:szCs w:val="20"/>
                <w:lang w:val="en-US"/>
              </w:rPr>
              <w:t xml:space="preserve">ERP component </w:t>
            </w:r>
          </w:p>
        </w:tc>
        <w:tc>
          <w:tcPr>
            <w:tcW w:w="0" w:type="auto"/>
          </w:tcPr>
          <w:p w14:paraId="1F4F19BB" w14:textId="77777777" w:rsidR="000F2D31" w:rsidRPr="00D62F7E" w:rsidRDefault="000F2D31" w:rsidP="00160E16">
            <w:pPr>
              <w:rPr>
                <w:rFonts w:ascii="Arial" w:hAnsi="Arial" w:cs="Arial"/>
                <w:b/>
                <w:sz w:val="20"/>
                <w:szCs w:val="20"/>
                <w:lang w:val="en-US"/>
              </w:rPr>
            </w:pPr>
            <w:r w:rsidRPr="00D62F7E">
              <w:rPr>
                <w:rFonts w:ascii="Arial" w:hAnsi="Arial" w:cs="Arial"/>
                <w:b/>
                <w:sz w:val="20"/>
                <w:szCs w:val="20"/>
                <w:lang w:val="en-US"/>
              </w:rPr>
              <w:t>ERP in the University Hospitals Leuven (2017)</w:t>
            </w:r>
          </w:p>
        </w:tc>
      </w:tr>
      <w:tr w:rsidR="000F2D31" w:rsidRPr="00D62F7E" w14:paraId="1CF19F16" w14:textId="77777777" w:rsidTr="00160E16">
        <w:trPr>
          <w:trHeight w:val="574"/>
        </w:trPr>
        <w:tc>
          <w:tcPr>
            <w:tcW w:w="0" w:type="auto"/>
          </w:tcPr>
          <w:p w14:paraId="279F704A"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1</w:t>
            </w:r>
          </w:p>
        </w:tc>
        <w:tc>
          <w:tcPr>
            <w:tcW w:w="0" w:type="auto"/>
          </w:tcPr>
          <w:p w14:paraId="2AA397CF"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Preadmission counselling</w:t>
            </w:r>
          </w:p>
        </w:tc>
        <w:tc>
          <w:tcPr>
            <w:tcW w:w="0" w:type="auto"/>
          </w:tcPr>
          <w:p w14:paraId="61039A44" w14:textId="5672E4CA"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 xml:space="preserve">Pre-hospital visit to ERP nurse, </w:t>
            </w:r>
            <w:r w:rsidR="00D62F7E" w:rsidRPr="00D62F7E">
              <w:rPr>
                <w:rFonts w:ascii="Arial" w:hAnsi="Arial" w:cs="Arial"/>
                <w:sz w:val="20"/>
                <w:szCs w:val="20"/>
                <w:lang w:val="en-US"/>
              </w:rPr>
              <w:t>anesthesiologist</w:t>
            </w:r>
            <w:r w:rsidRPr="00D62F7E">
              <w:rPr>
                <w:rFonts w:ascii="Arial" w:hAnsi="Arial" w:cs="Arial"/>
                <w:sz w:val="20"/>
                <w:szCs w:val="20"/>
                <w:lang w:val="en-US"/>
              </w:rPr>
              <w:t xml:space="preserve"> and surgeon. </w:t>
            </w:r>
          </w:p>
          <w:p w14:paraId="62421A23"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 xml:space="preserve">For patients with planned stoma, stoma-education is provided pre-operatively. </w:t>
            </w:r>
          </w:p>
        </w:tc>
      </w:tr>
      <w:tr w:rsidR="000F2D31" w:rsidRPr="00D62F7E" w14:paraId="712EF19A" w14:textId="77777777" w:rsidTr="00160E16">
        <w:trPr>
          <w:trHeight w:val="411"/>
        </w:trPr>
        <w:tc>
          <w:tcPr>
            <w:tcW w:w="0" w:type="auto"/>
          </w:tcPr>
          <w:p w14:paraId="7C70D7D2"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2</w:t>
            </w:r>
          </w:p>
        </w:tc>
        <w:tc>
          <w:tcPr>
            <w:tcW w:w="0" w:type="auto"/>
          </w:tcPr>
          <w:p w14:paraId="10148269" w14:textId="5E4F0556"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 xml:space="preserve">Preoperative </w:t>
            </w:r>
            <w:r w:rsidR="00D62F7E" w:rsidRPr="00D62F7E">
              <w:rPr>
                <w:rFonts w:ascii="Arial" w:hAnsi="Arial" w:cs="Arial"/>
                <w:sz w:val="20"/>
                <w:szCs w:val="20"/>
                <w:lang w:val="en-US"/>
              </w:rPr>
              <w:t>optimization</w:t>
            </w:r>
          </w:p>
        </w:tc>
        <w:tc>
          <w:tcPr>
            <w:tcW w:w="0" w:type="auto"/>
          </w:tcPr>
          <w:p w14:paraId="7DDBB801" w14:textId="2EF9A258"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 xml:space="preserve">No routine protocol for preoperative </w:t>
            </w:r>
            <w:r w:rsidR="00D62F7E" w:rsidRPr="00D62F7E">
              <w:rPr>
                <w:rFonts w:ascii="Arial" w:hAnsi="Arial" w:cs="Arial"/>
                <w:sz w:val="20"/>
                <w:szCs w:val="20"/>
                <w:lang w:val="en-US"/>
              </w:rPr>
              <w:t>optimization</w:t>
            </w:r>
            <w:r w:rsidRPr="00D62F7E">
              <w:rPr>
                <w:rFonts w:ascii="Arial" w:hAnsi="Arial" w:cs="Arial"/>
                <w:sz w:val="20"/>
                <w:szCs w:val="20"/>
                <w:lang w:val="en-US"/>
              </w:rPr>
              <w:t>/prehabilitation.</w:t>
            </w:r>
          </w:p>
        </w:tc>
      </w:tr>
      <w:tr w:rsidR="000F2D31" w:rsidRPr="00D62F7E" w14:paraId="1CEBF98A" w14:textId="77777777" w:rsidTr="00160E16">
        <w:trPr>
          <w:trHeight w:val="620"/>
        </w:trPr>
        <w:tc>
          <w:tcPr>
            <w:tcW w:w="0" w:type="auto"/>
          </w:tcPr>
          <w:p w14:paraId="30F788DF"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 xml:space="preserve">3 </w:t>
            </w:r>
          </w:p>
        </w:tc>
        <w:tc>
          <w:tcPr>
            <w:tcW w:w="0" w:type="auto"/>
          </w:tcPr>
          <w:p w14:paraId="234AAA75"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Preoperative bowel preparation</w:t>
            </w:r>
          </w:p>
        </w:tc>
        <w:tc>
          <w:tcPr>
            <w:tcW w:w="0" w:type="auto"/>
          </w:tcPr>
          <w:p w14:paraId="0279FD02"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Patients undergoing colonic operations do not receive mechanical bowel preparation (they may receive a rectal enema). In patients undergoing rectal surgery mechanical bowel preparation is performed (if no obstruction).</w:t>
            </w:r>
          </w:p>
        </w:tc>
      </w:tr>
      <w:tr w:rsidR="000F2D31" w:rsidRPr="00D62F7E" w14:paraId="33F63200" w14:textId="77777777" w:rsidTr="00160E16">
        <w:trPr>
          <w:trHeight w:val="725"/>
        </w:trPr>
        <w:tc>
          <w:tcPr>
            <w:tcW w:w="0" w:type="auto"/>
          </w:tcPr>
          <w:p w14:paraId="23D0E560"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4</w:t>
            </w:r>
          </w:p>
        </w:tc>
        <w:tc>
          <w:tcPr>
            <w:tcW w:w="0" w:type="auto"/>
          </w:tcPr>
          <w:p w14:paraId="1FFC4DDF"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Preoperative fasting</w:t>
            </w:r>
          </w:p>
          <w:p w14:paraId="2D442E1E"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and preoperative carbohydrate drink</w:t>
            </w:r>
          </w:p>
        </w:tc>
        <w:tc>
          <w:tcPr>
            <w:tcW w:w="0" w:type="auto"/>
          </w:tcPr>
          <w:p w14:paraId="2BAA0107"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Last meal and drinks are served the evening before the operation. Patients are allowed (light) solid foods until 6 hours and clear fluids until 3 hours before the operation. A carbohydrate drink is provided 3 hours prior to the operation.</w:t>
            </w:r>
          </w:p>
        </w:tc>
      </w:tr>
      <w:tr w:rsidR="000F2D31" w:rsidRPr="00D62F7E" w14:paraId="6CFA9219" w14:textId="77777777" w:rsidTr="00160E16">
        <w:tc>
          <w:tcPr>
            <w:tcW w:w="0" w:type="auto"/>
          </w:tcPr>
          <w:p w14:paraId="06E8F648"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5</w:t>
            </w:r>
          </w:p>
        </w:tc>
        <w:tc>
          <w:tcPr>
            <w:tcW w:w="0" w:type="auto"/>
          </w:tcPr>
          <w:p w14:paraId="323CD830" w14:textId="629E1406"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Pre-</w:t>
            </w:r>
            <w:r w:rsidR="00D62F7E" w:rsidRPr="00D62F7E">
              <w:rPr>
                <w:rFonts w:ascii="Arial" w:hAnsi="Arial" w:cs="Arial"/>
                <w:sz w:val="20"/>
                <w:szCs w:val="20"/>
                <w:lang w:val="en-US"/>
              </w:rPr>
              <w:t>anesthetic</w:t>
            </w:r>
            <w:r w:rsidRPr="00D62F7E">
              <w:rPr>
                <w:rFonts w:ascii="Arial" w:hAnsi="Arial" w:cs="Arial"/>
                <w:sz w:val="20"/>
                <w:szCs w:val="20"/>
                <w:lang w:val="en-US"/>
              </w:rPr>
              <w:t xml:space="preserve"> medication</w:t>
            </w:r>
          </w:p>
        </w:tc>
        <w:tc>
          <w:tcPr>
            <w:tcW w:w="0" w:type="auto"/>
          </w:tcPr>
          <w:p w14:paraId="633E6D78" w14:textId="77777777" w:rsidR="000F2D31" w:rsidRPr="00D62F7E" w:rsidRDefault="000F2D31" w:rsidP="00160E16">
            <w:pPr>
              <w:rPr>
                <w:rFonts w:ascii="Arial" w:hAnsi="Arial" w:cs="Arial"/>
                <w:color w:val="A6A6A6" w:themeColor="background1" w:themeShade="A6"/>
                <w:sz w:val="20"/>
                <w:szCs w:val="20"/>
                <w:lang w:val="en-US"/>
              </w:rPr>
            </w:pPr>
            <w:r w:rsidRPr="00D62F7E">
              <w:rPr>
                <w:rFonts w:ascii="Arial" w:hAnsi="Arial" w:cs="Arial"/>
                <w:sz w:val="20"/>
                <w:szCs w:val="20"/>
                <w:lang w:val="en-US"/>
              </w:rPr>
              <w:t>Sedative or anxiolytic premedication is not given routinely.</w:t>
            </w:r>
            <w:r w:rsidRPr="00D62F7E">
              <w:rPr>
                <w:rFonts w:ascii="Arial" w:hAnsi="Arial" w:cs="Arial"/>
                <w:color w:val="A6A6A6" w:themeColor="background1" w:themeShade="A6"/>
                <w:sz w:val="20"/>
                <w:szCs w:val="20"/>
                <w:lang w:val="en-US"/>
              </w:rPr>
              <w:t xml:space="preserve"> </w:t>
            </w:r>
          </w:p>
        </w:tc>
      </w:tr>
      <w:tr w:rsidR="000F2D31" w:rsidRPr="00D62F7E" w14:paraId="0D7CBDB7" w14:textId="77777777" w:rsidTr="00160E16">
        <w:trPr>
          <w:trHeight w:val="1190"/>
        </w:trPr>
        <w:tc>
          <w:tcPr>
            <w:tcW w:w="0" w:type="auto"/>
          </w:tcPr>
          <w:p w14:paraId="63C3AC6F"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6</w:t>
            </w:r>
          </w:p>
        </w:tc>
        <w:tc>
          <w:tcPr>
            <w:tcW w:w="0" w:type="auto"/>
          </w:tcPr>
          <w:p w14:paraId="64BB1921"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Thromboprophylaxis</w:t>
            </w:r>
          </w:p>
        </w:tc>
        <w:tc>
          <w:tcPr>
            <w:tcW w:w="0" w:type="auto"/>
          </w:tcPr>
          <w:p w14:paraId="78BFFC06"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 xml:space="preserve">All patients receive prophylaxis with low molecular weight heparin. </w:t>
            </w:r>
          </w:p>
          <w:p w14:paraId="783467BD" w14:textId="0BBB1F78"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 xml:space="preserve">Compression stockings are not used routinely. Pneumatic compression is not used. Patients are stimulated to move (exercises in bed in an instruction leaflet, early </w:t>
            </w:r>
            <w:r w:rsidR="00D62F7E" w:rsidRPr="00D62F7E">
              <w:rPr>
                <w:rFonts w:ascii="Arial" w:hAnsi="Arial" w:cs="Arial"/>
                <w:sz w:val="20"/>
                <w:szCs w:val="20"/>
                <w:lang w:val="en-US"/>
              </w:rPr>
              <w:t>mobilization</w:t>
            </w:r>
            <w:r w:rsidRPr="00D62F7E">
              <w:rPr>
                <w:rFonts w:ascii="Arial" w:hAnsi="Arial" w:cs="Arial"/>
                <w:sz w:val="20"/>
                <w:szCs w:val="20"/>
                <w:lang w:val="en-US"/>
              </w:rPr>
              <w:t xml:space="preserve"> out of bed). Patients with increased risk for venous thromboembolism are given prolonged thromboprophylaxis (3 weeks).</w:t>
            </w:r>
          </w:p>
        </w:tc>
      </w:tr>
      <w:tr w:rsidR="000F2D31" w:rsidRPr="00D62F7E" w14:paraId="2BB9DC97" w14:textId="77777777" w:rsidTr="00160E16">
        <w:trPr>
          <w:trHeight w:val="272"/>
        </w:trPr>
        <w:tc>
          <w:tcPr>
            <w:tcW w:w="0" w:type="auto"/>
          </w:tcPr>
          <w:p w14:paraId="0586D94B"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7</w:t>
            </w:r>
          </w:p>
        </w:tc>
        <w:tc>
          <w:tcPr>
            <w:tcW w:w="0" w:type="auto"/>
          </w:tcPr>
          <w:p w14:paraId="214AD47C"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Antimicrobial prophylaxis</w:t>
            </w:r>
          </w:p>
        </w:tc>
        <w:tc>
          <w:tcPr>
            <w:tcW w:w="0" w:type="auto"/>
          </w:tcPr>
          <w:p w14:paraId="4EC66267"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All patients receive prophylaxis with antibiotics per protocol.</w:t>
            </w:r>
          </w:p>
        </w:tc>
      </w:tr>
      <w:tr w:rsidR="000F2D31" w:rsidRPr="00D62F7E" w14:paraId="08DB85BE" w14:textId="77777777" w:rsidTr="00160E16">
        <w:trPr>
          <w:trHeight w:val="272"/>
        </w:trPr>
        <w:tc>
          <w:tcPr>
            <w:tcW w:w="0" w:type="auto"/>
          </w:tcPr>
          <w:p w14:paraId="14505829"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8</w:t>
            </w:r>
          </w:p>
        </w:tc>
        <w:tc>
          <w:tcPr>
            <w:tcW w:w="0" w:type="auto"/>
          </w:tcPr>
          <w:p w14:paraId="6952E56C" w14:textId="02535351"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 xml:space="preserve">Standard </w:t>
            </w:r>
            <w:r w:rsidR="00D62F7E" w:rsidRPr="00D62F7E">
              <w:rPr>
                <w:rFonts w:ascii="Arial" w:hAnsi="Arial" w:cs="Arial"/>
                <w:sz w:val="20"/>
                <w:szCs w:val="20"/>
                <w:lang w:val="en-US"/>
              </w:rPr>
              <w:t>anesthesia</w:t>
            </w:r>
            <w:r w:rsidRPr="00D62F7E">
              <w:rPr>
                <w:rFonts w:ascii="Arial" w:hAnsi="Arial" w:cs="Arial"/>
                <w:sz w:val="20"/>
                <w:szCs w:val="20"/>
                <w:lang w:val="en-US"/>
              </w:rPr>
              <w:t xml:space="preserve"> protocol</w:t>
            </w:r>
          </w:p>
        </w:tc>
        <w:tc>
          <w:tcPr>
            <w:tcW w:w="0" w:type="auto"/>
          </w:tcPr>
          <w:p w14:paraId="2C3859D8" w14:textId="7A76307E"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 xml:space="preserve">Balanced </w:t>
            </w:r>
            <w:r w:rsidR="00D62F7E" w:rsidRPr="00D62F7E">
              <w:rPr>
                <w:rFonts w:ascii="Arial" w:hAnsi="Arial" w:cs="Arial"/>
                <w:sz w:val="20"/>
                <w:szCs w:val="20"/>
                <w:lang w:val="en-US"/>
              </w:rPr>
              <w:t>anesthesia</w:t>
            </w:r>
            <w:r w:rsidRPr="00D62F7E">
              <w:rPr>
                <w:rFonts w:ascii="Arial" w:hAnsi="Arial" w:cs="Arial"/>
                <w:sz w:val="20"/>
                <w:szCs w:val="20"/>
                <w:lang w:val="en-US"/>
              </w:rPr>
              <w:t xml:space="preserve"> (with an inhaled </w:t>
            </w:r>
            <w:r w:rsidR="00D62F7E" w:rsidRPr="00D62F7E">
              <w:rPr>
                <w:rFonts w:ascii="Arial" w:hAnsi="Arial" w:cs="Arial"/>
                <w:sz w:val="20"/>
                <w:szCs w:val="20"/>
                <w:lang w:val="en-US"/>
              </w:rPr>
              <w:t>anesthetic</w:t>
            </w:r>
            <w:r w:rsidRPr="00D62F7E">
              <w:rPr>
                <w:rFonts w:ascii="Arial" w:hAnsi="Arial" w:cs="Arial"/>
                <w:sz w:val="20"/>
                <w:szCs w:val="20"/>
                <w:lang w:val="en-US"/>
              </w:rPr>
              <w:t xml:space="preserve">) or a total intravenous </w:t>
            </w:r>
            <w:r w:rsidR="00D62F7E" w:rsidRPr="00D62F7E">
              <w:rPr>
                <w:rFonts w:ascii="Arial" w:hAnsi="Arial" w:cs="Arial"/>
                <w:sz w:val="20"/>
                <w:szCs w:val="20"/>
                <w:lang w:val="en-US"/>
              </w:rPr>
              <w:t>anesthesia</w:t>
            </w:r>
            <w:r w:rsidRPr="00D62F7E">
              <w:rPr>
                <w:rFonts w:ascii="Arial" w:hAnsi="Arial" w:cs="Arial"/>
                <w:sz w:val="20"/>
                <w:szCs w:val="20"/>
                <w:lang w:val="en-US"/>
              </w:rPr>
              <w:t xml:space="preserve"> is used (according to the </w:t>
            </w:r>
            <w:proofErr w:type="gramStart"/>
            <w:r w:rsidR="00D62F7E" w:rsidRPr="00D62F7E">
              <w:rPr>
                <w:rFonts w:ascii="Arial" w:hAnsi="Arial" w:cs="Arial"/>
                <w:sz w:val="20"/>
                <w:szCs w:val="20"/>
                <w:lang w:val="en-US"/>
              </w:rPr>
              <w:t>anesthetists</w:t>
            </w:r>
            <w:proofErr w:type="gramEnd"/>
            <w:r w:rsidRPr="00D62F7E">
              <w:rPr>
                <w:rFonts w:ascii="Arial" w:hAnsi="Arial" w:cs="Arial"/>
                <w:sz w:val="20"/>
                <w:szCs w:val="20"/>
                <w:lang w:val="en-US"/>
              </w:rPr>
              <w:t xml:space="preserve"> preference) with short or intermediate acting analgesics, </w:t>
            </w:r>
            <w:r w:rsidR="00D62F7E" w:rsidRPr="00D62F7E">
              <w:rPr>
                <w:rFonts w:ascii="Arial" w:hAnsi="Arial" w:cs="Arial"/>
                <w:sz w:val="20"/>
                <w:szCs w:val="20"/>
                <w:lang w:val="en-US"/>
              </w:rPr>
              <w:t>anesthetics</w:t>
            </w:r>
            <w:r w:rsidRPr="00D62F7E">
              <w:rPr>
                <w:rFonts w:ascii="Arial" w:hAnsi="Arial" w:cs="Arial"/>
                <w:sz w:val="20"/>
                <w:szCs w:val="20"/>
                <w:lang w:val="en-US"/>
              </w:rPr>
              <w:t xml:space="preserve"> and muscle relaxants. The </w:t>
            </w:r>
            <w:r w:rsidR="00D62F7E" w:rsidRPr="00D62F7E">
              <w:rPr>
                <w:rFonts w:ascii="Arial" w:hAnsi="Arial" w:cs="Arial"/>
                <w:sz w:val="20"/>
                <w:szCs w:val="20"/>
                <w:lang w:val="en-US"/>
              </w:rPr>
              <w:t>anesthetist</w:t>
            </w:r>
            <w:r w:rsidRPr="00D62F7E">
              <w:rPr>
                <w:rFonts w:ascii="Arial" w:hAnsi="Arial" w:cs="Arial"/>
                <w:sz w:val="20"/>
                <w:szCs w:val="20"/>
                <w:lang w:val="en-US"/>
              </w:rPr>
              <w:t xml:space="preserve"> monitors electrocardiogram, blood pressure (non-invasive or invasive depending on the extent of the intervention and the comorbidity of the patient), oxygen saturation, capnometry and capnography, temperature, neuromuscular monitoring, ventilation parameters, and aims for a </w:t>
            </w:r>
            <w:proofErr w:type="gramStart"/>
            <w:r w:rsidRPr="00D62F7E">
              <w:rPr>
                <w:rFonts w:ascii="Arial" w:hAnsi="Arial" w:cs="Arial"/>
                <w:sz w:val="20"/>
                <w:szCs w:val="20"/>
                <w:lang w:val="en-US"/>
              </w:rPr>
              <w:t>zero fluid</w:t>
            </w:r>
            <w:proofErr w:type="gramEnd"/>
            <w:r w:rsidRPr="00D62F7E">
              <w:rPr>
                <w:rFonts w:ascii="Arial" w:hAnsi="Arial" w:cs="Arial"/>
                <w:sz w:val="20"/>
                <w:szCs w:val="20"/>
                <w:lang w:val="en-US"/>
              </w:rPr>
              <w:t xml:space="preserve"> balance. Goal-directed fluid therapy is not routinely used (sometimes in open surgery). </w:t>
            </w:r>
          </w:p>
        </w:tc>
      </w:tr>
      <w:tr w:rsidR="000F2D31" w:rsidRPr="00D62F7E" w14:paraId="4D587CED" w14:textId="77777777" w:rsidTr="00160E16">
        <w:trPr>
          <w:trHeight w:val="272"/>
        </w:trPr>
        <w:tc>
          <w:tcPr>
            <w:tcW w:w="0" w:type="auto"/>
          </w:tcPr>
          <w:p w14:paraId="68A68E6E"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9</w:t>
            </w:r>
          </w:p>
        </w:tc>
        <w:tc>
          <w:tcPr>
            <w:tcW w:w="0" w:type="auto"/>
          </w:tcPr>
          <w:p w14:paraId="58B30BF1"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PONV prophylaxis</w:t>
            </w:r>
          </w:p>
        </w:tc>
        <w:tc>
          <w:tcPr>
            <w:tcW w:w="0" w:type="auto"/>
          </w:tcPr>
          <w:p w14:paraId="67DE11A9"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 xml:space="preserve">PONV risk is screened preoperatively with the Apfel score and PONV prophylaxis is administered per protocol (dexamethasone ± </w:t>
            </w:r>
            <w:proofErr w:type="spellStart"/>
            <w:r w:rsidRPr="00D62F7E">
              <w:rPr>
                <w:rFonts w:ascii="Arial" w:hAnsi="Arial" w:cs="Arial"/>
                <w:sz w:val="20"/>
                <w:szCs w:val="20"/>
                <w:lang w:val="en-US"/>
              </w:rPr>
              <w:t>dehydrobenzperidol</w:t>
            </w:r>
            <w:proofErr w:type="spellEnd"/>
            <w:r w:rsidRPr="00D62F7E">
              <w:rPr>
                <w:rFonts w:ascii="Arial" w:hAnsi="Arial" w:cs="Arial"/>
                <w:sz w:val="20"/>
                <w:szCs w:val="20"/>
                <w:lang w:val="en-US"/>
              </w:rPr>
              <w:t xml:space="preserve"> ± ondansetron) in patients with a risk ≥20%. If PONV is present, multimodal treatment is given per protocol (ondansetron, dexamethasone, </w:t>
            </w:r>
            <w:proofErr w:type="spellStart"/>
            <w:r w:rsidRPr="00D62F7E">
              <w:rPr>
                <w:rFonts w:ascii="Arial" w:hAnsi="Arial" w:cs="Arial"/>
                <w:sz w:val="20"/>
                <w:szCs w:val="20"/>
                <w:lang w:val="en-US"/>
              </w:rPr>
              <w:t>dehydrobenzperidol</w:t>
            </w:r>
            <w:proofErr w:type="spellEnd"/>
            <w:r w:rsidRPr="00D62F7E">
              <w:rPr>
                <w:rFonts w:ascii="Arial" w:hAnsi="Arial" w:cs="Arial"/>
                <w:sz w:val="20"/>
                <w:szCs w:val="20"/>
                <w:lang w:val="en-US"/>
              </w:rPr>
              <w:t>, domperidone).</w:t>
            </w:r>
          </w:p>
        </w:tc>
      </w:tr>
      <w:tr w:rsidR="000F2D31" w:rsidRPr="00D62F7E" w14:paraId="5C26903B" w14:textId="77777777" w:rsidTr="00160E16">
        <w:trPr>
          <w:trHeight w:val="272"/>
        </w:trPr>
        <w:tc>
          <w:tcPr>
            <w:tcW w:w="0" w:type="auto"/>
          </w:tcPr>
          <w:p w14:paraId="56BD6597"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10</w:t>
            </w:r>
          </w:p>
        </w:tc>
        <w:tc>
          <w:tcPr>
            <w:tcW w:w="0" w:type="auto"/>
          </w:tcPr>
          <w:p w14:paraId="3AEF355C"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Laparoscopy and modifications of surgical access</w:t>
            </w:r>
          </w:p>
        </w:tc>
        <w:tc>
          <w:tcPr>
            <w:tcW w:w="0" w:type="auto"/>
          </w:tcPr>
          <w:p w14:paraId="05DEECA8"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Minimal invasive surgery is first choice.</w:t>
            </w:r>
          </w:p>
          <w:p w14:paraId="5429A187" w14:textId="77777777" w:rsidR="000F2D31" w:rsidRPr="00D62F7E" w:rsidRDefault="000F2D31" w:rsidP="00160E16">
            <w:pPr>
              <w:rPr>
                <w:rFonts w:ascii="Arial" w:hAnsi="Arial" w:cs="Arial"/>
                <w:sz w:val="20"/>
                <w:szCs w:val="20"/>
                <w:lang w:val="en-US"/>
              </w:rPr>
            </w:pPr>
          </w:p>
        </w:tc>
      </w:tr>
      <w:tr w:rsidR="000F2D31" w:rsidRPr="00D62F7E" w14:paraId="2BF0D43D" w14:textId="77777777" w:rsidTr="00160E16">
        <w:trPr>
          <w:trHeight w:val="272"/>
        </w:trPr>
        <w:tc>
          <w:tcPr>
            <w:tcW w:w="0" w:type="auto"/>
          </w:tcPr>
          <w:p w14:paraId="4E781F9E"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11</w:t>
            </w:r>
          </w:p>
        </w:tc>
        <w:tc>
          <w:tcPr>
            <w:tcW w:w="0" w:type="auto"/>
          </w:tcPr>
          <w:p w14:paraId="7161D7B9"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Nasogastric tubes</w:t>
            </w:r>
          </w:p>
        </w:tc>
        <w:tc>
          <w:tcPr>
            <w:tcW w:w="0" w:type="auto"/>
          </w:tcPr>
          <w:p w14:paraId="519DC08D"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Nasogastric tubes inserted during surgery are removed in the operating room.</w:t>
            </w:r>
          </w:p>
        </w:tc>
      </w:tr>
      <w:tr w:rsidR="000F2D31" w:rsidRPr="00D62F7E" w14:paraId="783B22BD" w14:textId="77777777" w:rsidTr="00160E16">
        <w:trPr>
          <w:trHeight w:val="272"/>
        </w:trPr>
        <w:tc>
          <w:tcPr>
            <w:tcW w:w="0" w:type="auto"/>
          </w:tcPr>
          <w:p w14:paraId="510AFB08"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12</w:t>
            </w:r>
          </w:p>
        </w:tc>
        <w:tc>
          <w:tcPr>
            <w:tcW w:w="0" w:type="auto"/>
          </w:tcPr>
          <w:p w14:paraId="2D4D37B3"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Preventing intraoperative hypothermia</w:t>
            </w:r>
          </w:p>
        </w:tc>
        <w:tc>
          <w:tcPr>
            <w:tcW w:w="0" w:type="auto"/>
          </w:tcPr>
          <w:p w14:paraId="065EA70C"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Intraoperative normothermia is maintained by using a bear-hugger and by warming intravenously administered fluids.</w:t>
            </w:r>
          </w:p>
        </w:tc>
      </w:tr>
      <w:tr w:rsidR="000F2D31" w:rsidRPr="00D62F7E" w14:paraId="7D505956" w14:textId="77777777" w:rsidTr="00160E16">
        <w:tc>
          <w:tcPr>
            <w:tcW w:w="0" w:type="auto"/>
          </w:tcPr>
          <w:p w14:paraId="0FB0B362"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13</w:t>
            </w:r>
          </w:p>
        </w:tc>
        <w:tc>
          <w:tcPr>
            <w:tcW w:w="0" w:type="auto"/>
          </w:tcPr>
          <w:p w14:paraId="08DE80DC"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Perioperative fluid management</w:t>
            </w:r>
          </w:p>
        </w:tc>
        <w:tc>
          <w:tcPr>
            <w:tcW w:w="0" w:type="auto"/>
          </w:tcPr>
          <w:p w14:paraId="5B022B9F"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 xml:space="preserve">Postoperatively intravenous fluids are administered per protocol (preferably balanced crystalloids). Fluid overload, as well as dehydration, are avoided (and closely monitored). Goal directed fluid therapy is used in extensive open surgical procedures and patients with severe cardiac comorbidity. Other patients receive intravenous fluids at 2-3 ml/kg/hour and compensation for blood loss with crystalloids. Vasopression is considered in epidural-induced hypotension (if the patient is normovolemic). Intravenous lines are discontinued as soon as possible (usually by POD 3, </w:t>
            </w:r>
            <w:r w:rsidRPr="00D62F7E">
              <w:rPr>
                <w:rFonts w:ascii="Arial" w:hAnsi="Arial" w:cs="Arial"/>
                <w:bCs/>
                <w:iCs/>
                <w:sz w:val="20"/>
                <w:szCs w:val="20"/>
                <w:lang w:val="en-US"/>
              </w:rPr>
              <w:t>provided that the PCEA or PCIA has been removed</w:t>
            </w:r>
            <w:r w:rsidRPr="00D62F7E">
              <w:rPr>
                <w:rFonts w:ascii="Arial" w:hAnsi="Arial" w:cs="Arial"/>
                <w:sz w:val="20"/>
                <w:szCs w:val="20"/>
                <w:lang w:val="en-US"/>
              </w:rPr>
              <w:t xml:space="preserve">). </w:t>
            </w:r>
          </w:p>
        </w:tc>
      </w:tr>
      <w:tr w:rsidR="000F2D31" w:rsidRPr="00D62F7E" w14:paraId="74C3D327" w14:textId="77777777" w:rsidTr="00160E16">
        <w:tc>
          <w:tcPr>
            <w:tcW w:w="0" w:type="auto"/>
          </w:tcPr>
          <w:p w14:paraId="0E802BA3"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14</w:t>
            </w:r>
          </w:p>
        </w:tc>
        <w:tc>
          <w:tcPr>
            <w:tcW w:w="0" w:type="auto"/>
          </w:tcPr>
          <w:p w14:paraId="6616B533"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Drain peritoneal cavity</w:t>
            </w:r>
          </w:p>
        </w:tc>
        <w:tc>
          <w:tcPr>
            <w:tcW w:w="0" w:type="auto"/>
          </w:tcPr>
          <w:p w14:paraId="10324D15"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No routine drainage of the peritoneal cavity in colonic surgery. In rectal surgery drainage is allowed.</w:t>
            </w:r>
          </w:p>
        </w:tc>
      </w:tr>
      <w:tr w:rsidR="000F2D31" w:rsidRPr="00D62F7E" w14:paraId="63E2F4B0" w14:textId="77777777" w:rsidTr="00160E16">
        <w:trPr>
          <w:trHeight w:val="269"/>
        </w:trPr>
        <w:tc>
          <w:tcPr>
            <w:tcW w:w="0" w:type="auto"/>
            <w:vMerge w:val="restart"/>
          </w:tcPr>
          <w:p w14:paraId="178865AC"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15</w:t>
            </w:r>
          </w:p>
        </w:tc>
        <w:tc>
          <w:tcPr>
            <w:tcW w:w="0" w:type="auto"/>
            <w:vMerge w:val="restart"/>
          </w:tcPr>
          <w:p w14:paraId="66B13D8A"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Urinary catheter</w:t>
            </w:r>
          </w:p>
          <w:p w14:paraId="3892D0F8" w14:textId="77777777" w:rsidR="000F2D31" w:rsidRPr="00D62F7E" w:rsidRDefault="000F2D31" w:rsidP="00160E16">
            <w:pPr>
              <w:rPr>
                <w:rFonts w:ascii="Arial" w:hAnsi="Arial" w:cs="Arial"/>
                <w:sz w:val="20"/>
                <w:szCs w:val="20"/>
                <w:lang w:val="en-US"/>
              </w:rPr>
            </w:pPr>
          </w:p>
        </w:tc>
        <w:tc>
          <w:tcPr>
            <w:tcW w:w="0" w:type="auto"/>
            <w:vMerge w:val="restart"/>
          </w:tcPr>
          <w:p w14:paraId="73677AE7" w14:textId="77777777" w:rsidR="000F2D31" w:rsidRPr="00D62F7E" w:rsidRDefault="000F2D31" w:rsidP="00160E16">
            <w:pPr>
              <w:autoSpaceDE w:val="0"/>
              <w:autoSpaceDN w:val="0"/>
              <w:adjustRightInd w:val="0"/>
              <w:rPr>
                <w:rFonts w:ascii="Arial" w:hAnsi="Arial" w:cs="Arial"/>
                <w:sz w:val="20"/>
                <w:szCs w:val="20"/>
                <w:lang w:val="en-US"/>
              </w:rPr>
            </w:pPr>
            <w:r w:rsidRPr="00D62F7E">
              <w:rPr>
                <w:rFonts w:ascii="Arial" w:hAnsi="Arial" w:cs="Arial"/>
                <w:sz w:val="20"/>
                <w:szCs w:val="20"/>
                <w:lang w:val="en-US"/>
              </w:rPr>
              <w:t xml:space="preserve">The urinary catheter is removed routinely by POD 1 in laparoscopic colonic surgery and by POD 3 in open colonic or in rectal surgery, or after cessation of the PCEA. </w:t>
            </w:r>
          </w:p>
        </w:tc>
      </w:tr>
      <w:tr w:rsidR="000F2D31" w:rsidRPr="00D62F7E" w14:paraId="0AEA2285" w14:textId="77777777" w:rsidTr="00160E16">
        <w:trPr>
          <w:trHeight w:val="245"/>
        </w:trPr>
        <w:tc>
          <w:tcPr>
            <w:tcW w:w="0" w:type="auto"/>
            <w:vMerge/>
          </w:tcPr>
          <w:p w14:paraId="14D1FF0C" w14:textId="77777777" w:rsidR="000F2D31" w:rsidRPr="00D62F7E" w:rsidRDefault="000F2D31" w:rsidP="00160E16">
            <w:pPr>
              <w:rPr>
                <w:rFonts w:ascii="Arial" w:hAnsi="Arial" w:cs="Arial"/>
                <w:sz w:val="20"/>
                <w:szCs w:val="20"/>
                <w:lang w:val="en-US"/>
              </w:rPr>
            </w:pPr>
          </w:p>
        </w:tc>
        <w:tc>
          <w:tcPr>
            <w:tcW w:w="0" w:type="auto"/>
            <w:vMerge/>
          </w:tcPr>
          <w:p w14:paraId="5732338B" w14:textId="77777777" w:rsidR="000F2D31" w:rsidRPr="00D62F7E" w:rsidRDefault="000F2D31" w:rsidP="00160E16">
            <w:pPr>
              <w:rPr>
                <w:rFonts w:ascii="Arial" w:hAnsi="Arial" w:cs="Arial"/>
                <w:sz w:val="20"/>
                <w:szCs w:val="20"/>
                <w:lang w:val="en-US"/>
              </w:rPr>
            </w:pPr>
          </w:p>
        </w:tc>
        <w:tc>
          <w:tcPr>
            <w:tcW w:w="0" w:type="auto"/>
            <w:vMerge/>
          </w:tcPr>
          <w:p w14:paraId="3BF04093" w14:textId="77777777" w:rsidR="000F2D31" w:rsidRPr="00D62F7E" w:rsidRDefault="000F2D31" w:rsidP="00160E16">
            <w:pPr>
              <w:rPr>
                <w:rFonts w:ascii="Arial" w:hAnsi="Arial" w:cs="Arial"/>
                <w:sz w:val="20"/>
                <w:szCs w:val="20"/>
                <w:lang w:val="en-US"/>
              </w:rPr>
            </w:pPr>
          </w:p>
        </w:tc>
      </w:tr>
      <w:tr w:rsidR="000F2D31" w:rsidRPr="00D62F7E" w14:paraId="4447B197" w14:textId="77777777" w:rsidTr="00160E16">
        <w:trPr>
          <w:trHeight w:val="1131"/>
        </w:trPr>
        <w:tc>
          <w:tcPr>
            <w:tcW w:w="0" w:type="auto"/>
          </w:tcPr>
          <w:p w14:paraId="533AF6FF"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16</w:t>
            </w:r>
          </w:p>
        </w:tc>
        <w:tc>
          <w:tcPr>
            <w:tcW w:w="0" w:type="auto"/>
          </w:tcPr>
          <w:p w14:paraId="182274B3"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Ileus prevention</w:t>
            </w:r>
          </w:p>
        </w:tc>
        <w:tc>
          <w:tcPr>
            <w:tcW w:w="0" w:type="auto"/>
          </w:tcPr>
          <w:p w14:paraId="7CE3A541" w14:textId="6A20AD4A"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 xml:space="preserve">Ileus is prevented by giving preference to laparoscopic surgery, by considering PCEA for open procedures, and by avoiding fluid overload and by avoiding routine nasogastric decompression. Chewing gum and </w:t>
            </w:r>
            <w:r w:rsidR="00D62F7E" w:rsidRPr="00D62F7E">
              <w:rPr>
                <w:rFonts w:ascii="Arial" w:hAnsi="Arial" w:cs="Arial"/>
                <w:sz w:val="20"/>
                <w:szCs w:val="20"/>
                <w:lang w:val="en-US"/>
              </w:rPr>
              <w:t>mobilization</w:t>
            </w:r>
            <w:r w:rsidRPr="00D62F7E">
              <w:rPr>
                <w:rFonts w:ascii="Arial" w:hAnsi="Arial" w:cs="Arial"/>
                <w:sz w:val="20"/>
                <w:szCs w:val="20"/>
                <w:lang w:val="en-US"/>
              </w:rPr>
              <w:t xml:space="preserve"> for patients developing ileus, laxatives in patients developing constipation.</w:t>
            </w:r>
          </w:p>
        </w:tc>
      </w:tr>
      <w:tr w:rsidR="000F2D31" w:rsidRPr="00D62F7E" w14:paraId="060F3EFC" w14:textId="77777777" w:rsidTr="00160E16">
        <w:trPr>
          <w:trHeight w:val="2124"/>
        </w:trPr>
        <w:tc>
          <w:tcPr>
            <w:tcW w:w="0" w:type="auto"/>
          </w:tcPr>
          <w:p w14:paraId="0D74B4D1"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lastRenderedPageBreak/>
              <w:t>17</w:t>
            </w:r>
          </w:p>
        </w:tc>
        <w:tc>
          <w:tcPr>
            <w:tcW w:w="0" w:type="auto"/>
          </w:tcPr>
          <w:p w14:paraId="514969ED"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Multimodal opioid sparing postoperative analgesia</w:t>
            </w:r>
          </w:p>
        </w:tc>
        <w:tc>
          <w:tcPr>
            <w:tcW w:w="0" w:type="auto"/>
          </w:tcPr>
          <w:p w14:paraId="08718530"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 xml:space="preserve">Patients receive a tailored analgesia protocol, composed of weak or strong opioids in combination with paracetamol and/or NSAIDs because of their opioid sparing effect. Patient-controlled epidural analgesia (PCEA) is routine in patients undergoing open surgery (if no contra-indication, such as anticoagulant therapy, severe back problems, infection of the puncture site, sepsis, or refusal by the patient). Patients undergoing laparoscopic surgery receive either PCEA (especially patients with an extensive history of Crohn’s or colitis </w:t>
            </w:r>
            <w:proofErr w:type="spellStart"/>
            <w:r w:rsidRPr="00D62F7E">
              <w:rPr>
                <w:rFonts w:ascii="Arial" w:hAnsi="Arial" w:cs="Arial"/>
                <w:sz w:val="20"/>
                <w:szCs w:val="20"/>
                <w:lang w:val="en-US"/>
              </w:rPr>
              <w:t>ulcerosa</w:t>
            </w:r>
            <w:proofErr w:type="spellEnd"/>
            <w:r w:rsidRPr="00D62F7E">
              <w:rPr>
                <w:rFonts w:ascii="Arial" w:hAnsi="Arial" w:cs="Arial"/>
                <w:sz w:val="20"/>
                <w:szCs w:val="20"/>
                <w:lang w:val="en-US"/>
              </w:rPr>
              <w:t xml:space="preserve">), patient-controlled intravenous analgesia (PCIA) or patient-controlled oral analgesia with </w:t>
            </w:r>
            <w:proofErr w:type="spellStart"/>
            <w:r w:rsidRPr="00D62F7E">
              <w:rPr>
                <w:rFonts w:ascii="Arial" w:hAnsi="Arial" w:cs="Arial"/>
                <w:sz w:val="20"/>
                <w:szCs w:val="20"/>
                <w:lang w:val="en-US"/>
              </w:rPr>
              <w:t>Sufentanil</w:t>
            </w:r>
            <w:proofErr w:type="spellEnd"/>
            <w:r w:rsidRPr="00D62F7E">
              <w:rPr>
                <w:rFonts w:ascii="Arial" w:hAnsi="Arial" w:cs="Arial"/>
                <w:sz w:val="20"/>
                <w:szCs w:val="20"/>
                <w:lang w:val="en-US"/>
              </w:rPr>
              <w:t xml:space="preserve"> (PCOA). PCE/IA is removed on POD 1 (laparoscopic surgery), POD 3 (open surgery) or POD 5 (APER). Special consideration to the most appropriate therapy is given in all patients aged over 75.</w:t>
            </w:r>
          </w:p>
        </w:tc>
      </w:tr>
      <w:tr w:rsidR="000F2D31" w:rsidRPr="00D62F7E" w14:paraId="6C6A5650" w14:textId="77777777" w:rsidTr="00160E16">
        <w:trPr>
          <w:trHeight w:val="1362"/>
        </w:trPr>
        <w:tc>
          <w:tcPr>
            <w:tcW w:w="0" w:type="auto"/>
            <w:tcBorders>
              <w:bottom w:val="single" w:sz="4" w:space="0" w:color="auto"/>
            </w:tcBorders>
          </w:tcPr>
          <w:p w14:paraId="11EFF409"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18</w:t>
            </w:r>
          </w:p>
        </w:tc>
        <w:tc>
          <w:tcPr>
            <w:tcW w:w="0" w:type="auto"/>
          </w:tcPr>
          <w:p w14:paraId="3D71B05F"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Early nutrition</w:t>
            </w:r>
          </w:p>
          <w:p w14:paraId="4D8801B4" w14:textId="77777777" w:rsidR="000F2D31" w:rsidRPr="00D62F7E" w:rsidRDefault="000F2D31" w:rsidP="00160E16">
            <w:pPr>
              <w:rPr>
                <w:rFonts w:ascii="Arial" w:hAnsi="Arial" w:cs="Arial"/>
                <w:sz w:val="20"/>
                <w:szCs w:val="20"/>
                <w:lang w:val="en-US"/>
              </w:rPr>
            </w:pPr>
          </w:p>
        </w:tc>
        <w:tc>
          <w:tcPr>
            <w:tcW w:w="0" w:type="auto"/>
            <w:tcBorders>
              <w:bottom w:val="single" w:sz="4" w:space="0" w:color="auto"/>
            </w:tcBorders>
          </w:tcPr>
          <w:p w14:paraId="75B64462" w14:textId="088D9C5B"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The Nutritional Risk Score (NRS-2002) is scored at admission to the hospital. Patients at risk for malnutrition are systematically seen by a dietician. Clear liquids are allowed on POD 0. Four to eight hours after surgery rusks are allowed. On POD 1 the patient receives a light breakfast (toast) and a light solid meal is allowed if this is well tolerated. From POD 2, the patient receives low-</w:t>
            </w:r>
            <w:r w:rsidR="00D62F7E" w:rsidRPr="00D62F7E">
              <w:rPr>
                <w:rFonts w:ascii="Arial" w:hAnsi="Arial" w:cs="Arial"/>
                <w:sz w:val="20"/>
                <w:szCs w:val="20"/>
                <w:lang w:val="en-US"/>
              </w:rPr>
              <w:t>fiber</w:t>
            </w:r>
            <w:r w:rsidRPr="00D62F7E">
              <w:rPr>
                <w:rFonts w:ascii="Arial" w:hAnsi="Arial" w:cs="Arial"/>
                <w:sz w:val="20"/>
                <w:szCs w:val="20"/>
                <w:lang w:val="en-US"/>
              </w:rPr>
              <w:t xml:space="preserve"> solid meals. From POD 1, the meals are supplemented with nutritional supplement drinks. </w:t>
            </w:r>
          </w:p>
        </w:tc>
      </w:tr>
      <w:tr w:rsidR="000F2D31" w:rsidRPr="00D62F7E" w14:paraId="6A92F7B3" w14:textId="77777777" w:rsidTr="00160E16">
        <w:tc>
          <w:tcPr>
            <w:tcW w:w="0" w:type="auto"/>
          </w:tcPr>
          <w:p w14:paraId="467E3EDC"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19</w:t>
            </w:r>
          </w:p>
        </w:tc>
        <w:tc>
          <w:tcPr>
            <w:tcW w:w="0" w:type="auto"/>
          </w:tcPr>
          <w:p w14:paraId="743E6B3D" w14:textId="6DF792BC"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 xml:space="preserve">Postoperative </w:t>
            </w:r>
            <w:r w:rsidR="00D62F7E" w:rsidRPr="00D62F7E">
              <w:rPr>
                <w:rFonts w:ascii="Arial" w:hAnsi="Arial" w:cs="Arial"/>
                <w:sz w:val="20"/>
                <w:szCs w:val="20"/>
                <w:lang w:val="en-US"/>
              </w:rPr>
              <w:t>glycemic</w:t>
            </w:r>
            <w:r w:rsidRPr="00D62F7E">
              <w:rPr>
                <w:rFonts w:ascii="Arial" w:hAnsi="Arial" w:cs="Arial"/>
                <w:sz w:val="20"/>
                <w:szCs w:val="20"/>
                <w:lang w:val="en-US"/>
              </w:rPr>
              <w:t xml:space="preserve"> control</w:t>
            </w:r>
          </w:p>
        </w:tc>
        <w:tc>
          <w:tcPr>
            <w:tcW w:w="0" w:type="auto"/>
          </w:tcPr>
          <w:p w14:paraId="19A503E4"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Blood glucose levels are monitored in diabetes patients. Insulin in is not given on the morning of surgery. Postoperatively patients with elevated glucose levels receive an insulin drip (usually until eating by mouth).</w:t>
            </w:r>
          </w:p>
        </w:tc>
      </w:tr>
      <w:tr w:rsidR="000F2D31" w:rsidRPr="00D62F7E" w14:paraId="095AB34D" w14:textId="77777777" w:rsidTr="00160E16">
        <w:trPr>
          <w:trHeight w:val="925"/>
        </w:trPr>
        <w:tc>
          <w:tcPr>
            <w:tcW w:w="0" w:type="auto"/>
          </w:tcPr>
          <w:p w14:paraId="23357EDF"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20</w:t>
            </w:r>
          </w:p>
        </w:tc>
        <w:tc>
          <w:tcPr>
            <w:tcW w:w="0" w:type="auto"/>
          </w:tcPr>
          <w:p w14:paraId="5650F99E" w14:textId="1EEBB63B"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 xml:space="preserve">Early </w:t>
            </w:r>
            <w:r w:rsidR="00D62F7E" w:rsidRPr="00D62F7E">
              <w:rPr>
                <w:rFonts w:ascii="Arial" w:hAnsi="Arial" w:cs="Arial"/>
                <w:sz w:val="20"/>
                <w:szCs w:val="20"/>
                <w:lang w:val="en-US"/>
              </w:rPr>
              <w:t>mobilization</w:t>
            </w:r>
          </w:p>
          <w:p w14:paraId="7B84FC9C" w14:textId="77777777" w:rsidR="000F2D31" w:rsidRPr="00D62F7E" w:rsidRDefault="000F2D31" w:rsidP="00160E16">
            <w:pPr>
              <w:rPr>
                <w:rFonts w:ascii="Arial" w:hAnsi="Arial" w:cs="Arial"/>
                <w:sz w:val="20"/>
                <w:szCs w:val="20"/>
                <w:lang w:val="en-US"/>
              </w:rPr>
            </w:pPr>
          </w:p>
        </w:tc>
        <w:tc>
          <w:tcPr>
            <w:tcW w:w="0" w:type="auto"/>
          </w:tcPr>
          <w:p w14:paraId="37DBE130" w14:textId="77777777" w:rsidR="000F2D31" w:rsidRPr="00D62F7E" w:rsidRDefault="000F2D31" w:rsidP="00160E16">
            <w:pPr>
              <w:rPr>
                <w:rFonts w:ascii="Arial" w:hAnsi="Arial" w:cs="Arial"/>
                <w:sz w:val="20"/>
                <w:szCs w:val="20"/>
                <w:lang w:val="en-US"/>
              </w:rPr>
            </w:pPr>
            <w:r w:rsidRPr="00D62F7E">
              <w:rPr>
                <w:rFonts w:ascii="Arial" w:hAnsi="Arial" w:cs="Arial"/>
                <w:sz w:val="20"/>
                <w:szCs w:val="20"/>
                <w:lang w:val="en-US"/>
              </w:rPr>
              <w:t xml:space="preserve">The day of surgery patients sit shortly on the edge of the bed with assistance of a nurse. The day after surgery the aim is to sit at least for two hours in a chair and by POD 2 patients should be walking in the room with the nurse. By POD 3 patients should walk to the bathroom and outside the room (with assistance if needed). </w:t>
            </w:r>
          </w:p>
        </w:tc>
      </w:tr>
      <w:tr w:rsidR="000F2D31" w:rsidRPr="00D62F7E" w14:paraId="66ED663B" w14:textId="77777777" w:rsidTr="00160E16">
        <w:trPr>
          <w:trHeight w:val="913"/>
        </w:trPr>
        <w:tc>
          <w:tcPr>
            <w:tcW w:w="0" w:type="auto"/>
            <w:gridSpan w:val="3"/>
          </w:tcPr>
          <w:p w14:paraId="779D41AC" w14:textId="544941F2" w:rsidR="000F2D31" w:rsidRPr="00D62F7E" w:rsidRDefault="000F2D31" w:rsidP="00B47A71">
            <w:pPr>
              <w:rPr>
                <w:rFonts w:ascii="Arial" w:hAnsi="Arial" w:cs="Arial"/>
                <w:sz w:val="20"/>
                <w:szCs w:val="20"/>
                <w:lang w:val="en-US"/>
              </w:rPr>
            </w:pPr>
            <w:r w:rsidRPr="00D62F7E">
              <w:rPr>
                <w:rFonts w:ascii="Arial" w:hAnsi="Arial" w:cs="Arial"/>
                <w:sz w:val="20"/>
                <w:szCs w:val="20"/>
                <w:lang w:val="en-US"/>
              </w:rPr>
              <w:t xml:space="preserve">LEGEND: APER: </w:t>
            </w:r>
            <w:proofErr w:type="spellStart"/>
            <w:r w:rsidRPr="00D62F7E">
              <w:rPr>
                <w:rFonts w:ascii="Arial" w:hAnsi="Arial" w:cs="Arial"/>
                <w:sz w:val="20"/>
                <w:szCs w:val="20"/>
                <w:shd w:val="clear" w:color="auto" w:fill="FFFFFF"/>
                <w:lang w:val="en-US"/>
              </w:rPr>
              <w:t>Abdomino</w:t>
            </w:r>
            <w:proofErr w:type="spellEnd"/>
            <w:r w:rsidRPr="00D62F7E">
              <w:rPr>
                <w:rFonts w:ascii="Arial" w:hAnsi="Arial" w:cs="Arial"/>
                <w:sz w:val="20"/>
                <w:szCs w:val="20"/>
                <w:shd w:val="clear" w:color="auto" w:fill="FFFFFF"/>
                <w:lang w:val="en-US"/>
              </w:rPr>
              <w:t xml:space="preserve">-Perineal Excision of Rectum; </w:t>
            </w:r>
            <w:r w:rsidRPr="00D62F7E">
              <w:rPr>
                <w:rFonts w:ascii="Arial" w:hAnsi="Arial" w:cs="Arial"/>
                <w:sz w:val="20"/>
                <w:szCs w:val="20"/>
                <w:lang w:val="en-US"/>
              </w:rPr>
              <w:t>ERP: enhanced recovery program; NRS: Nutritional Risk Score; NSAIDs: nonsteroidal anti-inflammatory drugs; PCEA: patient controlled epidural analgesia; PCIA: patient controlled intravenous analgesia; PCOA: patient controlled oral analgesia; POD: postoperative day; PONV: postoperative nausea and vomiting</w:t>
            </w:r>
          </w:p>
        </w:tc>
      </w:tr>
    </w:tbl>
    <w:p w14:paraId="3C77E44A" w14:textId="5E7DB237" w:rsidR="000F2D31" w:rsidRPr="00D62F7E" w:rsidRDefault="000F2D31" w:rsidP="000F2D31">
      <w:pPr>
        <w:rPr>
          <w:rFonts w:ascii="Arial" w:hAnsi="Arial" w:cs="Arial"/>
          <w:sz w:val="20"/>
          <w:szCs w:val="20"/>
          <w:lang w:val="en-US"/>
        </w:rPr>
      </w:pPr>
    </w:p>
    <w:p w14:paraId="525C041C" w14:textId="77777777" w:rsidR="000F2D31" w:rsidRPr="00D62F7E" w:rsidRDefault="000F2D31">
      <w:pPr>
        <w:rPr>
          <w:rFonts w:ascii="Arial" w:hAnsi="Arial" w:cs="Arial"/>
          <w:sz w:val="20"/>
          <w:szCs w:val="20"/>
          <w:lang w:val="en-US"/>
        </w:rPr>
      </w:pPr>
    </w:p>
    <w:sectPr w:rsidR="000F2D31" w:rsidRPr="00D62F7E" w:rsidSect="000F2D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48"/>
    <w:rsid w:val="00045E3C"/>
    <w:rsid w:val="000F2D31"/>
    <w:rsid w:val="00315C79"/>
    <w:rsid w:val="00475D52"/>
    <w:rsid w:val="004F6E1C"/>
    <w:rsid w:val="00522A0F"/>
    <w:rsid w:val="00563C78"/>
    <w:rsid w:val="006100F1"/>
    <w:rsid w:val="00853184"/>
    <w:rsid w:val="008F2348"/>
    <w:rsid w:val="00B47A71"/>
    <w:rsid w:val="00D62F7E"/>
    <w:rsid w:val="00D87BAC"/>
    <w:rsid w:val="00E01B3A"/>
    <w:rsid w:val="00F10940"/>
  </w:rsids>
  <m:mathPr>
    <m:mathFont m:val="Cambria Math"/>
    <m:brkBin m:val="before"/>
    <m:brkBinSub m:val="--"/>
    <m:smallFrac m:val="0"/>
    <m:dispDef/>
    <m:lMargin m:val="0"/>
    <m:rMargin m:val="0"/>
    <m:defJc m:val="centerGroup"/>
    <m:wrapIndent m:val="1440"/>
    <m:intLim m:val="subSup"/>
    <m:naryLim m:val="undOvr"/>
  </m:mathPr>
  <w:themeFontLang w:val="nl-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A94E"/>
  <w15:chartTrackingRefBased/>
  <w15:docId w15:val="{1F60DA3D-F0C4-4102-881E-FB343A01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D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D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8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Katleen Fagard</dc:creator>
  <cp:keywords/>
  <dc:description/>
  <cp:lastModifiedBy>Journal Production</cp:lastModifiedBy>
  <cp:revision>9</cp:revision>
  <dcterms:created xsi:type="dcterms:W3CDTF">2019-12-28T16:43:00Z</dcterms:created>
  <dcterms:modified xsi:type="dcterms:W3CDTF">2020-04-29T12:46:00Z</dcterms:modified>
</cp:coreProperties>
</file>