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B07883" w14:textId="3FC60D4F" w:rsidR="0029691D" w:rsidRPr="00860A38" w:rsidRDefault="000834CD" w:rsidP="004F0B7E">
      <w:pPr>
        <w:rPr>
          <w:sz w:val="20"/>
          <w:szCs w:val="20"/>
        </w:rPr>
      </w:pPr>
      <w:r w:rsidRPr="00860A38">
        <w:rPr>
          <w:sz w:val="20"/>
          <w:szCs w:val="20"/>
          <w:u w:val="single"/>
        </w:rPr>
        <w:t xml:space="preserve">Table </w:t>
      </w:r>
      <w:r w:rsidR="00D410F6">
        <w:rPr>
          <w:sz w:val="20"/>
          <w:szCs w:val="20"/>
          <w:u w:val="single"/>
        </w:rPr>
        <w:t>S</w:t>
      </w:r>
      <w:r w:rsidR="002B4498" w:rsidRPr="00860A38">
        <w:rPr>
          <w:sz w:val="20"/>
          <w:szCs w:val="20"/>
          <w:u w:val="single"/>
        </w:rPr>
        <w:t>4</w:t>
      </w:r>
      <w:r w:rsidR="00E64884">
        <w:rPr>
          <w:sz w:val="20"/>
          <w:szCs w:val="20"/>
        </w:rPr>
        <w:t xml:space="preserve">. </w:t>
      </w:r>
      <w:r w:rsidR="00823755" w:rsidRPr="00860A38">
        <w:rPr>
          <w:sz w:val="20"/>
          <w:szCs w:val="20"/>
        </w:rPr>
        <w:t>All-cause</w:t>
      </w:r>
      <w:r w:rsidRPr="00860A38">
        <w:rPr>
          <w:sz w:val="20"/>
          <w:szCs w:val="20"/>
        </w:rPr>
        <w:t xml:space="preserve"> suicide </w:t>
      </w:r>
      <w:r w:rsidR="00BE2162" w:rsidRPr="00860A38">
        <w:rPr>
          <w:sz w:val="20"/>
          <w:szCs w:val="20"/>
        </w:rPr>
        <w:t xml:space="preserve">deaths in the US that would be averted if the </w:t>
      </w:r>
      <w:r w:rsidR="00FB685C" w:rsidRPr="00860A38">
        <w:rPr>
          <w:sz w:val="20"/>
          <w:szCs w:val="20"/>
        </w:rPr>
        <w:t xml:space="preserve">US had the same </w:t>
      </w:r>
      <w:r w:rsidR="00BE2162" w:rsidRPr="00860A38">
        <w:rPr>
          <w:sz w:val="20"/>
          <w:szCs w:val="20"/>
        </w:rPr>
        <w:t>suicide rates as in</w:t>
      </w:r>
      <w:r w:rsidRPr="00860A38">
        <w:rPr>
          <w:sz w:val="20"/>
          <w:szCs w:val="20"/>
        </w:rPr>
        <w:t xml:space="preserve"> Canada, 2016, </w:t>
      </w:r>
      <w:r w:rsidR="00FB685C" w:rsidRPr="00860A38">
        <w:rPr>
          <w:sz w:val="20"/>
          <w:szCs w:val="20"/>
        </w:rPr>
        <w:t xml:space="preserve">among </w:t>
      </w:r>
      <w:r w:rsidRPr="00860A38">
        <w:rPr>
          <w:sz w:val="20"/>
          <w:szCs w:val="20"/>
        </w:rPr>
        <w:t>males aged 0-14</w:t>
      </w:r>
      <w:r w:rsidR="00E64884">
        <w:rPr>
          <w:sz w:val="20"/>
          <w:szCs w:val="20"/>
        </w:rPr>
        <w:t xml:space="preserve">. </w:t>
      </w:r>
    </w:p>
    <w:p w14:paraId="0E1D29DF" w14:textId="77777777" w:rsidR="006D59DC" w:rsidRPr="00860A38" w:rsidRDefault="006D59DC" w:rsidP="004F0B7E">
      <w:pPr>
        <w:rPr>
          <w:sz w:val="20"/>
          <w:szCs w:val="20"/>
        </w:rPr>
      </w:pPr>
    </w:p>
    <w:p w14:paraId="09FBF158" w14:textId="77777777" w:rsidR="00DF7CDA" w:rsidRPr="00860A38" w:rsidRDefault="00DF7CDA" w:rsidP="004F0B7E">
      <w:pPr>
        <w:rPr>
          <w:sz w:val="20"/>
          <w:szCs w:val="20"/>
          <w:u w:val="single"/>
        </w:rPr>
      </w:pPr>
    </w:p>
    <w:tbl>
      <w:tblPr>
        <w:tblStyle w:val="TableGrid"/>
        <w:tblW w:w="9882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512"/>
        <w:gridCol w:w="1170"/>
        <w:gridCol w:w="1710"/>
        <w:gridCol w:w="2430"/>
        <w:gridCol w:w="1440"/>
        <w:gridCol w:w="1620"/>
      </w:tblGrid>
      <w:tr w:rsidR="001117DD" w:rsidRPr="00A252A0" w14:paraId="4D445F66" w14:textId="77777777" w:rsidTr="001117DD">
        <w:trPr>
          <w:trHeight w:val="1592"/>
        </w:trPr>
        <w:tc>
          <w:tcPr>
            <w:tcW w:w="1512" w:type="dxa"/>
            <w:tcBorders>
              <w:left w:val="nil"/>
            </w:tcBorders>
            <w:vAlign w:val="center"/>
          </w:tcPr>
          <w:p w14:paraId="3DB2C83E" w14:textId="3388609E" w:rsidR="00036119" w:rsidRPr="00A252A0" w:rsidRDefault="00036119" w:rsidP="004F0B7E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A252A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Standardized US </w:t>
            </w:r>
            <w:r w:rsidR="003D5E35" w:rsidRPr="00A252A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suicide rate</w:t>
            </w:r>
            <w:r w:rsidRPr="00A252A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per 100,000</w:t>
            </w:r>
          </w:p>
        </w:tc>
        <w:tc>
          <w:tcPr>
            <w:tcW w:w="1170" w:type="dxa"/>
            <w:vAlign w:val="center"/>
          </w:tcPr>
          <w:p w14:paraId="0EB8B9B5" w14:textId="28865EC4" w:rsidR="00036119" w:rsidRPr="00A252A0" w:rsidRDefault="00036119" w:rsidP="004F0B7E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A252A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Canadian</w:t>
            </w:r>
            <w:r w:rsidR="003D5E35" w:rsidRPr="00A252A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suicide rate</w:t>
            </w:r>
            <w:r w:rsidRPr="00A252A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per 100,000</w:t>
            </w:r>
          </w:p>
        </w:tc>
        <w:tc>
          <w:tcPr>
            <w:tcW w:w="1710" w:type="dxa"/>
            <w:vAlign w:val="center"/>
          </w:tcPr>
          <w:p w14:paraId="5FB91DA8" w14:textId="45EE4305" w:rsidR="00036119" w:rsidRPr="00A252A0" w:rsidRDefault="00036119" w:rsidP="004F0B7E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A252A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Difference in rates (rate averted</w:t>
            </w:r>
            <w:r w:rsidR="003D5E35" w:rsidRPr="00A252A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per 100,000</w:t>
            </w:r>
            <w:r w:rsidRPr="00A252A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2430" w:type="dxa"/>
            <w:vAlign w:val="center"/>
          </w:tcPr>
          <w:p w14:paraId="5BB3AC1E" w14:textId="7A9F0BE9" w:rsidR="00036119" w:rsidRPr="00A252A0" w:rsidRDefault="00036119" w:rsidP="004F0B7E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A252A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Proportional difference (difference in rates divided by the US standardized rate)</w:t>
            </w:r>
          </w:p>
        </w:tc>
        <w:tc>
          <w:tcPr>
            <w:tcW w:w="1440" w:type="dxa"/>
            <w:vAlign w:val="center"/>
          </w:tcPr>
          <w:p w14:paraId="16DEDEEE" w14:textId="6F10D37F" w:rsidR="00036119" w:rsidRPr="00A252A0" w:rsidRDefault="008B558E" w:rsidP="004F0B7E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A252A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Number of observed</w:t>
            </w:r>
            <w:r w:rsidR="00036119" w:rsidRPr="00A252A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US deaths</w:t>
            </w:r>
          </w:p>
        </w:tc>
        <w:tc>
          <w:tcPr>
            <w:tcW w:w="1620" w:type="dxa"/>
            <w:tcBorders>
              <w:right w:val="nil"/>
            </w:tcBorders>
            <w:vAlign w:val="center"/>
          </w:tcPr>
          <w:p w14:paraId="7F1B16BD" w14:textId="2128DD84" w:rsidR="00036119" w:rsidRPr="00A252A0" w:rsidRDefault="003D5E35" w:rsidP="004F0B7E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A252A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Estimated </w:t>
            </w:r>
            <w:r w:rsidR="001117DD" w:rsidRPr="00A252A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number of </w:t>
            </w:r>
            <w:r w:rsidRPr="00A252A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d</w:t>
            </w:r>
            <w:r w:rsidR="00036119" w:rsidRPr="00A252A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eaths averted</w:t>
            </w:r>
          </w:p>
        </w:tc>
      </w:tr>
      <w:tr w:rsidR="001117DD" w:rsidRPr="00A252A0" w14:paraId="75F7ADA4" w14:textId="29A7FE08" w:rsidTr="001117DD">
        <w:trPr>
          <w:trHeight w:val="1520"/>
        </w:trPr>
        <w:tc>
          <w:tcPr>
            <w:tcW w:w="1512" w:type="dxa"/>
            <w:tcBorders>
              <w:left w:val="nil"/>
            </w:tcBorders>
            <w:vAlign w:val="center"/>
          </w:tcPr>
          <w:p w14:paraId="530CA6F1" w14:textId="02AD43DC" w:rsidR="00036119" w:rsidRPr="00A252A0" w:rsidRDefault="00036119" w:rsidP="004F0B7E">
            <w:pPr>
              <w:jc w:val="center"/>
              <w:rPr>
                <w:sz w:val="16"/>
                <w:szCs w:val="16"/>
                <w:u w:val="single"/>
              </w:rPr>
            </w:pPr>
            <w:r w:rsidRPr="00A252A0">
              <w:rPr>
                <w:rFonts w:eastAsia="Times New Roman"/>
                <w:color w:val="000000"/>
                <w:sz w:val="16"/>
                <w:szCs w:val="16"/>
              </w:rPr>
              <w:t>0</w:t>
            </w:r>
            <w:r w:rsidR="00F57736">
              <w:rPr>
                <w:rFonts w:eastAsia="Times New Roman"/>
                <w:color w:val="000000"/>
                <w:sz w:val="16"/>
                <w:szCs w:val="16"/>
              </w:rPr>
              <w:t>.</w:t>
            </w:r>
            <w:r w:rsidRPr="00A252A0">
              <w:rPr>
                <w:rFonts w:eastAsia="Times New Roman"/>
                <w:color w:val="000000"/>
                <w:sz w:val="16"/>
                <w:szCs w:val="16"/>
              </w:rPr>
              <w:t>929</w:t>
            </w:r>
            <w:r w:rsidR="008B558E" w:rsidRPr="00A252A0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70" w:type="dxa"/>
            <w:vAlign w:val="center"/>
          </w:tcPr>
          <w:p w14:paraId="276D520E" w14:textId="4325B9C6" w:rsidR="00036119" w:rsidRPr="00A252A0" w:rsidRDefault="00036119" w:rsidP="004F0B7E">
            <w:pPr>
              <w:jc w:val="center"/>
              <w:rPr>
                <w:sz w:val="16"/>
                <w:szCs w:val="16"/>
                <w:u w:val="single"/>
              </w:rPr>
            </w:pPr>
            <w:r w:rsidRPr="00A252A0">
              <w:rPr>
                <w:rFonts w:eastAsia="Times New Roman"/>
                <w:color w:val="000000"/>
                <w:sz w:val="16"/>
                <w:szCs w:val="16"/>
              </w:rPr>
              <w:t>0</w:t>
            </w:r>
            <w:r w:rsidR="00F57736">
              <w:rPr>
                <w:rFonts w:eastAsia="Times New Roman"/>
                <w:color w:val="000000"/>
                <w:sz w:val="16"/>
                <w:szCs w:val="16"/>
              </w:rPr>
              <w:t>.</w:t>
            </w:r>
            <w:r w:rsidRPr="00A252A0">
              <w:rPr>
                <w:rFonts w:eastAsia="Times New Roman"/>
                <w:color w:val="000000"/>
                <w:sz w:val="16"/>
                <w:szCs w:val="16"/>
              </w:rPr>
              <w:t>53</w:t>
            </w:r>
            <w:r w:rsidR="008B558E" w:rsidRPr="00A252A0">
              <w:rPr>
                <w:rFonts w:eastAsia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710" w:type="dxa"/>
            <w:vAlign w:val="center"/>
          </w:tcPr>
          <w:p w14:paraId="27F1A925" w14:textId="4351BE0D" w:rsidR="00036119" w:rsidRPr="00A252A0" w:rsidRDefault="00036119" w:rsidP="004F0B7E">
            <w:pPr>
              <w:jc w:val="center"/>
              <w:rPr>
                <w:sz w:val="16"/>
                <w:szCs w:val="16"/>
                <w:u w:val="single"/>
              </w:rPr>
            </w:pPr>
            <w:r w:rsidRPr="00A252A0">
              <w:rPr>
                <w:rFonts w:eastAsia="Times New Roman"/>
                <w:color w:val="000000"/>
                <w:sz w:val="16"/>
                <w:szCs w:val="16"/>
              </w:rPr>
              <w:t>0</w:t>
            </w:r>
            <w:r w:rsidR="00F57736">
              <w:rPr>
                <w:rFonts w:eastAsia="Times New Roman"/>
                <w:color w:val="000000"/>
                <w:sz w:val="16"/>
                <w:szCs w:val="16"/>
              </w:rPr>
              <w:t>.</w:t>
            </w:r>
            <w:r w:rsidRPr="00A252A0">
              <w:rPr>
                <w:rFonts w:eastAsia="Times New Roman"/>
                <w:color w:val="000000"/>
                <w:sz w:val="16"/>
                <w:szCs w:val="16"/>
              </w:rPr>
              <w:t>929</w:t>
            </w:r>
            <w:r w:rsidR="008B558E" w:rsidRPr="00A252A0">
              <w:rPr>
                <w:rFonts w:eastAsia="Times New Roman"/>
                <w:color w:val="000000"/>
                <w:sz w:val="16"/>
                <w:szCs w:val="16"/>
              </w:rPr>
              <w:t>2</w:t>
            </w:r>
            <w:r w:rsidRPr="00A252A0">
              <w:rPr>
                <w:rFonts w:eastAsia="Times New Roman"/>
                <w:color w:val="000000"/>
                <w:sz w:val="16"/>
                <w:szCs w:val="16"/>
              </w:rPr>
              <w:t xml:space="preserve"> - 0</w:t>
            </w:r>
            <w:r w:rsidR="00F57736">
              <w:rPr>
                <w:rFonts w:eastAsia="Times New Roman"/>
                <w:color w:val="000000"/>
                <w:sz w:val="16"/>
                <w:szCs w:val="16"/>
              </w:rPr>
              <w:t>.</w:t>
            </w:r>
            <w:r w:rsidRPr="00A252A0">
              <w:rPr>
                <w:rFonts w:eastAsia="Times New Roman"/>
                <w:color w:val="000000"/>
                <w:sz w:val="16"/>
                <w:szCs w:val="16"/>
              </w:rPr>
              <w:t>53</w:t>
            </w:r>
            <w:r w:rsidR="008B558E" w:rsidRPr="00A252A0">
              <w:rPr>
                <w:rFonts w:eastAsia="Times New Roman"/>
                <w:color w:val="000000"/>
                <w:sz w:val="16"/>
                <w:szCs w:val="16"/>
              </w:rPr>
              <w:t xml:space="preserve">46 </w:t>
            </w:r>
            <w:r w:rsidRPr="00A252A0">
              <w:rPr>
                <w:rFonts w:eastAsia="Times New Roman"/>
                <w:color w:val="000000"/>
                <w:sz w:val="16"/>
                <w:szCs w:val="16"/>
              </w:rPr>
              <w:t>= 0</w:t>
            </w:r>
            <w:r w:rsidR="00F57736">
              <w:rPr>
                <w:rFonts w:eastAsia="Times New Roman"/>
                <w:color w:val="000000"/>
                <w:sz w:val="16"/>
                <w:szCs w:val="16"/>
              </w:rPr>
              <w:t>.</w:t>
            </w:r>
            <w:r w:rsidRPr="00A252A0">
              <w:rPr>
                <w:rFonts w:eastAsia="Times New Roman"/>
                <w:color w:val="000000"/>
                <w:sz w:val="16"/>
                <w:szCs w:val="16"/>
              </w:rPr>
              <w:t>394</w:t>
            </w:r>
            <w:r w:rsidR="008B558E" w:rsidRPr="00A252A0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430" w:type="dxa"/>
            <w:vAlign w:val="center"/>
          </w:tcPr>
          <w:p w14:paraId="7CF2C3E8" w14:textId="27396AA8" w:rsidR="00036119" w:rsidRPr="00A252A0" w:rsidRDefault="008B558E" w:rsidP="004F0B7E">
            <w:pPr>
              <w:jc w:val="center"/>
              <w:rPr>
                <w:sz w:val="16"/>
                <w:szCs w:val="16"/>
                <w:u w:val="single"/>
              </w:rPr>
            </w:pPr>
            <w:r w:rsidRPr="00A252A0">
              <w:rPr>
                <w:rFonts w:eastAsia="Times New Roman"/>
                <w:color w:val="000000"/>
                <w:sz w:val="16"/>
                <w:szCs w:val="16"/>
              </w:rPr>
              <w:t>0</w:t>
            </w:r>
            <w:r w:rsidR="00F57736">
              <w:rPr>
                <w:rFonts w:eastAsia="Times New Roman"/>
                <w:color w:val="000000"/>
                <w:sz w:val="16"/>
                <w:szCs w:val="16"/>
              </w:rPr>
              <w:t>.</w:t>
            </w:r>
            <w:r w:rsidRPr="00A252A0">
              <w:rPr>
                <w:rFonts w:eastAsia="Times New Roman"/>
                <w:color w:val="000000"/>
                <w:sz w:val="16"/>
                <w:szCs w:val="16"/>
              </w:rPr>
              <w:t>3946 / 0</w:t>
            </w:r>
            <w:r w:rsidR="00F57736">
              <w:rPr>
                <w:rFonts w:eastAsia="Times New Roman"/>
                <w:color w:val="000000"/>
                <w:sz w:val="16"/>
                <w:szCs w:val="16"/>
              </w:rPr>
              <w:t>.</w:t>
            </w:r>
            <w:r w:rsidRPr="00A252A0">
              <w:rPr>
                <w:rFonts w:eastAsia="Times New Roman"/>
                <w:color w:val="000000"/>
                <w:sz w:val="16"/>
                <w:szCs w:val="16"/>
              </w:rPr>
              <w:t xml:space="preserve">9292 = </w:t>
            </w:r>
            <w:r w:rsidR="00036119" w:rsidRPr="00A252A0">
              <w:rPr>
                <w:rFonts w:eastAsia="Times New Roman"/>
                <w:color w:val="000000"/>
                <w:sz w:val="16"/>
                <w:szCs w:val="16"/>
              </w:rPr>
              <w:t>0</w:t>
            </w:r>
            <w:r w:rsidR="00F57736">
              <w:rPr>
                <w:rFonts w:eastAsia="Times New Roman"/>
                <w:color w:val="000000"/>
                <w:sz w:val="16"/>
                <w:szCs w:val="16"/>
              </w:rPr>
              <w:t>.</w:t>
            </w:r>
            <w:r w:rsidR="00036119" w:rsidRPr="00A252A0">
              <w:rPr>
                <w:rFonts w:eastAsia="Times New Roman"/>
                <w:color w:val="000000"/>
                <w:sz w:val="16"/>
                <w:szCs w:val="16"/>
              </w:rPr>
              <w:t>42</w:t>
            </w:r>
            <w:r w:rsidRPr="00A252A0">
              <w:rPr>
                <w:rFonts w:eastAsia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440" w:type="dxa"/>
            <w:vAlign w:val="center"/>
          </w:tcPr>
          <w:p w14:paraId="0852A8D3" w14:textId="283A3786" w:rsidR="00036119" w:rsidRPr="00A252A0" w:rsidRDefault="00036119" w:rsidP="004F0B7E">
            <w:pPr>
              <w:jc w:val="center"/>
              <w:rPr>
                <w:sz w:val="16"/>
                <w:szCs w:val="16"/>
                <w:u w:val="single"/>
              </w:rPr>
            </w:pPr>
            <w:r w:rsidRPr="00A252A0">
              <w:rPr>
                <w:rFonts w:eastAsia="Times New Roman"/>
                <w:color w:val="000000"/>
                <w:sz w:val="16"/>
                <w:szCs w:val="16"/>
              </w:rPr>
              <w:t>272</w:t>
            </w:r>
          </w:p>
        </w:tc>
        <w:tc>
          <w:tcPr>
            <w:tcW w:w="1620" w:type="dxa"/>
            <w:tcBorders>
              <w:right w:val="nil"/>
            </w:tcBorders>
            <w:vAlign w:val="center"/>
          </w:tcPr>
          <w:p w14:paraId="66235EC6" w14:textId="0A2EB838" w:rsidR="00036119" w:rsidRPr="00A252A0" w:rsidRDefault="008B558E" w:rsidP="004F0B7E">
            <w:pPr>
              <w:jc w:val="center"/>
              <w:rPr>
                <w:sz w:val="16"/>
                <w:szCs w:val="16"/>
                <w:u w:val="single"/>
              </w:rPr>
            </w:pPr>
            <w:r w:rsidRPr="00A252A0">
              <w:rPr>
                <w:rFonts w:eastAsia="Times New Roman"/>
                <w:color w:val="000000"/>
                <w:sz w:val="16"/>
                <w:szCs w:val="16"/>
              </w:rPr>
              <w:t>272 x 0</w:t>
            </w:r>
            <w:r w:rsidR="00F57736">
              <w:rPr>
                <w:rFonts w:eastAsia="Times New Roman"/>
                <w:color w:val="000000"/>
                <w:sz w:val="16"/>
                <w:szCs w:val="16"/>
              </w:rPr>
              <w:t>.</w:t>
            </w:r>
            <w:r w:rsidRPr="00A252A0">
              <w:rPr>
                <w:rFonts w:eastAsia="Times New Roman"/>
                <w:color w:val="000000"/>
                <w:sz w:val="16"/>
                <w:szCs w:val="16"/>
              </w:rPr>
              <w:t xml:space="preserve">4247 = </w:t>
            </w:r>
            <w:r w:rsidR="00036119" w:rsidRPr="00A252A0">
              <w:rPr>
                <w:rFonts w:eastAsia="Times New Roman"/>
                <w:color w:val="000000"/>
                <w:sz w:val="16"/>
                <w:szCs w:val="16"/>
              </w:rPr>
              <w:t>115</w:t>
            </w:r>
            <w:r w:rsidR="00F57736">
              <w:rPr>
                <w:rFonts w:eastAsia="Times New Roman"/>
                <w:color w:val="000000"/>
                <w:sz w:val="16"/>
                <w:szCs w:val="16"/>
              </w:rPr>
              <w:t>.</w:t>
            </w:r>
            <w:r w:rsidR="00036119" w:rsidRPr="00A252A0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</w:tr>
    </w:tbl>
    <w:p w14:paraId="3806548A" w14:textId="77777777" w:rsidR="000834CD" w:rsidRPr="00860A38" w:rsidRDefault="000834CD" w:rsidP="004F0B7E">
      <w:pPr>
        <w:rPr>
          <w:sz w:val="20"/>
          <w:szCs w:val="20"/>
          <w:u w:val="single"/>
        </w:rPr>
      </w:pPr>
    </w:p>
    <w:p w14:paraId="65E6096C" w14:textId="476C3773" w:rsidR="000834CD" w:rsidRPr="00860A38" w:rsidRDefault="000834CD" w:rsidP="004F0B7E">
      <w:pPr>
        <w:rPr>
          <w:sz w:val="20"/>
          <w:szCs w:val="20"/>
          <w:u w:val="single"/>
        </w:rPr>
      </w:pPr>
    </w:p>
    <w:p w14:paraId="1D980D52" w14:textId="77777777" w:rsidR="00863ACD" w:rsidRPr="00860A38" w:rsidRDefault="00863ACD" w:rsidP="004F0B7E">
      <w:pPr>
        <w:rPr>
          <w:sz w:val="20"/>
          <w:szCs w:val="20"/>
          <w:u w:val="single"/>
        </w:rPr>
      </w:pPr>
    </w:p>
    <w:p w14:paraId="41426A62" w14:textId="5A2BDD74" w:rsidR="00BA5A6B" w:rsidRPr="00860A38" w:rsidRDefault="00C231A6" w:rsidP="004F0B7E">
      <w:pPr>
        <w:rPr>
          <w:sz w:val="20"/>
          <w:szCs w:val="20"/>
        </w:rPr>
      </w:pPr>
      <w:r w:rsidRPr="00860A38">
        <w:rPr>
          <w:sz w:val="20"/>
          <w:szCs w:val="20"/>
        </w:rPr>
        <w:t>13</w:t>
      </w:r>
      <w:r w:rsidR="00E64884">
        <w:rPr>
          <w:sz w:val="20"/>
          <w:szCs w:val="20"/>
        </w:rPr>
        <w:t xml:space="preserve">. </w:t>
      </w:r>
      <w:r w:rsidRPr="00860A38">
        <w:rPr>
          <w:sz w:val="20"/>
          <w:szCs w:val="20"/>
        </w:rPr>
        <w:t xml:space="preserve">In order to calculate the total proportion of deaths averted (for </w:t>
      </w:r>
      <w:r w:rsidR="00BA5A6B" w:rsidRPr="00860A38">
        <w:rPr>
          <w:sz w:val="20"/>
          <w:szCs w:val="20"/>
        </w:rPr>
        <w:t>all</w:t>
      </w:r>
      <w:r w:rsidRPr="00860A38">
        <w:rPr>
          <w:sz w:val="20"/>
          <w:szCs w:val="20"/>
        </w:rPr>
        <w:t xml:space="preserve"> suicide deaths and firearm-specific suicide deaths) or total proportion</w:t>
      </w:r>
      <w:r w:rsidR="00BA5A6B" w:rsidRPr="00860A38">
        <w:rPr>
          <w:sz w:val="20"/>
          <w:szCs w:val="20"/>
        </w:rPr>
        <w:t>al</w:t>
      </w:r>
      <w:r w:rsidR="00935B42" w:rsidRPr="00860A38">
        <w:rPr>
          <w:sz w:val="20"/>
          <w:szCs w:val="20"/>
        </w:rPr>
        <w:t xml:space="preserve"> </w:t>
      </w:r>
      <w:r w:rsidRPr="00860A38">
        <w:rPr>
          <w:sz w:val="20"/>
          <w:szCs w:val="20"/>
        </w:rPr>
        <w:t>increase</w:t>
      </w:r>
      <w:r w:rsidR="00BA5A6B" w:rsidRPr="00860A38">
        <w:rPr>
          <w:sz w:val="20"/>
          <w:szCs w:val="20"/>
        </w:rPr>
        <w:t>s</w:t>
      </w:r>
      <w:r w:rsidRPr="00860A38">
        <w:rPr>
          <w:sz w:val="20"/>
          <w:szCs w:val="20"/>
        </w:rPr>
        <w:t xml:space="preserve"> (for non-firearm suicide deaths), we divided the number of deaths averted (or additional deaths) by the actual observed number of </w:t>
      </w:r>
      <w:r w:rsidR="00BA5A6B" w:rsidRPr="00860A38">
        <w:rPr>
          <w:sz w:val="20"/>
          <w:szCs w:val="20"/>
        </w:rPr>
        <w:t>suicides</w:t>
      </w:r>
      <w:r w:rsidRPr="00860A38">
        <w:rPr>
          <w:sz w:val="20"/>
          <w:szCs w:val="20"/>
        </w:rPr>
        <w:t xml:space="preserve"> in the US in each category</w:t>
      </w:r>
      <w:r w:rsidR="00935B42" w:rsidRPr="00860A38">
        <w:rPr>
          <w:sz w:val="20"/>
          <w:szCs w:val="20"/>
        </w:rPr>
        <w:t>, for men, women, and overall</w:t>
      </w:r>
      <w:r w:rsidR="003616CD">
        <w:rPr>
          <w:sz w:val="20"/>
          <w:szCs w:val="20"/>
        </w:rPr>
        <w:t>.</w:t>
      </w:r>
    </w:p>
    <w:p w14:paraId="2054FE90" w14:textId="77777777" w:rsidR="00735CC6" w:rsidRPr="00860A38" w:rsidRDefault="00735CC6" w:rsidP="004F0B7E">
      <w:pPr>
        <w:rPr>
          <w:sz w:val="20"/>
          <w:szCs w:val="20"/>
        </w:rPr>
      </w:pPr>
    </w:p>
    <w:p w14:paraId="1EA73196" w14:textId="2809F853" w:rsidR="00BA5A6B" w:rsidRPr="00860A38" w:rsidRDefault="00BA5A6B" w:rsidP="004F0B7E">
      <w:pPr>
        <w:rPr>
          <w:sz w:val="20"/>
          <w:szCs w:val="20"/>
        </w:rPr>
      </w:pPr>
    </w:p>
    <w:p w14:paraId="218860DF" w14:textId="7538D3C5" w:rsidR="00BA5A6B" w:rsidRPr="00860A38" w:rsidRDefault="00BA5A6B" w:rsidP="004F0B7E">
      <w:pPr>
        <w:rPr>
          <w:sz w:val="20"/>
          <w:szCs w:val="20"/>
        </w:rPr>
      </w:pPr>
      <w:r w:rsidRPr="00860A38">
        <w:rPr>
          <w:sz w:val="20"/>
          <w:szCs w:val="20"/>
        </w:rPr>
        <w:t>For example, for firearm suicide deaths among men, the sum across age groups for potential number of deaths averted was 9992</w:t>
      </w:r>
      <w:r w:rsidR="00F57736">
        <w:rPr>
          <w:sz w:val="20"/>
          <w:szCs w:val="20"/>
        </w:rPr>
        <w:t>.</w:t>
      </w:r>
      <w:r w:rsidRPr="00860A38">
        <w:rPr>
          <w:sz w:val="20"/>
          <w:szCs w:val="20"/>
        </w:rPr>
        <w:t>17, which we then divided by the observed number of firearm suicide deaths in the US among men of all age groups (34,725) to get 0</w:t>
      </w:r>
      <w:r w:rsidR="00F57736">
        <w:rPr>
          <w:sz w:val="20"/>
          <w:szCs w:val="20"/>
        </w:rPr>
        <w:t>.</w:t>
      </w:r>
      <w:r w:rsidRPr="00860A38">
        <w:rPr>
          <w:sz w:val="20"/>
          <w:szCs w:val="20"/>
        </w:rPr>
        <w:t xml:space="preserve">288, or roughly a 29% </w:t>
      </w:r>
      <w:r w:rsidR="00BD6B3E" w:rsidRPr="00860A38">
        <w:rPr>
          <w:sz w:val="20"/>
          <w:szCs w:val="20"/>
        </w:rPr>
        <w:t>decrease in firearm deaths among men if the US had the same rate of firearm deaths as in Canada</w:t>
      </w:r>
      <w:r w:rsidR="00E64884">
        <w:rPr>
          <w:sz w:val="20"/>
          <w:szCs w:val="20"/>
        </w:rPr>
        <w:t xml:space="preserve">. </w:t>
      </w:r>
    </w:p>
    <w:p w14:paraId="337591F2" w14:textId="0A030756" w:rsidR="00C231A6" w:rsidRPr="00860A38" w:rsidRDefault="00C231A6" w:rsidP="004F0B7E">
      <w:pPr>
        <w:rPr>
          <w:sz w:val="20"/>
          <w:szCs w:val="20"/>
        </w:rPr>
      </w:pPr>
      <w:bookmarkStart w:id="0" w:name="_GoBack"/>
      <w:bookmarkEnd w:id="0"/>
    </w:p>
    <w:p w14:paraId="1CB47C72" w14:textId="3676E384" w:rsidR="00106779" w:rsidRPr="00860A38" w:rsidRDefault="00106779" w:rsidP="003A6697">
      <w:pPr>
        <w:widowControl w:val="0"/>
        <w:autoSpaceDE w:val="0"/>
        <w:autoSpaceDN w:val="0"/>
        <w:adjustRightInd w:val="0"/>
        <w:ind w:left="640" w:hanging="640"/>
        <w:rPr>
          <w:sz w:val="20"/>
          <w:szCs w:val="20"/>
          <w:u w:val="single"/>
        </w:rPr>
      </w:pPr>
    </w:p>
    <w:sectPr w:rsidR="00106779" w:rsidRPr="00860A38" w:rsidSect="00B26793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AE95A3" w14:textId="77777777" w:rsidR="004F754B" w:rsidRDefault="004F754B" w:rsidP="00133E3E">
      <w:r>
        <w:separator/>
      </w:r>
    </w:p>
  </w:endnote>
  <w:endnote w:type="continuationSeparator" w:id="0">
    <w:p w14:paraId="309E548E" w14:textId="77777777" w:rsidR="004F754B" w:rsidRDefault="004F754B" w:rsidP="00133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166875709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4F12E4F" w14:textId="6A8A877B" w:rsidR="004A63E3" w:rsidRDefault="004A63E3" w:rsidP="00F2034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FB24441" w14:textId="77777777" w:rsidR="004A63E3" w:rsidRDefault="004A63E3" w:rsidP="004F0B7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113933723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1B13058" w14:textId="2CC28CC8" w:rsidR="004A63E3" w:rsidRDefault="004A63E3" w:rsidP="00F2034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4A63BE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114B004" w14:textId="77777777" w:rsidR="004A63E3" w:rsidRDefault="004A63E3" w:rsidP="004F0B7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49650C" w14:textId="77777777" w:rsidR="004F754B" w:rsidRDefault="004F754B" w:rsidP="00133E3E">
      <w:r>
        <w:separator/>
      </w:r>
    </w:p>
  </w:footnote>
  <w:footnote w:type="continuationSeparator" w:id="0">
    <w:p w14:paraId="48F76B53" w14:textId="77777777" w:rsidR="004F754B" w:rsidRDefault="004F754B" w:rsidP="00133E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574C6"/>
    <w:multiLevelType w:val="hybridMultilevel"/>
    <w:tmpl w:val="EEFCB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5D6EA8"/>
    <w:multiLevelType w:val="hybridMultilevel"/>
    <w:tmpl w:val="1A5EE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D5C"/>
    <w:rsid w:val="00002305"/>
    <w:rsid w:val="000306CB"/>
    <w:rsid w:val="00036119"/>
    <w:rsid w:val="0004206E"/>
    <w:rsid w:val="000468CE"/>
    <w:rsid w:val="00056C44"/>
    <w:rsid w:val="000603A5"/>
    <w:rsid w:val="00073E4F"/>
    <w:rsid w:val="000834CD"/>
    <w:rsid w:val="000867F8"/>
    <w:rsid w:val="000B2AE2"/>
    <w:rsid w:val="000B3BD6"/>
    <w:rsid w:val="000C057C"/>
    <w:rsid w:val="000C1084"/>
    <w:rsid w:val="000C225A"/>
    <w:rsid w:val="000C37B9"/>
    <w:rsid w:val="000E0762"/>
    <w:rsid w:val="000F7D4A"/>
    <w:rsid w:val="001056BF"/>
    <w:rsid w:val="00106779"/>
    <w:rsid w:val="001117DD"/>
    <w:rsid w:val="00112477"/>
    <w:rsid w:val="00121255"/>
    <w:rsid w:val="001224F3"/>
    <w:rsid w:val="00127482"/>
    <w:rsid w:val="00133E3E"/>
    <w:rsid w:val="00134A86"/>
    <w:rsid w:val="00137C6D"/>
    <w:rsid w:val="001436F4"/>
    <w:rsid w:val="00150338"/>
    <w:rsid w:val="00155C05"/>
    <w:rsid w:val="00160321"/>
    <w:rsid w:val="001619E3"/>
    <w:rsid w:val="0016290E"/>
    <w:rsid w:val="00171222"/>
    <w:rsid w:val="00185A30"/>
    <w:rsid w:val="001863A9"/>
    <w:rsid w:val="001868C6"/>
    <w:rsid w:val="00187595"/>
    <w:rsid w:val="00197AAD"/>
    <w:rsid w:val="001A4F01"/>
    <w:rsid w:val="001B1855"/>
    <w:rsid w:val="001B2231"/>
    <w:rsid w:val="001C0035"/>
    <w:rsid w:val="001C0D7D"/>
    <w:rsid w:val="001C54B2"/>
    <w:rsid w:val="001D1141"/>
    <w:rsid w:val="001D6148"/>
    <w:rsid w:val="001E03B0"/>
    <w:rsid w:val="001E0C18"/>
    <w:rsid w:val="001E26A2"/>
    <w:rsid w:val="00204790"/>
    <w:rsid w:val="0020483A"/>
    <w:rsid w:val="00210567"/>
    <w:rsid w:val="002135D6"/>
    <w:rsid w:val="002158E3"/>
    <w:rsid w:val="00222874"/>
    <w:rsid w:val="00222F52"/>
    <w:rsid w:val="00227A45"/>
    <w:rsid w:val="002341CB"/>
    <w:rsid w:val="0024795A"/>
    <w:rsid w:val="00254066"/>
    <w:rsid w:val="002638B5"/>
    <w:rsid w:val="00264AA9"/>
    <w:rsid w:val="00274A8B"/>
    <w:rsid w:val="002811E7"/>
    <w:rsid w:val="00281999"/>
    <w:rsid w:val="0029691D"/>
    <w:rsid w:val="002A3FC3"/>
    <w:rsid w:val="002B1A69"/>
    <w:rsid w:val="002B4079"/>
    <w:rsid w:val="002B4498"/>
    <w:rsid w:val="002C7421"/>
    <w:rsid w:val="002C7A5C"/>
    <w:rsid w:val="002D43DA"/>
    <w:rsid w:val="002D6527"/>
    <w:rsid w:val="002D67A4"/>
    <w:rsid w:val="002E1173"/>
    <w:rsid w:val="002F102D"/>
    <w:rsid w:val="00300FC0"/>
    <w:rsid w:val="003054A2"/>
    <w:rsid w:val="00312192"/>
    <w:rsid w:val="00314069"/>
    <w:rsid w:val="00332A91"/>
    <w:rsid w:val="00333E42"/>
    <w:rsid w:val="00335980"/>
    <w:rsid w:val="003372D7"/>
    <w:rsid w:val="0034560C"/>
    <w:rsid w:val="0035210E"/>
    <w:rsid w:val="00357CAF"/>
    <w:rsid w:val="003616CD"/>
    <w:rsid w:val="00372353"/>
    <w:rsid w:val="0038768D"/>
    <w:rsid w:val="00390E1B"/>
    <w:rsid w:val="003927C3"/>
    <w:rsid w:val="003927EF"/>
    <w:rsid w:val="003968BC"/>
    <w:rsid w:val="003A2A70"/>
    <w:rsid w:val="003A34FD"/>
    <w:rsid w:val="003A6697"/>
    <w:rsid w:val="003B73C7"/>
    <w:rsid w:val="003D5E35"/>
    <w:rsid w:val="003E05EC"/>
    <w:rsid w:val="003E1585"/>
    <w:rsid w:val="003E2B44"/>
    <w:rsid w:val="003E4B24"/>
    <w:rsid w:val="003F16B4"/>
    <w:rsid w:val="003F71D3"/>
    <w:rsid w:val="004100C4"/>
    <w:rsid w:val="00413A48"/>
    <w:rsid w:val="00413A5B"/>
    <w:rsid w:val="00414967"/>
    <w:rsid w:val="00420B89"/>
    <w:rsid w:val="00425834"/>
    <w:rsid w:val="004333F0"/>
    <w:rsid w:val="00444C4A"/>
    <w:rsid w:val="00446EB9"/>
    <w:rsid w:val="00451356"/>
    <w:rsid w:val="00456CDF"/>
    <w:rsid w:val="0045794C"/>
    <w:rsid w:val="00466A72"/>
    <w:rsid w:val="004800BC"/>
    <w:rsid w:val="0049574D"/>
    <w:rsid w:val="00497DBE"/>
    <w:rsid w:val="004A13FB"/>
    <w:rsid w:val="004A63BE"/>
    <w:rsid w:val="004A63E3"/>
    <w:rsid w:val="004B39A5"/>
    <w:rsid w:val="004D713B"/>
    <w:rsid w:val="004E34B7"/>
    <w:rsid w:val="004F0B7E"/>
    <w:rsid w:val="004F754B"/>
    <w:rsid w:val="005076C5"/>
    <w:rsid w:val="00511F17"/>
    <w:rsid w:val="00524BBF"/>
    <w:rsid w:val="005661D8"/>
    <w:rsid w:val="005811D1"/>
    <w:rsid w:val="00586BEA"/>
    <w:rsid w:val="005A386E"/>
    <w:rsid w:val="005B31B3"/>
    <w:rsid w:val="005D260F"/>
    <w:rsid w:val="005D7745"/>
    <w:rsid w:val="005E104B"/>
    <w:rsid w:val="005E2C85"/>
    <w:rsid w:val="005E747D"/>
    <w:rsid w:val="00600E53"/>
    <w:rsid w:val="00621A5A"/>
    <w:rsid w:val="00623ECA"/>
    <w:rsid w:val="006241B7"/>
    <w:rsid w:val="00643509"/>
    <w:rsid w:val="006457D6"/>
    <w:rsid w:val="00666CE1"/>
    <w:rsid w:val="00676494"/>
    <w:rsid w:val="00685093"/>
    <w:rsid w:val="006A2064"/>
    <w:rsid w:val="006B1156"/>
    <w:rsid w:val="006B4083"/>
    <w:rsid w:val="006C0D16"/>
    <w:rsid w:val="006C1FC2"/>
    <w:rsid w:val="006D59DC"/>
    <w:rsid w:val="006E20C6"/>
    <w:rsid w:val="006E40F4"/>
    <w:rsid w:val="006E5FC1"/>
    <w:rsid w:val="006F0A8D"/>
    <w:rsid w:val="006F6102"/>
    <w:rsid w:val="006F71C3"/>
    <w:rsid w:val="00703949"/>
    <w:rsid w:val="0070629F"/>
    <w:rsid w:val="00733B3C"/>
    <w:rsid w:val="0073465C"/>
    <w:rsid w:val="00735CC6"/>
    <w:rsid w:val="007371F0"/>
    <w:rsid w:val="007406D1"/>
    <w:rsid w:val="0074374D"/>
    <w:rsid w:val="00752E7B"/>
    <w:rsid w:val="0077664B"/>
    <w:rsid w:val="00783350"/>
    <w:rsid w:val="00785EFE"/>
    <w:rsid w:val="007A2028"/>
    <w:rsid w:val="007D2B7D"/>
    <w:rsid w:val="00807096"/>
    <w:rsid w:val="008157A5"/>
    <w:rsid w:val="00823755"/>
    <w:rsid w:val="00836491"/>
    <w:rsid w:val="00836DB2"/>
    <w:rsid w:val="00843830"/>
    <w:rsid w:val="00853337"/>
    <w:rsid w:val="00860A38"/>
    <w:rsid w:val="00863ACD"/>
    <w:rsid w:val="00880CBB"/>
    <w:rsid w:val="00881713"/>
    <w:rsid w:val="00884039"/>
    <w:rsid w:val="00886D9A"/>
    <w:rsid w:val="008B53AB"/>
    <w:rsid w:val="008B558E"/>
    <w:rsid w:val="008B6F77"/>
    <w:rsid w:val="008D354D"/>
    <w:rsid w:val="008D4E05"/>
    <w:rsid w:val="008F76B9"/>
    <w:rsid w:val="0090500D"/>
    <w:rsid w:val="00935B42"/>
    <w:rsid w:val="00935D74"/>
    <w:rsid w:val="00952A30"/>
    <w:rsid w:val="00955E20"/>
    <w:rsid w:val="009573D0"/>
    <w:rsid w:val="00961A6E"/>
    <w:rsid w:val="00964D1C"/>
    <w:rsid w:val="00964FE0"/>
    <w:rsid w:val="009815D4"/>
    <w:rsid w:val="00994B78"/>
    <w:rsid w:val="009A1C7C"/>
    <w:rsid w:val="009A3F27"/>
    <w:rsid w:val="009A5015"/>
    <w:rsid w:val="00A02451"/>
    <w:rsid w:val="00A056B2"/>
    <w:rsid w:val="00A11D2F"/>
    <w:rsid w:val="00A23A5A"/>
    <w:rsid w:val="00A252A0"/>
    <w:rsid w:val="00A31753"/>
    <w:rsid w:val="00A37B18"/>
    <w:rsid w:val="00A763D1"/>
    <w:rsid w:val="00AB63D5"/>
    <w:rsid w:val="00AD54E1"/>
    <w:rsid w:val="00AE0853"/>
    <w:rsid w:val="00AE0911"/>
    <w:rsid w:val="00AE3E9F"/>
    <w:rsid w:val="00AE5C3F"/>
    <w:rsid w:val="00AF1AE2"/>
    <w:rsid w:val="00AF50CB"/>
    <w:rsid w:val="00AF6658"/>
    <w:rsid w:val="00B07FCD"/>
    <w:rsid w:val="00B156E6"/>
    <w:rsid w:val="00B213B9"/>
    <w:rsid w:val="00B22E20"/>
    <w:rsid w:val="00B26793"/>
    <w:rsid w:val="00B32F8A"/>
    <w:rsid w:val="00B34E8C"/>
    <w:rsid w:val="00B4087D"/>
    <w:rsid w:val="00B5573A"/>
    <w:rsid w:val="00B75276"/>
    <w:rsid w:val="00BA5A6B"/>
    <w:rsid w:val="00BB5291"/>
    <w:rsid w:val="00BD2A3B"/>
    <w:rsid w:val="00BD6B3E"/>
    <w:rsid w:val="00BE2162"/>
    <w:rsid w:val="00C00EF5"/>
    <w:rsid w:val="00C055C2"/>
    <w:rsid w:val="00C11460"/>
    <w:rsid w:val="00C11D16"/>
    <w:rsid w:val="00C1475F"/>
    <w:rsid w:val="00C207EE"/>
    <w:rsid w:val="00C231A6"/>
    <w:rsid w:val="00C2546A"/>
    <w:rsid w:val="00C25BDC"/>
    <w:rsid w:val="00C27127"/>
    <w:rsid w:val="00C42B2B"/>
    <w:rsid w:val="00C652EE"/>
    <w:rsid w:val="00C77918"/>
    <w:rsid w:val="00C80A55"/>
    <w:rsid w:val="00CA77B1"/>
    <w:rsid w:val="00CC2890"/>
    <w:rsid w:val="00CD44D1"/>
    <w:rsid w:val="00CD44D3"/>
    <w:rsid w:val="00CE78D6"/>
    <w:rsid w:val="00CF0FE7"/>
    <w:rsid w:val="00CF2655"/>
    <w:rsid w:val="00CF2BA9"/>
    <w:rsid w:val="00CF2F86"/>
    <w:rsid w:val="00CF5145"/>
    <w:rsid w:val="00D0050E"/>
    <w:rsid w:val="00D05977"/>
    <w:rsid w:val="00D15BA0"/>
    <w:rsid w:val="00D27F95"/>
    <w:rsid w:val="00D410F6"/>
    <w:rsid w:val="00D45A72"/>
    <w:rsid w:val="00D67498"/>
    <w:rsid w:val="00D701BB"/>
    <w:rsid w:val="00D81F97"/>
    <w:rsid w:val="00D96C02"/>
    <w:rsid w:val="00DA3DA0"/>
    <w:rsid w:val="00DD5CD9"/>
    <w:rsid w:val="00DD797F"/>
    <w:rsid w:val="00DE3F6F"/>
    <w:rsid w:val="00DF38D3"/>
    <w:rsid w:val="00DF7CDA"/>
    <w:rsid w:val="00E02CB5"/>
    <w:rsid w:val="00E0316C"/>
    <w:rsid w:val="00E046FD"/>
    <w:rsid w:val="00E106EA"/>
    <w:rsid w:val="00E13ECC"/>
    <w:rsid w:val="00E30741"/>
    <w:rsid w:val="00E30CEF"/>
    <w:rsid w:val="00E31DA5"/>
    <w:rsid w:val="00E32DD8"/>
    <w:rsid w:val="00E340FE"/>
    <w:rsid w:val="00E34E9A"/>
    <w:rsid w:val="00E43E47"/>
    <w:rsid w:val="00E64884"/>
    <w:rsid w:val="00E9578B"/>
    <w:rsid w:val="00EA0076"/>
    <w:rsid w:val="00EA5C6F"/>
    <w:rsid w:val="00EC5DC9"/>
    <w:rsid w:val="00ED2B4D"/>
    <w:rsid w:val="00ED7343"/>
    <w:rsid w:val="00F01149"/>
    <w:rsid w:val="00F02143"/>
    <w:rsid w:val="00F033AA"/>
    <w:rsid w:val="00F03D5C"/>
    <w:rsid w:val="00F06569"/>
    <w:rsid w:val="00F0710D"/>
    <w:rsid w:val="00F2034F"/>
    <w:rsid w:val="00F32F99"/>
    <w:rsid w:val="00F46B01"/>
    <w:rsid w:val="00F55F42"/>
    <w:rsid w:val="00F57736"/>
    <w:rsid w:val="00F609C0"/>
    <w:rsid w:val="00F73D5C"/>
    <w:rsid w:val="00F76630"/>
    <w:rsid w:val="00F769E5"/>
    <w:rsid w:val="00F80018"/>
    <w:rsid w:val="00F90DE9"/>
    <w:rsid w:val="00F91A2A"/>
    <w:rsid w:val="00FA7330"/>
    <w:rsid w:val="00FB685C"/>
    <w:rsid w:val="00FC51D0"/>
    <w:rsid w:val="00FC5501"/>
    <w:rsid w:val="00FD1D0F"/>
    <w:rsid w:val="00FE7178"/>
    <w:rsid w:val="00FF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16507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069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D5C"/>
    <w:pPr>
      <w:ind w:left="720"/>
      <w:contextualSpacing/>
    </w:pPr>
    <w:rPr>
      <w:rFonts w:ascii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3D5"/>
    <w:rPr>
      <w:rFonts w:eastAsia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3D5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E5C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5C3F"/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5C3F"/>
    <w:rPr>
      <w:rFonts w:eastAsiaTheme="minorEastAsi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33E3E"/>
    <w:pPr>
      <w:tabs>
        <w:tab w:val="center" w:pos="4680"/>
        <w:tab w:val="right" w:pos="936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133E3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33E3E"/>
    <w:pPr>
      <w:tabs>
        <w:tab w:val="center" w:pos="4680"/>
        <w:tab w:val="right" w:pos="936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33E3E"/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7406D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7421"/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7421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036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4F0B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069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D5C"/>
    <w:pPr>
      <w:ind w:left="720"/>
      <w:contextualSpacing/>
    </w:pPr>
    <w:rPr>
      <w:rFonts w:ascii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3D5"/>
    <w:rPr>
      <w:rFonts w:eastAsia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3D5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E5C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5C3F"/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5C3F"/>
    <w:rPr>
      <w:rFonts w:eastAsiaTheme="minorEastAsi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33E3E"/>
    <w:pPr>
      <w:tabs>
        <w:tab w:val="center" w:pos="4680"/>
        <w:tab w:val="right" w:pos="936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133E3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33E3E"/>
    <w:pPr>
      <w:tabs>
        <w:tab w:val="center" w:pos="4680"/>
        <w:tab w:val="right" w:pos="936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33E3E"/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7406D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7421"/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7421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036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4F0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2CA2A14-E1D8-4F98-B8A6-AEF443E0B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Sampson, Laura Ann</dc:creator>
  <cp:keywords/>
  <dc:description/>
  <cp:lastModifiedBy>Guna Sankar</cp:lastModifiedBy>
  <cp:revision>4</cp:revision>
  <dcterms:created xsi:type="dcterms:W3CDTF">2020-03-09T17:42:00Z</dcterms:created>
  <dcterms:modified xsi:type="dcterms:W3CDTF">2020-04-23T15:09:00Z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02e3f957-7bf4-3c0e-a1eb-906a5951d056</vt:lpwstr>
  </property>
  <property fmtid="{D5CDD505-2E9C-101B-9397-08002B2CF9AE}" pid="4" name="Mendeley Citation Style_1">
    <vt:lpwstr>http://www.zotero.org/styles/american-medical-association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http://www.zotero.org/styles/bmj-open</vt:lpwstr>
  </property>
  <property fmtid="{D5CDD505-2E9C-101B-9397-08002B2CF9AE}" pid="12" name="Mendeley Recent Style Name 3_1">
    <vt:lpwstr>BMJ Open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16th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9th edition - Harvard</vt:lpwstr>
  </property>
  <property fmtid="{D5CDD505-2E9C-101B-9397-08002B2CF9AE}" pid="17" name="Mendeley Recent Style Id 6_1">
    <vt:lpwstr>http://www.zotero.org/styles/frontiers-in-psychiatry</vt:lpwstr>
  </property>
  <property fmtid="{D5CDD505-2E9C-101B-9397-08002B2CF9AE}" pid="18" name="Mendeley Recent Style Name 6_1">
    <vt:lpwstr>Frontiers in Psychiatry</vt:lpwstr>
  </property>
  <property fmtid="{D5CDD505-2E9C-101B-9397-08002B2CF9AE}" pid="19" name="Mendeley Recent Style Id 7_1">
    <vt:lpwstr>http://www.zotero.org/styles/ieee</vt:lpwstr>
  </property>
  <property fmtid="{D5CDD505-2E9C-101B-9397-08002B2CF9AE}" pid="20" name="Mendeley Recent Style Name 7_1">
    <vt:lpwstr>IEEE</vt:lpwstr>
  </property>
  <property fmtid="{D5CDD505-2E9C-101B-9397-08002B2CF9AE}" pid="21" name="Mendeley Recent Style Id 8_1">
    <vt:lpwstr>http://www.zotero.org/styles/springer-basic-brackets</vt:lpwstr>
  </property>
  <property fmtid="{D5CDD505-2E9C-101B-9397-08002B2CF9AE}" pid="22" name="Mendeley Recent Style Name 8_1">
    <vt:lpwstr>Springer - Basic (numeric, brackets)</vt:lpwstr>
  </property>
  <property fmtid="{D5CDD505-2E9C-101B-9397-08002B2CF9AE}" pid="23" name="Mendeley Recent Style Id 9_1">
    <vt:lpwstr>http://www.zotero.org/styles/vancouver</vt:lpwstr>
  </property>
  <property fmtid="{D5CDD505-2E9C-101B-9397-08002B2CF9AE}" pid="24" name="Mendeley Recent Style Name 9_1">
    <vt:lpwstr>Vancouver</vt:lpwstr>
  </property>
</Properties>
</file>