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E53BE" w14:textId="77777777" w:rsidR="002A3FC3" w:rsidRDefault="002A3FC3" w:rsidP="004F0B7E">
      <w:pPr>
        <w:rPr>
          <w:sz w:val="20"/>
          <w:szCs w:val="20"/>
          <w:u w:val="single"/>
        </w:rPr>
      </w:pPr>
    </w:p>
    <w:p w14:paraId="551E39D2" w14:textId="2A18784F" w:rsidR="00204790" w:rsidRDefault="002158E3" w:rsidP="004F0B7E">
      <w:pPr>
        <w:rPr>
          <w:sz w:val="20"/>
          <w:szCs w:val="20"/>
        </w:rPr>
      </w:pPr>
      <w:r w:rsidRPr="00860A38">
        <w:rPr>
          <w:sz w:val="20"/>
          <w:szCs w:val="20"/>
          <w:u w:val="single"/>
        </w:rPr>
        <w:t>Ta</w:t>
      </w:r>
      <w:r w:rsidR="00204790" w:rsidRPr="00860A38">
        <w:rPr>
          <w:sz w:val="20"/>
          <w:szCs w:val="20"/>
          <w:u w:val="single"/>
        </w:rPr>
        <w:t xml:space="preserve">ble </w:t>
      </w:r>
      <w:r w:rsidR="00D410F6">
        <w:rPr>
          <w:sz w:val="20"/>
          <w:szCs w:val="20"/>
          <w:u w:val="single"/>
        </w:rPr>
        <w:t>S</w:t>
      </w:r>
      <w:r w:rsidR="00DF38D3" w:rsidRPr="00860A38">
        <w:rPr>
          <w:sz w:val="20"/>
          <w:szCs w:val="20"/>
          <w:u w:val="single"/>
        </w:rPr>
        <w:t>3</w:t>
      </w:r>
      <w:r w:rsidR="00E64884">
        <w:rPr>
          <w:sz w:val="20"/>
          <w:szCs w:val="20"/>
        </w:rPr>
        <w:t xml:space="preserve">. </w:t>
      </w:r>
      <w:r w:rsidR="00E32DD8" w:rsidRPr="00860A38">
        <w:rPr>
          <w:sz w:val="20"/>
          <w:szCs w:val="20"/>
        </w:rPr>
        <w:t>Calculated f</w:t>
      </w:r>
      <w:r w:rsidR="00204790" w:rsidRPr="00860A38">
        <w:rPr>
          <w:sz w:val="20"/>
          <w:szCs w:val="20"/>
        </w:rPr>
        <w:t xml:space="preserve">irearm and non-firearm suicide rates in the US, standardized to the ethnic distribution of Canada, 2016, </w:t>
      </w:r>
      <w:r w:rsidR="00E32DD8" w:rsidRPr="00860A38">
        <w:rPr>
          <w:sz w:val="20"/>
          <w:szCs w:val="20"/>
        </w:rPr>
        <w:t>males aged 0-14</w:t>
      </w:r>
      <w:r w:rsidR="00E64884">
        <w:rPr>
          <w:sz w:val="20"/>
          <w:szCs w:val="20"/>
        </w:rPr>
        <w:t xml:space="preserve">. </w:t>
      </w:r>
    </w:p>
    <w:p w14:paraId="294C51D2" w14:textId="77777777" w:rsidR="002A3FC3" w:rsidRPr="00860A38" w:rsidRDefault="002A3FC3" w:rsidP="004F0B7E">
      <w:pPr>
        <w:rPr>
          <w:sz w:val="20"/>
          <w:szCs w:val="20"/>
        </w:rPr>
      </w:pPr>
    </w:p>
    <w:tbl>
      <w:tblPr>
        <w:tblW w:w="9810" w:type="dxa"/>
        <w:tblInd w:w="90" w:type="dxa"/>
        <w:tblLook w:val="04A0" w:firstRow="1" w:lastRow="0" w:firstColumn="1" w:lastColumn="0" w:noHBand="0" w:noVBand="1"/>
      </w:tblPr>
      <w:tblGrid>
        <w:gridCol w:w="4230"/>
        <w:gridCol w:w="4320"/>
        <w:gridCol w:w="1260"/>
      </w:tblGrid>
      <w:tr w:rsidR="00E32DD8" w:rsidRPr="00A252A0" w14:paraId="70E55E52" w14:textId="77777777" w:rsidTr="008B558E">
        <w:trPr>
          <w:trHeight w:val="963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03D6" w14:textId="77777777" w:rsidR="00204790" w:rsidRPr="00A252A0" w:rsidRDefault="00204790" w:rsidP="004F0B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Firearm suicide rate per 100,000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D45A" w14:textId="77777777" w:rsidR="00204790" w:rsidRPr="00A252A0" w:rsidRDefault="00204790" w:rsidP="004F0B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>Non-firearm suicide rate per 100,000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4F99" w14:textId="4B6833C3" w:rsidR="00204790" w:rsidRPr="00A252A0" w:rsidRDefault="00204790" w:rsidP="004F0B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52A0">
              <w:rPr>
                <w:b/>
                <w:bCs/>
                <w:color w:val="000000"/>
                <w:sz w:val="16"/>
                <w:szCs w:val="16"/>
              </w:rPr>
              <w:t xml:space="preserve">Total </w:t>
            </w:r>
            <w:r w:rsidR="002C7A5C" w:rsidRPr="00A252A0">
              <w:rPr>
                <w:b/>
                <w:bCs/>
                <w:color w:val="000000"/>
                <w:sz w:val="16"/>
                <w:szCs w:val="16"/>
              </w:rPr>
              <w:t xml:space="preserve">suicide </w:t>
            </w:r>
            <w:r w:rsidRPr="00A252A0">
              <w:rPr>
                <w:b/>
                <w:bCs/>
                <w:color w:val="000000"/>
                <w:sz w:val="16"/>
                <w:szCs w:val="16"/>
              </w:rPr>
              <w:t>rate per 100,000</w:t>
            </w:r>
          </w:p>
        </w:tc>
      </w:tr>
      <w:tr w:rsidR="00E32DD8" w:rsidRPr="00A252A0" w14:paraId="608FF42E" w14:textId="77777777" w:rsidTr="008B558E">
        <w:trPr>
          <w:trHeight w:val="2555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6368" w14:textId="76A449F7" w:rsidR="00204790" w:rsidRPr="00A252A0" w:rsidRDefault="00E32DD8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204790" w:rsidRPr="00A252A0">
              <w:rPr>
                <w:color w:val="000000"/>
                <w:sz w:val="16"/>
                <w:szCs w:val="16"/>
                <w:shd w:val="clear" w:color="auto" w:fill="FFFFFF"/>
              </w:rPr>
              <w:t>((287470</w:t>
            </w:r>
            <w:r w:rsidR="00155C05"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204790" w:rsidRPr="00A252A0">
              <w:rPr>
                <w:color w:val="000000"/>
                <w:sz w:val="16"/>
                <w:szCs w:val="16"/>
                <w:shd w:val="clear" w:color="auto" w:fill="FFFFFF"/>
              </w:rPr>
              <w:t>/</w:t>
            </w:r>
            <w:r w:rsidR="00155C05"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204790" w:rsidRPr="00A252A0">
              <w:rPr>
                <w:color w:val="000000"/>
                <w:sz w:val="16"/>
                <w:szCs w:val="16"/>
              </w:rPr>
              <w:t>2981145</w:t>
            </w:r>
            <w:r w:rsidR="00204790" w:rsidRPr="00A252A0">
              <w:rPr>
                <w:color w:val="000000"/>
                <w:sz w:val="16"/>
                <w:szCs w:val="16"/>
                <w:shd w:val="clear" w:color="auto" w:fill="FFFFFF"/>
              </w:rPr>
              <w:t>)  x  (3</w:t>
            </w:r>
            <w:r w:rsidR="00155C05"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204790" w:rsidRPr="00A252A0">
              <w:rPr>
                <w:color w:val="000000"/>
                <w:sz w:val="16"/>
                <w:szCs w:val="16"/>
                <w:shd w:val="clear" w:color="auto" w:fill="FFFFFF"/>
              </w:rPr>
              <w:t>/</w:t>
            </w:r>
            <w:r w:rsidR="00155C05"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204790" w:rsidRPr="00A252A0">
              <w:rPr>
                <w:color w:val="000000"/>
                <w:sz w:val="16"/>
                <w:szCs w:val="16"/>
                <w:shd w:val="clear" w:color="auto" w:fill="FFFFFF"/>
              </w:rPr>
              <w:t>585881))  +</w:t>
            </w:r>
          </w:p>
          <w:p w14:paraId="4ED24ABF" w14:textId="17B68650" w:rsidR="00204790" w:rsidRPr="00A252A0" w:rsidRDefault="00204790" w:rsidP="004F0B7E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48A638A" w14:textId="29401FB8" w:rsidR="00204790" w:rsidRPr="00A252A0" w:rsidRDefault="00204790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((161155</w:t>
            </w:r>
            <w:r w:rsidR="00155C05"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/</w:t>
            </w:r>
            <w:r w:rsidR="00155C05"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252A0">
              <w:rPr>
                <w:color w:val="000000"/>
                <w:sz w:val="16"/>
                <w:szCs w:val="16"/>
              </w:rPr>
              <w:t>2981145</w:t>
            </w: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)  x  (10</w:t>
            </w:r>
            <w:r w:rsidR="00155C05"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/</w:t>
            </w:r>
            <w:r w:rsidR="00155C05"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5196385))  +</w:t>
            </w:r>
          </w:p>
          <w:p w14:paraId="7C19A362" w14:textId="78EF095A" w:rsidR="00204790" w:rsidRPr="00A252A0" w:rsidRDefault="00204790" w:rsidP="004F0B7E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EF2C78C" w14:textId="0546A92D" w:rsidR="00E32DD8" w:rsidRPr="00A252A0" w:rsidRDefault="00204790" w:rsidP="004F0B7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((2532520</w:t>
            </w:r>
            <w:r w:rsidR="00155C05"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/</w:t>
            </w:r>
            <w:r w:rsidR="00155C05"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252A0">
              <w:rPr>
                <w:color w:val="000000"/>
                <w:sz w:val="16"/>
                <w:szCs w:val="16"/>
              </w:rPr>
              <w:t>2981145</w:t>
            </w: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)   x  (113</w:t>
            </w:r>
            <w:r w:rsidR="00155C05"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/</w:t>
            </w:r>
            <w:r w:rsidR="00155C05"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25353242))</w:t>
            </w:r>
            <w:r w:rsidR="00E32DD8" w:rsidRPr="00A252A0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14:paraId="208F4F63" w14:textId="77777777" w:rsidR="00E32DD8" w:rsidRPr="00A252A0" w:rsidRDefault="00E32DD8" w:rsidP="004F0B7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7E9DE959" w14:textId="7BE8890A" w:rsidR="00204790" w:rsidRPr="00A252A0" w:rsidRDefault="00E32DD8" w:rsidP="004F0B7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x 100,000</w:t>
            </w:r>
          </w:p>
          <w:p w14:paraId="4FC160A6" w14:textId="48A5A216" w:rsidR="00DA3DA0" w:rsidRPr="00A252A0" w:rsidRDefault="00DA3DA0" w:rsidP="004F0B7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0B0DFA30" w14:textId="6779CED3" w:rsidR="00204790" w:rsidRPr="00A252A0" w:rsidRDefault="00204790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= 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4384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BBA5" w14:textId="02D4D0FC" w:rsidR="00E32DD8" w:rsidRPr="00A252A0" w:rsidRDefault="00E32DD8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(((287470 / </w:t>
            </w:r>
            <w:r w:rsidRPr="00A252A0">
              <w:rPr>
                <w:color w:val="000000"/>
                <w:sz w:val="16"/>
                <w:szCs w:val="16"/>
              </w:rPr>
              <w:t>2981145</w:t>
            </w: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)  x  (</w:t>
            </w:r>
            <w:r w:rsidR="00D15BA0" w:rsidRPr="00A252A0">
              <w:rPr>
                <w:color w:val="000000"/>
                <w:sz w:val="16"/>
                <w:szCs w:val="16"/>
                <w:shd w:val="clear" w:color="auto" w:fill="FFFFFF"/>
              </w:rPr>
              <w:t>4</w:t>
            </w: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 / 585881))  +</w:t>
            </w:r>
          </w:p>
          <w:p w14:paraId="6B296FBF" w14:textId="3961F86A" w:rsidR="00E32DD8" w:rsidRPr="00A252A0" w:rsidRDefault="00E32DD8" w:rsidP="004F0B7E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FB0E52E" w14:textId="7E83BC12" w:rsidR="00E32DD8" w:rsidRPr="00A252A0" w:rsidRDefault="00E32DD8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((161155 / </w:t>
            </w:r>
            <w:r w:rsidRPr="00A252A0">
              <w:rPr>
                <w:color w:val="000000"/>
                <w:sz w:val="16"/>
                <w:szCs w:val="16"/>
              </w:rPr>
              <w:t>2981145</w:t>
            </w: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)  x  (</w:t>
            </w:r>
            <w:r w:rsidR="00D15BA0" w:rsidRPr="00A252A0">
              <w:rPr>
                <w:color w:val="000000"/>
                <w:sz w:val="16"/>
                <w:szCs w:val="16"/>
                <w:shd w:val="clear" w:color="auto" w:fill="FFFFFF"/>
              </w:rPr>
              <w:t>22</w:t>
            </w: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 / 5196385))  +</w:t>
            </w:r>
          </w:p>
          <w:p w14:paraId="3054D3AE" w14:textId="1ED2ECE9" w:rsidR="00E32DD8" w:rsidRPr="00A252A0" w:rsidRDefault="00E32DD8" w:rsidP="004F0B7E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1497601" w14:textId="1CD76F8D" w:rsidR="00E32DD8" w:rsidRPr="00A252A0" w:rsidRDefault="00E32DD8" w:rsidP="004F0B7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((2532520 / </w:t>
            </w:r>
            <w:r w:rsidRPr="00A252A0">
              <w:rPr>
                <w:color w:val="000000"/>
                <w:sz w:val="16"/>
                <w:szCs w:val="16"/>
              </w:rPr>
              <w:t>2981145</w:t>
            </w: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)   x  (</w:t>
            </w:r>
            <w:r w:rsidR="00D15BA0"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120 </w:t>
            </w: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/ 25353242)))</w:t>
            </w:r>
          </w:p>
          <w:p w14:paraId="3A40DC41" w14:textId="77777777" w:rsidR="00E32DD8" w:rsidRPr="00A252A0" w:rsidRDefault="00E32DD8" w:rsidP="004F0B7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654E85EC" w14:textId="1074A68C" w:rsidR="00E32DD8" w:rsidRPr="00A252A0" w:rsidRDefault="00E32DD8" w:rsidP="004F0B7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>x 100,000</w:t>
            </w:r>
          </w:p>
          <w:p w14:paraId="66260D58" w14:textId="5CDAC38E" w:rsidR="00E32DD8" w:rsidRPr="00A252A0" w:rsidRDefault="00E32DD8" w:rsidP="004F0B7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14:paraId="4F8D0F94" w14:textId="75650030" w:rsidR="00E32DD8" w:rsidRPr="00A252A0" w:rsidRDefault="00E32DD8" w:rsidP="004F0B7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252A0">
              <w:rPr>
                <w:color w:val="000000"/>
                <w:sz w:val="16"/>
                <w:szCs w:val="16"/>
                <w:shd w:val="clear" w:color="auto" w:fill="FFFFFF"/>
              </w:rPr>
              <w:t xml:space="preserve">= </w:t>
            </w:r>
            <w:r w:rsidR="00783350" w:rsidRPr="00A252A0">
              <w:rPr>
                <w:color w:val="000000"/>
                <w:sz w:val="16"/>
                <w:szCs w:val="16"/>
                <w:shd w:val="clear" w:color="auto" w:fill="FFFFFF"/>
              </w:rPr>
              <w:t>0</w:t>
            </w:r>
            <w:r w:rsidR="00F57736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783350" w:rsidRPr="00A252A0">
              <w:rPr>
                <w:color w:val="000000"/>
                <w:sz w:val="16"/>
                <w:szCs w:val="16"/>
                <w:shd w:val="clear" w:color="auto" w:fill="FFFFFF"/>
              </w:rPr>
              <w:t>4908</w:t>
            </w:r>
          </w:p>
          <w:p w14:paraId="3243CAD8" w14:textId="77777777" w:rsidR="00204790" w:rsidRPr="00A252A0" w:rsidRDefault="00204790" w:rsidP="004F0B7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30BD" w14:textId="2C7324BF" w:rsidR="00D15BA0" w:rsidRPr="00A252A0" w:rsidRDefault="00204790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4384 +</w:t>
            </w:r>
          </w:p>
          <w:p w14:paraId="611765E4" w14:textId="77777777" w:rsidR="00D15BA0" w:rsidRPr="00A252A0" w:rsidRDefault="00D15BA0" w:rsidP="004F0B7E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DC99E47" w14:textId="615A86CE" w:rsidR="00204790" w:rsidRPr="00A252A0" w:rsidRDefault="00204790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4908</w:t>
            </w:r>
            <w:r w:rsidR="006E20C6" w:rsidRPr="00A252A0">
              <w:rPr>
                <w:color w:val="000000"/>
                <w:sz w:val="16"/>
                <w:szCs w:val="16"/>
              </w:rPr>
              <w:t xml:space="preserve"> </w:t>
            </w:r>
            <w:r w:rsidRPr="00A252A0">
              <w:rPr>
                <w:color w:val="000000"/>
                <w:sz w:val="16"/>
                <w:szCs w:val="16"/>
              </w:rPr>
              <w:t>=</w:t>
            </w:r>
          </w:p>
          <w:p w14:paraId="1040DA11" w14:textId="77777777" w:rsidR="006E20C6" w:rsidRPr="00A252A0" w:rsidRDefault="006E20C6" w:rsidP="004F0B7E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AC9F384" w14:textId="3AB7FA36" w:rsidR="00204790" w:rsidRPr="00A252A0" w:rsidRDefault="00204790" w:rsidP="004F0B7E">
            <w:pPr>
              <w:jc w:val="center"/>
              <w:rPr>
                <w:color w:val="000000"/>
                <w:sz w:val="16"/>
                <w:szCs w:val="16"/>
              </w:rPr>
            </w:pPr>
            <w:r w:rsidRPr="00A252A0">
              <w:rPr>
                <w:color w:val="000000"/>
                <w:sz w:val="16"/>
                <w:szCs w:val="16"/>
              </w:rPr>
              <w:t>0</w:t>
            </w:r>
            <w:r w:rsidR="00F57736">
              <w:rPr>
                <w:color w:val="000000"/>
                <w:sz w:val="16"/>
                <w:szCs w:val="16"/>
              </w:rPr>
              <w:t>.</w:t>
            </w:r>
            <w:r w:rsidRPr="00A252A0">
              <w:rPr>
                <w:color w:val="000000"/>
                <w:sz w:val="16"/>
                <w:szCs w:val="16"/>
              </w:rPr>
              <w:t>9292</w:t>
            </w:r>
          </w:p>
        </w:tc>
      </w:tr>
    </w:tbl>
    <w:p w14:paraId="7572D5DB" w14:textId="77777777" w:rsidR="00204790" w:rsidRPr="00860A38" w:rsidRDefault="00204790" w:rsidP="004F0B7E">
      <w:pPr>
        <w:rPr>
          <w:sz w:val="20"/>
          <w:szCs w:val="20"/>
        </w:rPr>
      </w:pPr>
    </w:p>
    <w:p w14:paraId="542E1926" w14:textId="77777777" w:rsidR="00884039" w:rsidRPr="00860A38" w:rsidRDefault="00884039" w:rsidP="004F0B7E">
      <w:pPr>
        <w:rPr>
          <w:sz w:val="20"/>
          <w:szCs w:val="20"/>
          <w:u w:val="single"/>
        </w:rPr>
      </w:pPr>
    </w:p>
    <w:p w14:paraId="401DDA11" w14:textId="77777777" w:rsidR="008B558E" w:rsidRPr="00860A38" w:rsidRDefault="008B558E" w:rsidP="004F0B7E">
      <w:pPr>
        <w:rPr>
          <w:sz w:val="20"/>
          <w:szCs w:val="20"/>
          <w:u w:val="single"/>
        </w:rPr>
      </w:pPr>
    </w:p>
    <w:p w14:paraId="1D920593" w14:textId="0BF141B4" w:rsidR="003E4B24" w:rsidRPr="00860A38" w:rsidRDefault="00964D1C" w:rsidP="004F0B7E">
      <w:pPr>
        <w:rPr>
          <w:sz w:val="20"/>
          <w:szCs w:val="20"/>
        </w:rPr>
      </w:pPr>
      <w:r w:rsidRPr="00860A38">
        <w:rPr>
          <w:sz w:val="20"/>
          <w:szCs w:val="20"/>
        </w:rPr>
        <w:t>10</w:t>
      </w:r>
      <w:r w:rsidR="00E64884">
        <w:rPr>
          <w:sz w:val="20"/>
          <w:szCs w:val="20"/>
        </w:rPr>
        <w:t xml:space="preserve">. </w:t>
      </w:r>
      <w:r w:rsidRPr="00860A38">
        <w:rPr>
          <w:sz w:val="20"/>
          <w:szCs w:val="20"/>
        </w:rPr>
        <w:t>We calculated the potential rate</w:t>
      </w:r>
      <w:r w:rsidR="00D0050E" w:rsidRPr="00860A38">
        <w:rPr>
          <w:sz w:val="20"/>
          <w:szCs w:val="20"/>
        </w:rPr>
        <w:t>s</w:t>
      </w:r>
      <w:r w:rsidRPr="00860A38">
        <w:rPr>
          <w:sz w:val="20"/>
          <w:szCs w:val="20"/>
        </w:rPr>
        <w:t xml:space="preserve"> of suicide fatalities averted </w:t>
      </w:r>
      <w:r w:rsidR="00B213B9" w:rsidRPr="00860A38">
        <w:rPr>
          <w:sz w:val="20"/>
          <w:szCs w:val="20"/>
        </w:rPr>
        <w:t>if the US had the same suicide rate</w:t>
      </w:r>
      <w:r w:rsidR="00D0050E" w:rsidRPr="00860A38">
        <w:rPr>
          <w:sz w:val="20"/>
          <w:szCs w:val="20"/>
        </w:rPr>
        <w:t>s</w:t>
      </w:r>
      <w:r w:rsidR="00B213B9" w:rsidRPr="00860A38">
        <w:rPr>
          <w:sz w:val="20"/>
          <w:szCs w:val="20"/>
        </w:rPr>
        <w:t xml:space="preserve"> as in Canada </w:t>
      </w:r>
      <w:r w:rsidRPr="00860A38">
        <w:rPr>
          <w:sz w:val="20"/>
          <w:szCs w:val="20"/>
        </w:rPr>
        <w:t xml:space="preserve">by subtracting the </w:t>
      </w:r>
      <w:r w:rsidR="003372D7" w:rsidRPr="00860A38">
        <w:rPr>
          <w:sz w:val="20"/>
          <w:szCs w:val="20"/>
        </w:rPr>
        <w:t xml:space="preserve">Canadian suicide fatality rates from the </w:t>
      </w:r>
      <w:r w:rsidRPr="00860A38">
        <w:rPr>
          <w:sz w:val="20"/>
          <w:szCs w:val="20"/>
        </w:rPr>
        <w:t xml:space="preserve">US standardized suicide fatality rates </w:t>
      </w:r>
      <w:r w:rsidR="00880CBB" w:rsidRPr="00860A38">
        <w:rPr>
          <w:sz w:val="20"/>
          <w:szCs w:val="20"/>
        </w:rPr>
        <w:t>in</w:t>
      </w:r>
      <w:r w:rsidRPr="00860A38">
        <w:rPr>
          <w:sz w:val="20"/>
          <w:szCs w:val="20"/>
        </w:rPr>
        <w:t xml:space="preserve"> each sex-specific age group</w:t>
      </w:r>
      <w:r w:rsidR="00880CBB" w:rsidRPr="00860A38">
        <w:rPr>
          <w:sz w:val="20"/>
          <w:szCs w:val="20"/>
        </w:rPr>
        <w:t>,</w:t>
      </w:r>
      <w:r w:rsidRPr="00860A38">
        <w:rPr>
          <w:sz w:val="20"/>
          <w:szCs w:val="20"/>
        </w:rPr>
        <w:t xml:space="preserve"> for </w:t>
      </w:r>
      <w:r w:rsidR="00880CBB" w:rsidRPr="00860A38">
        <w:rPr>
          <w:sz w:val="20"/>
          <w:szCs w:val="20"/>
        </w:rPr>
        <w:t>over</w:t>
      </w:r>
      <w:r w:rsidRPr="00860A38">
        <w:rPr>
          <w:sz w:val="20"/>
          <w:szCs w:val="20"/>
        </w:rPr>
        <w:t xml:space="preserve">all suicide fatalities and for </w:t>
      </w:r>
      <w:r w:rsidR="00C25BDC" w:rsidRPr="00860A38">
        <w:rPr>
          <w:sz w:val="20"/>
          <w:szCs w:val="20"/>
        </w:rPr>
        <w:t>firearm</w:t>
      </w:r>
      <w:r w:rsidRPr="00860A38">
        <w:rPr>
          <w:sz w:val="20"/>
          <w:szCs w:val="20"/>
        </w:rPr>
        <w:t>-specific suicide fatalities</w:t>
      </w:r>
      <w:r w:rsidR="00E64884">
        <w:rPr>
          <w:sz w:val="20"/>
          <w:szCs w:val="20"/>
        </w:rPr>
        <w:t xml:space="preserve">. </w:t>
      </w:r>
      <w:r w:rsidR="00C25BDC" w:rsidRPr="00860A38">
        <w:rPr>
          <w:sz w:val="20"/>
          <w:szCs w:val="20"/>
        </w:rPr>
        <w:t>For non-firearm suicides, since the Canadian rates were higher than US rates, we subtracted the standardized US suicide fatality rates from the Canadian suicide fatality rates</w:t>
      </w:r>
      <w:r w:rsidR="004A13FB" w:rsidRPr="00860A38">
        <w:rPr>
          <w:sz w:val="20"/>
          <w:szCs w:val="20"/>
        </w:rPr>
        <w:t>,</w:t>
      </w:r>
      <w:r w:rsidR="00C25BDC" w:rsidRPr="00860A38">
        <w:rPr>
          <w:sz w:val="20"/>
          <w:szCs w:val="20"/>
        </w:rPr>
        <w:t xml:space="preserve"> in order to calculate the</w:t>
      </w:r>
      <w:r w:rsidR="00D0050E" w:rsidRPr="00860A38">
        <w:rPr>
          <w:sz w:val="20"/>
          <w:szCs w:val="20"/>
        </w:rPr>
        <w:t xml:space="preserve"> rate</w:t>
      </w:r>
      <w:r w:rsidR="000867F8" w:rsidRPr="00860A38">
        <w:rPr>
          <w:sz w:val="20"/>
          <w:szCs w:val="20"/>
        </w:rPr>
        <w:t>s</w:t>
      </w:r>
      <w:r w:rsidR="00D0050E" w:rsidRPr="00860A38">
        <w:rPr>
          <w:sz w:val="20"/>
          <w:szCs w:val="20"/>
        </w:rPr>
        <w:t xml:space="preserve"> of</w:t>
      </w:r>
      <w:r w:rsidR="00C25BDC" w:rsidRPr="00860A38">
        <w:rPr>
          <w:sz w:val="20"/>
          <w:szCs w:val="20"/>
        </w:rPr>
        <w:t xml:space="preserve"> </w:t>
      </w:r>
      <w:r w:rsidR="002B1A69" w:rsidRPr="00860A38">
        <w:rPr>
          <w:sz w:val="20"/>
          <w:szCs w:val="20"/>
        </w:rPr>
        <w:t xml:space="preserve">potential </w:t>
      </w:r>
      <w:r w:rsidR="00C25BDC" w:rsidRPr="00860A38">
        <w:rPr>
          <w:i/>
          <w:sz w:val="20"/>
          <w:szCs w:val="20"/>
        </w:rPr>
        <w:t>additional</w:t>
      </w:r>
      <w:r w:rsidR="00C25BDC" w:rsidRPr="00860A38">
        <w:rPr>
          <w:sz w:val="20"/>
          <w:szCs w:val="20"/>
        </w:rPr>
        <w:t xml:space="preserve"> non-firearm deaths, instead of the </w:t>
      </w:r>
      <w:r w:rsidR="000867F8" w:rsidRPr="00860A38">
        <w:rPr>
          <w:sz w:val="20"/>
          <w:szCs w:val="20"/>
        </w:rPr>
        <w:t>rates</w:t>
      </w:r>
      <w:r w:rsidR="00C25BDC" w:rsidRPr="00860A38">
        <w:rPr>
          <w:sz w:val="20"/>
          <w:szCs w:val="20"/>
        </w:rPr>
        <w:t xml:space="preserve"> of deaths averted</w:t>
      </w:r>
      <w:r w:rsidR="00425834">
        <w:rPr>
          <w:sz w:val="20"/>
          <w:szCs w:val="20"/>
        </w:rPr>
        <w:t>.</w:t>
      </w:r>
    </w:p>
    <w:p w14:paraId="28A3EB7C" w14:textId="773582B9" w:rsidR="00964D1C" w:rsidRPr="00860A38" w:rsidRDefault="00964D1C" w:rsidP="004F0B7E">
      <w:pPr>
        <w:rPr>
          <w:sz w:val="20"/>
          <w:szCs w:val="20"/>
        </w:rPr>
      </w:pPr>
    </w:p>
    <w:p w14:paraId="5AE4ED44" w14:textId="77777777" w:rsidR="00121255" w:rsidRPr="00860A38" w:rsidRDefault="00121255" w:rsidP="004F0B7E">
      <w:pPr>
        <w:rPr>
          <w:sz w:val="20"/>
          <w:szCs w:val="20"/>
        </w:rPr>
      </w:pPr>
    </w:p>
    <w:p w14:paraId="5CC80CB2" w14:textId="39EBB9B0" w:rsidR="00964D1C" w:rsidRPr="00860A38" w:rsidRDefault="00964D1C" w:rsidP="004F0B7E">
      <w:pPr>
        <w:rPr>
          <w:sz w:val="20"/>
          <w:szCs w:val="20"/>
        </w:rPr>
      </w:pPr>
      <w:r w:rsidRPr="00860A38">
        <w:rPr>
          <w:sz w:val="20"/>
          <w:szCs w:val="20"/>
        </w:rPr>
        <w:t>11</w:t>
      </w:r>
      <w:r w:rsidR="00E64884">
        <w:rPr>
          <w:sz w:val="20"/>
          <w:szCs w:val="20"/>
        </w:rPr>
        <w:t xml:space="preserve">. </w:t>
      </w:r>
      <w:r w:rsidRPr="00860A38">
        <w:rPr>
          <w:sz w:val="20"/>
          <w:szCs w:val="20"/>
        </w:rPr>
        <w:t xml:space="preserve">We estimated the </w:t>
      </w:r>
      <w:r w:rsidR="003F16B4" w:rsidRPr="00860A38">
        <w:rPr>
          <w:sz w:val="20"/>
          <w:szCs w:val="20"/>
        </w:rPr>
        <w:t xml:space="preserve">age- and sex-specific </w:t>
      </w:r>
      <w:r w:rsidRPr="00860A38">
        <w:rPr>
          <w:sz w:val="20"/>
          <w:szCs w:val="20"/>
        </w:rPr>
        <w:t>proportion</w:t>
      </w:r>
      <w:r w:rsidR="003F16B4" w:rsidRPr="00860A38">
        <w:rPr>
          <w:sz w:val="20"/>
          <w:szCs w:val="20"/>
        </w:rPr>
        <w:t>s</w:t>
      </w:r>
      <w:r w:rsidRPr="00860A38">
        <w:rPr>
          <w:sz w:val="20"/>
          <w:szCs w:val="20"/>
        </w:rPr>
        <w:t xml:space="preserve"> of suicide fatalities that would be averted</w:t>
      </w:r>
      <w:r w:rsidR="000867F8" w:rsidRPr="00860A38">
        <w:rPr>
          <w:sz w:val="20"/>
          <w:szCs w:val="20"/>
        </w:rPr>
        <w:t xml:space="preserve"> (or proportion</w:t>
      </w:r>
      <w:r w:rsidR="00210567" w:rsidRPr="00860A38">
        <w:rPr>
          <w:sz w:val="20"/>
          <w:szCs w:val="20"/>
        </w:rPr>
        <w:t>al</w:t>
      </w:r>
      <w:r w:rsidR="000867F8" w:rsidRPr="00860A38">
        <w:rPr>
          <w:sz w:val="20"/>
          <w:szCs w:val="20"/>
        </w:rPr>
        <w:t xml:space="preserve"> increase</w:t>
      </w:r>
      <w:r w:rsidR="00210567" w:rsidRPr="00860A38">
        <w:rPr>
          <w:sz w:val="20"/>
          <w:szCs w:val="20"/>
        </w:rPr>
        <w:t>s</w:t>
      </w:r>
      <w:r w:rsidR="000867F8" w:rsidRPr="00860A38">
        <w:rPr>
          <w:sz w:val="20"/>
          <w:szCs w:val="20"/>
        </w:rPr>
        <w:t>, for non-firearm deaths)</w:t>
      </w:r>
      <w:r w:rsidRPr="00860A38">
        <w:rPr>
          <w:sz w:val="20"/>
          <w:szCs w:val="20"/>
        </w:rPr>
        <w:t xml:space="preserve"> by dividing </w:t>
      </w:r>
      <w:r w:rsidR="001C0035" w:rsidRPr="00860A38">
        <w:rPr>
          <w:sz w:val="20"/>
          <w:szCs w:val="20"/>
        </w:rPr>
        <w:t>the</w:t>
      </w:r>
      <w:r w:rsidR="003372D7" w:rsidRPr="00860A38">
        <w:rPr>
          <w:sz w:val="20"/>
          <w:szCs w:val="20"/>
        </w:rPr>
        <w:t xml:space="preserve"> </w:t>
      </w:r>
      <w:r w:rsidR="000867F8" w:rsidRPr="00860A38">
        <w:rPr>
          <w:sz w:val="20"/>
          <w:szCs w:val="20"/>
        </w:rPr>
        <w:t>rate difference</w:t>
      </w:r>
      <w:r w:rsidR="004A13FB" w:rsidRPr="00860A38">
        <w:rPr>
          <w:sz w:val="20"/>
          <w:szCs w:val="20"/>
        </w:rPr>
        <w:t>s</w:t>
      </w:r>
      <w:r w:rsidRPr="00860A38">
        <w:rPr>
          <w:sz w:val="20"/>
          <w:szCs w:val="20"/>
        </w:rPr>
        <w:t xml:space="preserve"> (from step 10) in each sex-specific age group </w:t>
      </w:r>
      <w:r w:rsidR="001E26A2" w:rsidRPr="00860A38">
        <w:rPr>
          <w:sz w:val="20"/>
          <w:szCs w:val="20"/>
        </w:rPr>
        <w:t xml:space="preserve">by the US </w:t>
      </w:r>
      <w:r w:rsidR="00B213B9" w:rsidRPr="00860A38">
        <w:rPr>
          <w:sz w:val="20"/>
          <w:szCs w:val="20"/>
        </w:rPr>
        <w:t xml:space="preserve">standardized </w:t>
      </w:r>
      <w:r w:rsidR="001E26A2" w:rsidRPr="00860A38">
        <w:rPr>
          <w:sz w:val="20"/>
          <w:szCs w:val="20"/>
        </w:rPr>
        <w:t>rate</w:t>
      </w:r>
      <w:r w:rsidR="004A13FB" w:rsidRPr="00860A38">
        <w:rPr>
          <w:sz w:val="20"/>
          <w:szCs w:val="20"/>
        </w:rPr>
        <w:t>s</w:t>
      </w:r>
      <w:r w:rsidR="001E26A2" w:rsidRPr="00860A38">
        <w:rPr>
          <w:sz w:val="20"/>
          <w:szCs w:val="20"/>
        </w:rPr>
        <w:t xml:space="preserve"> </w:t>
      </w:r>
      <w:r w:rsidR="002638B5" w:rsidRPr="00860A38">
        <w:rPr>
          <w:sz w:val="20"/>
          <w:szCs w:val="20"/>
        </w:rPr>
        <w:t xml:space="preserve">of </w:t>
      </w:r>
      <w:r w:rsidRPr="00860A38">
        <w:rPr>
          <w:sz w:val="20"/>
          <w:szCs w:val="20"/>
        </w:rPr>
        <w:t>suicide fatalities</w:t>
      </w:r>
      <w:r w:rsidR="004A13FB" w:rsidRPr="00860A38">
        <w:rPr>
          <w:sz w:val="20"/>
          <w:szCs w:val="20"/>
        </w:rPr>
        <w:t xml:space="preserve"> in each sex-specific age group</w:t>
      </w:r>
      <w:r w:rsidR="00EC5DC9" w:rsidRPr="00860A38">
        <w:rPr>
          <w:sz w:val="20"/>
          <w:szCs w:val="20"/>
        </w:rPr>
        <w:t>,</w:t>
      </w:r>
      <w:r w:rsidRPr="00860A38">
        <w:rPr>
          <w:sz w:val="20"/>
          <w:szCs w:val="20"/>
        </w:rPr>
        <w:t xml:space="preserve"> </w:t>
      </w:r>
      <w:r w:rsidR="002638B5" w:rsidRPr="00860A38">
        <w:rPr>
          <w:sz w:val="20"/>
          <w:szCs w:val="20"/>
        </w:rPr>
        <w:t>overall and by cause</w:t>
      </w:r>
      <w:r w:rsidR="00E64884">
        <w:rPr>
          <w:sz w:val="20"/>
          <w:szCs w:val="20"/>
        </w:rPr>
        <w:t xml:space="preserve">. </w:t>
      </w:r>
    </w:p>
    <w:p w14:paraId="6FF0FD76" w14:textId="1B6F1F80" w:rsidR="00964D1C" w:rsidRPr="00860A38" w:rsidRDefault="00964D1C" w:rsidP="004F0B7E">
      <w:pPr>
        <w:rPr>
          <w:sz w:val="20"/>
          <w:szCs w:val="20"/>
        </w:rPr>
      </w:pPr>
    </w:p>
    <w:p w14:paraId="11182428" w14:textId="77777777" w:rsidR="00121255" w:rsidRPr="00860A38" w:rsidRDefault="00121255" w:rsidP="004F0B7E">
      <w:pPr>
        <w:rPr>
          <w:sz w:val="20"/>
          <w:szCs w:val="20"/>
        </w:rPr>
      </w:pPr>
    </w:p>
    <w:p w14:paraId="15F20227" w14:textId="3A6B61EC" w:rsidR="00D701BB" w:rsidRPr="00860A38" w:rsidRDefault="00964D1C" w:rsidP="004F0B7E">
      <w:pPr>
        <w:rPr>
          <w:sz w:val="20"/>
          <w:szCs w:val="20"/>
        </w:rPr>
      </w:pPr>
      <w:r w:rsidRPr="00860A38">
        <w:rPr>
          <w:sz w:val="20"/>
          <w:szCs w:val="20"/>
        </w:rPr>
        <w:t>12</w:t>
      </w:r>
      <w:r w:rsidR="00E64884">
        <w:rPr>
          <w:sz w:val="20"/>
          <w:szCs w:val="20"/>
        </w:rPr>
        <w:t xml:space="preserve">. </w:t>
      </w:r>
      <w:r w:rsidRPr="00860A38">
        <w:rPr>
          <w:sz w:val="20"/>
          <w:szCs w:val="20"/>
        </w:rPr>
        <w:t>We estimated the number</w:t>
      </w:r>
      <w:r w:rsidR="001C0035" w:rsidRPr="00860A38">
        <w:rPr>
          <w:sz w:val="20"/>
          <w:szCs w:val="20"/>
        </w:rPr>
        <w:t>s</w:t>
      </w:r>
      <w:r w:rsidRPr="00860A38">
        <w:rPr>
          <w:sz w:val="20"/>
          <w:szCs w:val="20"/>
        </w:rPr>
        <w:t xml:space="preserve"> of US suicide fatalities that would be averted</w:t>
      </w:r>
      <w:r w:rsidR="001C0035" w:rsidRPr="00860A38">
        <w:rPr>
          <w:sz w:val="20"/>
          <w:szCs w:val="20"/>
        </w:rPr>
        <w:t xml:space="preserve"> (or number of additional deaths, for non-firearm deaths)</w:t>
      </w:r>
      <w:r w:rsidRPr="00860A38">
        <w:rPr>
          <w:sz w:val="20"/>
          <w:szCs w:val="20"/>
        </w:rPr>
        <w:t xml:space="preserve"> by multiplying the proportion of </w:t>
      </w:r>
      <w:r w:rsidR="005076C5" w:rsidRPr="00860A38">
        <w:rPr>
          <w:sz w:val="20"/>
          <w:szCs w:val="20"/>
        </w:rPr>
        <w:t xml:space="preserve">suicide fatalities averted </w:t>
      </w:r>
      <w:r w:rsidR="001E0C18" w:rsidRPr="00860A38">
        <w:rPr>
          <w:sz w:val="20"/>
          <w:szCs w:val="20"/>
        </w:rPr>
        <w:t xml:space="preserve">in each sex-specific age group </w:t>
      </w:r>
      <w:r w:rsidR="000834CD" w:rsidRPr="00860A38">
        <w:rPr>
          <w:sz w:val="20"/>
          <w:szCs w:val="20"/>
        </w:rPr>
        <w:t>(from step 1</w:t>
      </w:r>
      <w:r w:rsidR="003372D7" w:rsidRPr="00860A38">
        <w:rPr>
          <w:sz w:val="20"/>
          <w:szCs w:val="20"/>
        </w:rPr>
        <w:t>1</w:t>
      </w:r>
      <w:r w:rsidR="000834CD" w:rsidRPr="00860A38">
        <w:rPr>
          <w:sz w:val="20"/>
          <w:szCs w:val="20"/>
        </w:rPr>
        <w:t xml:space="preserve">) </w:t>
      </w:r>
      <w:r w:rsidR="005076C5" w:rsidRPr="00860A38">
        <w:rPr>
          <w:sz w:val="20"/>
          <w:szCs w:val="20"/>
        </w:rPr>
        <w:t xml:space="preserve">by the number of </w:t>
      </w:r>
      <w:r w:rsidR="000834CD" w:rsidRPr="00860A38">
        <w:rPr>
          <w:sz w:val="20"/>
          <w:szCs w:val="20"/>
        </w:rPr>
        <w:t xml:space="preserve">observed </w:t>
      </w:r>
      <w:r w:rsidR="003372D7" w:rsidRPr="00860A38">
        <w:rPr>
          <w:sz w:val="20"/>
          <w:szCs w:val="20"/>
        </w:rPr>
        <w:t xml:space="preserve">(actual) </w:t>
      </w:r>
      <w:r w:rsidR="005076C5" w:rsidRPr="00860A38">
        <w:rPr>
          <w:sz w:val="20"/>
          <w:szCs w:val="20"/>
        </w:rPr>
        <w:t>US suicide fatalities in each sex-specific age group</w:t>
      </w:r>
      <w:r w:rsidR="00F91A2A" w:rsidRPr="00860A38">
        <w:rPr>
          <w:sz w:val="20"/>
          <w:szCs w:val="20"/>
        </w:rPr>
        <w:t>, and then summing across sex-specific age group</w:t>
      </w:r>
      <w:r w:rsidR="003E1585" w:rsidRPr="00860A38">
        <w:rPr>
          <w:sz w:val="20"/>
          <w:szCs w:val="20"/>
        </w:rPr>
        <w:t>s</w:t>
      </w:r>
      <w:r w:rsidR="00E64884">
        <w:rPr>
          <w:sz w:val="20"/>
          <w:szCs w:val="20"/>
        </w:rPr>
        <w:t xml:space="preserve">. </w:t>
      </w:r>
      <w:r w:rsidR="003A34FD" w:rsidRPr="00860A38">
        <w:rPr>
          <w:sz w:val="20"/>
          <w:szCs w:val="20"/>
        </w:rPr>
        <w:t>We did this</w:t>
      </w:r>
      <w:r w:rsidR="001E0C18" w:rsidRPr="00860A38">
        <w:rPr>
          <w:sz w:val="20"/>
          <w:szCs w:val="20"/>
        </w:rPr>
        <w:t xml:space="preserve"> for overall suicide fatalities and for cause-specific suicide fatalities separately</w:t>
      </w:r>
      <w:r w:rsidR="00E64884">
        <w:rPr>
          <w:sz w:val="20"/>
          <w:szCs w:val="20"/>
        </w:rPr>
        <w:t xml:space="preserve">. </w:t>
      </w:r>
    </w:p>
    <w:p w14:paraId="7EB8EDFF" w14:textId="21EC4B51" w:rsidR="003F16B4" w:rsidRPr="00860A38" w:rsidRDefault="003F16B4" w:rsidP="004F0B7E">
      <w:pPr>
        <w:rPr>
          <w:sz w:val="20"/>
          <w:szCs w:val="20"/>
        </w:rPr>
      </w:pPr>
    </w:p>
    <w:p w14:paraId="1574C2F4" w14:textId="77777777" w:rsidR="00D701BB" w:rsidRPr="00860A38" w:rsidRDefault="00D701BB" w:rsidP="004F0B7E">
      <w:pPr>
        <w:rPr>
          <w:sz w:val="20"/>
          <w:szCs w:val="20"/>
        </w:rPr>
      </w:pPr>
    </w:p>
    <w:p w14:paraId="03300A46" w14:textId="77777777" w:rsidR="0029691D" w:rsidRPr="00860A38" w:rsidRDefault="0029691D" w:rsidP="004F0B7E">
      <w:pPr>
        <w:rPr>
          <w:sz w:val="20"/>
          <w:szCs w:val="20"/>
          <w:u w:val="single"/>
        </w:rPr>
      </w:pPr>
      <w:bookmarkStart w:id="0" w:name="_GoBack"/>
      <w:bookmarkEnd w:id="0"/>
    </w:p>
    <w:p w14:paraId="700C0F9B" w14:textId="07CC32D0" w:rsidR="0029691D" w:rsidRPr="00860A38" w:rsidRDefault="00187595" w:rsidP="004F0B7E">
      <w:pPr>
        <w:rPr>
          <w:color w:val="000000"/>
          <w:sz w:val="20"/>
          <w:szCs w:val="20"/>
        </w:rPr>
      </w:pPr>
      <w:r w:rsidRPr="00860A38">
        <w:rPr>
          <w:sz w:val="20"/>
          <w:szCs w:val="20"/>
        </w:rPr>
        <w:t>As an example</w:t>
      </w:r>
      <w:r w:rsidR="000834CD" w:rsidRPr="00860A38">
        <w:rPr>
          <w:color w:val="000000"/>
          <w:sz w:val="20"/>
          <w:szCs w:val="20"/>
        </w:rPr>
        <w:t xml:space="preserve">, </w:t>
      </w:r>
      <w:r w:rsidR="00413A5B" w:rsidRPr="00860A38">
        <w:rPr>
          <w:color w:val="000000"/>
          <w:sz w:val="20"/>
          <w:szCs w:val="20"/>
        </w:rPr>
        <w:t xml:space="preserve">we depict </w:t>
      </w:r>
      <w:r w:rsidR="000834CD" w:rsidRPr="00860A38">
        <w:rPr>
          <w:color w:val="000000"/>
          <w:sz w:val="20"/>
          <w:szCs w:val="20"/>
        </w:rPr>
        <w:t xml:space="preserve">steps 10-12 in Table </w:t>
      </w:r>
      <w:r w:rsidR="000C057C">
        <w:rPr>
          <w:color w:val="000000"/>
          <w:sz w:val="20"/>
          <w:szCs w:val="20"/>
        </w:rPr>
        <w:t>S</w:t>
      </w:r>
      <w:r w:rsidR="000834CD" w:rsidRPr="00860A38">
        <w:rPr>
          <w:color w:val="000000"/>
          <w:sz w:val="20"/>
          <w:szCs w:val="20"/>
        </w:rPr>
        <w:t>4</w:t>
      </w:r>
      <w:r w:rsidR="00413A5B" w:rsidRPr="00860A38">
        <w:rPr>
          <w:color w:val="000000"/>
          <w:sz w:val="20"/>
          <w:szCs w:val="20"/>
        </w:rPr>
        <w:t xml:space="preserve"> for all-</w:t>
      </w:r>
      <w:proofErr w:type="gramStart"/>
      <w:r w:rsidR="00413A5B" w:rsidRPr="00860A38">
        <w:rPr>
          <w:color w:val="000000"/>
          <w:sz w:val="20"/>
          <w:szCs w:val="20"/>
        </w:rPr>
        <w:t>cause</w:t>
      </w:r>
      <w:proofErr w:type="gramEnd"/>
      <w:r w:rsidR="00413A5B" w:rsidRPr="00860A38">
        <w:rPr>
          <w:color w:val="000000"/>
          <w:sz w:val="20"/>
          <w:szCs w:val="20"/>
        </w:rPr>
        <w:t xml:space="preserve"> suicides in males aged 0 to 14</w:t>
      </w:r>
      <w:r w:rsidR="00425834">
        <w:rPr>
          <w:color w:val="000000"/>
          <w:sz w:val="20"/>
          <w:szCs w:val="20"/>
        </w:rPr>
        <w:t>.</w:t>
      </w:r>
    </w:p>
    <w:p w14:paraId="396E3619" w14:textId="72EB3D1A" w:rsidR="000834CD" w:rsidRPr="00860A38" w:rsidRDefault="000834CD" w:rsidP="004F0B7E">
      <w:pPr>
        <w:rPr>
          <w:sz w:val="20"/>
          <w:szCs w:val="20"/>
          <w:u w:val="single"/>
        </w:rPr>
      </w:pPr>
    </w:p>
    <w:p w14:paraId="4593F77F" w14:textId="588A9016" w:rsidR="004F0B7E" w:rsidRPr="00860A38" w:rsidRDefault="004F0B7E" w:rsidP="004F0B7E">
      <w:pPr>
        <w:rPr>
          <w:sz w:val="20"/>
          <w:szCs w:val="20"/>
          <w:u w:val="single"/>
        </w:rPr>
      </w:pPr>
    </w:p>
    <w:p w14:paraId="56C68ABC" w14:textId="6FEB9C35" w:rsidR="004F0B7E" w:rsidRDefault="004F0B7E" w:rsidP="004F0B7E">
      <w:pPr>
        <w:rPr>
          <w:sz w:val="20"/>
          <w:szCs w:val="20"/>
          <w:u w:val="single"/>
        </w:rPr>
      </w:pPr>
    </w:p>
    <w:p w14:paraId="3CD4A2ED" w14:textId="447B39BC" w:rsidR="002A3FC3" w:rsidRDefault="002A3FC3" w:rsidP="004F0B7E">
      <w:pPr>
        <w:rPr>
          <w:sz w:val="20"/>
          <w:szCs w:val="20"/>
          <w:u w:val="single"/>
        </w:rPr>
      </w:pPr>
    </w:p>
    <w:p w14:paraId="4662C0C1" w14:textId="558995B0" w:rsidR="002A3FC3" w:rsidRDefault="002A3FC3" w:rsidP="004F0B7E">
      <w:pPr>
        <w:rPr>
          <w:sz w:val="20"/>
          <w:szCs w:val="20"/>
          <w:u w:val="single"/>
        </w:rPr>
      </w:pPr>
    </w:p>
    <w:sectPr w:rsidR="002A3FC3" w:rsidSect="00B2679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E95A3" w14:textId="77777777" w:rsidR="004F754B" w:rsidRDefault="004F754B" w:rsidP="00133E3E">
      <w:r>
        <w:separator/>
      </w:r>
    </w:p>
  </w:endnote>
  <w:endnote w:type="continuationSeparator" w:id="0">
    <w:p w14:paraId="309E548E" w14:textId="77777777" w:rsidR="004F754B" w:rsidRDefault="004F754B" w:rsidP="0013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687570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F12E4F" w14:textId="6A8A877B" w:rsidR="004A63E3" w:rsidRDefault="004A63E3" w:rsidP="00F203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B24441" w14:textId="77777777" w:rsidR="004A63E3" w:rsidRDefault="004A63E3" w:rsidP="004F0B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39337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B13058" w14:textId="2CC28CC8" w:rsidR="004A63E3" w:rsidRDefault="004A63E3" w:rsidP="00F203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03E8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14B004" w14:textId="77777777" w:rsidR="004A63E3" w:rsidRDefault="004A63E3" w:rsidP="004F0B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9650C" w14:textId="77777777" w:rsidR="004F754B" w:rsidRDefault="004F754B" w:rsidP="00133E3E">
      <w:r>
        <w:separator/>
      </w:r>
    </w:p>
  </w:footnote>
  <w:footnote w:type="continuationSeparator" w:id="0">
    <w:p w14:paraId="48F76B53" w14:textId="77777777" w:rsidR="004F754B" w:rsidRDefault="004F754B" w:rsidP="0013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74C6"/>
    <w:multiLevelType w:val="hybridMultilevel"/>
    <w:tmpl w:val="EEF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6EA8"/>
    <w:multiLevelType w:val="hybridMultilevel"/>
    <w:tmpl w:val="1A5E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5C"/>
    <w:rsid w:val="00002305"/>
    <w:rsid w:val="000306CB"/>
    <w:rsid w:val="00036119"/>
    <w:rsid w:val="0004206E"/>
    <w:rsid w:val="000468CE"/>
    <w:rsid w:val="00056C44"/>
    <w:rsid w:val="000603A5"/>
    <w:rsid w:val="00073E4F"/>
    <w:rsid w:val="000834CD"/>
    <w:rsid w:val="000867F8"/>
    <w:rsid w:val="000B2AE2"/>
    <w:rsid w:val="000B3BD6"/>
    <w:rsid w:val="000C057C"/>
    <w:rsid w:val="000C1084"/>
    <w:rsid w:val="000C225A"/>
    <w:rsid w:val="000C37B9"/>
    <w:rsid w:val="000E0762"/>
    <w:rsid w:val="000F7D4A"/>
    <w:rsid w:val="001056BF"/>
    <w:rsid w:val="00106779"/>
    <w:rsid w:val="001117DD"/>
    <w:rsid w:val="00112477"/>
    <w:rsid w:val="00121255"/>
    <w:rsid w:val="001224F3"/>
    <w:rsid w:val="00127482"/>
    <w:rsid w:val="00133E3E"/>
    <w:rsid w:val="00134A86"/>
    <w:rsid w:val="00137C6D"/>
    <w:rsid w:val="001436F4"/>
    <w:rsid w:val="00150338"/>
    <w:rsid w:val="00155C05"/>
    <w:rsid w:val="00160321"/>
    <w:rsid w:val="001619E3"/>
    <w:rsid w:val="0016290E"/>
    <w:rsid w:val="00171222"/>
    <w:rsid w:val="00185A30"/>
    <w:rsid w:val="001863A9"/>
    <w:rsid w:val="001868C6"/>
    <w:rsid w:val="00187595"/>
    <w:rsid w:val="00197AAD"/>
    <w:rsid w:val="001A4F01"/>
    <w:rsid w:val="001B1855"/>
    <w:rsid w:val="001B2231"/>
    <w:rsid w:val="001C0035"/>
    <w:rsid w:val="001C0D7D"/>
    <w:rsid w:val="001C54B2"/>
    <w:rsid w:val="001D1141"/>
    <w:rsid w:val="001D6148"/>
    <w:rsid w:val="001E03B0"/>
    <w:rsid w:val="001E0C18"/>
    <w:rsid w:val="001E26A2"/>
    <w:rsid w:val="00204790"/>
    <w:rsid w:val="0020483A"/>
    <w:rsid w:val="00210567"/>
    <w:rsid w:val="002135D6"/>
    <w:rsid w:val="002158E3"/>
    <w:rsid w:val="00222874"/>
    <w:rsid w:val="00222F52"/>
    <w:rsid w:val="00227A45"/>
    <w:rsid w:val="002341CB"/>
    <w:rsid w:val="0024795A"/>
    <w:rsid w:val="00254066"/>
    <w:rsid w:val="002638B5"/>
    <w:rsid w:val="00264AA9"/>
    <w:rsid w:val="00274A8B"/>
    <w:rsid w:val="002811E7"/>
    <w:rsid w:val="00281999"/>
    <w:rsid w:val="0029691D"/>
    <w:rsid w:val="002A3FC3"/>
    <w:rsid w:val="002B1A69"/>
    <w:rsid w:val="002B4079"/>
    <w:rsid w:val="002B4498"/>
    <w:rsid w:val="002C7421"/>
    <w:rsid w:val="002C7A5C"/>
    <w:rsid w:val="002D43DA"/>
    <w:rsid w:val="002D6527"/>
    <w:rsid w:val="002D67A4"/>
    <w:rsid w:val="002E1173"/>
    <w:rsid w:val="002F102D"/>
    <w:rsid w:val="00300FC0"/>
    <w:rsid w:val="003054A2"/>
    <w:rsid w:val="00312192"/>
    <w:rsid w:val="00314069"/>
    <w:rsid w:val="00332A91"/>
    <w:rsid w:val="00333E42"/>
    <w:rsid w:val="00335980"/>
    <w:rsid w:val="003372D7"/>
    <w:rsid w:val="0034560C"/>
    <w:rsid w:val="0035210E"/>
    <w:rsid w:val="00357CAF"/>
    <w:rsid w:val="003616CD"/>
    <w:rsid w:val="00372353"/>
    <w:rsid w:val="0038768D"/>
    <w:rsid w:val="00390E1B"/>
    <w:rsid w:val="003927C3"/>
    <w:rsid w:val="003927EF"/>
    <w:rsid w:val="003968BC"/>
    <w:rsid w:val="003A2A70"/>
    <w:rsid w:val="003A34FD"/>
    <w:rsid w:val="003A6697"/>
    <w:rsid w:val="003B73C7"/>
    <w:rsid w:val="003D5E35"/>
    <w:rsid w:val="003E05EC"/>
    <w:rsid w:val="003E1585"/>
    <w:rsid w:val="003E2B44"/>
    <w:rsid w:val="003E4B24"/>
    <w:rsid w:val="003F16B4"/>
    <w:rsid w:val="003F71D3"/>
    <w:rsid w:val="004100C4"/>
    <w:rsid w:val="00413A48"/>
    <w:rsid w:val="00413A5B"/>
    <w:rsid w:val="00414967"/>
    <w:rsid w:val="00420B89"/>
    <w:rsid w:val="00425834"/>
    <w:rsid w:val="004333F0"/>
    <w:rsid w:val="00444C4A"/>
    <w:rsid w:val="00446EB9"/>
    <w:rsid w:val="00451356"/>
    <w:rsid w:val="00456CDF"/>
    <w:rsid w:val="0045794C"/>
    <w:rsid w:val="00466A72"/>
    <w:rsid w:val="004800BC"/>
    <w:rsid w:val="0049574D"/>
    <w:rsid w:val="00497DBE"/>
    <w:rsid w:val="004A13FB"/>
    <w:rsid w:val="004A63E3"/>
    <w:rsid w:val="004B39A5"/>
    <w:rsid w:val="004D713B"/>
    <w:rsid w:val="004E34B7"/>
    <w:rsid w:val="004F0B7E"/>
    <w:rsid w:val="004F754B"/>
    <w:rsid w:val="005076C5"/>
    <w:rsid w:val="00511F17"/>
    <w:rsid w:val="00524BBF"/>
    <w:rsid w:val="005661D8"/>
    <w:rsid w:val="005811D1"/>
    <w:rsid w:val="00586BEA"/>
    <w:rsid w:val="005A386E"/>
    <w:rsid w:val="005B31B3"/>
    <w:rsid w:val="005D260F"/>
    <w:rsid w:val="005D7745"/>
    <w:rsid w:val="005E104B"/>
    <w:rsid w:val="005E2C85"/>
    <w:rsid w:val="005E747D"/>
    <w:rsid w:val="00600E53"/>
    <w:rsid w:val="00621A5A"/>
    <w:rsid w:val="00623ECA"/>
    <w:rsid w:val="006241B7"/>
    <w:rsid w:val="00643509"/>
    <w:rsid w:val="006457D6"/>
    <w:rsid w:val="00666CE1"/>
    <w:rsid w:val="00676494"/>
    <w:rsid w:val="00685093"/>
    <w:rsid w:val="006A2064"/>
    <w:rsid w:val="006B1156"/>
    <w:rsid w:val="006B4083"/>
    <w:rsid w:val="006C0D16"/>
    <w:rsid w:val="006C1FC2"/>
    <w:rsid w:val="006D59DC"/>
    <w:rsid w:val="006E20C6"/>
    <w:rsid w:val="006E40F4"/>
    <w:rsid w:val="006E5FC1"/>
    <w:rsid w:val="006F0A8D"/>
    <w:rsid w:val="006F6102"/>
    <w:rsid w:val="006F71C3"/>
    <w:rsid w:val="00703949"/>
    <w:rsid w:val="0070629F"/>
    <w:rsid w:val="00733B3C"/>
    <w:rsid w:val="0073465C"/>
    <w:rsid w:val="00735CC6"/>
    <w:rsid w:val="007371F0"/>
    <w:rsid w:val="007406D1"/>
    <w:rsid w:val="0074374D"/>
    <w:rsid w:val="00752E7B"/>
    <w:rsid w:val="0077664B"/>
    <w:rsid w:val="00783350"/>
    <w:rsid w:val="00785EFE"/>
    <w:rsid w:val="007A2028"/>
    <w:rsid w:val="007D2B7D"/>
    <w:rsid w:val="00807096"/>
    <w:rsid w:val="008157A5"/>
    <w:rsid w:val="00823755"/>
    <w:rsid w:val="00836491"/>
    <w:rsid w:val="00836DB2"/>
    <w:rsid w:val="00843830"/>
    <w:rsid w:val="00853337"/>
    <w:rsid w:val="00860A38"/>
    <w:rsid w:val="00863ACD"/>
    <w:rsid w:val="00880CBB"/>
    <w:rsid w:val="00881713"/>
    <w:rsid w:val="00884039"/>
    <w:rsid w:val="00886D9A"/>
    <w:rsid w:val="008B53AB"/>
    <w:rsid w:val="008B558E"/>
    <w:rsid w:val="008B6F77"/>
    <w:rsid w:val="008D354D"/>
    <w:rsid w:val="008D4E05"/>
    <w:rsid w:val="008F76B9"/>
    <w:rsid w:val="0090500D"/>
    <w:rsid w:val="00935B42"/>
    <w:rsid w:val="00935D74"/>
    <w:rsid w:val="00952A30"/>
    <w:rsid w:val="00955E20"/>
    <w:rsid w:val="009573D0"/>
    <w:rsid w:val="00961A6E"/>
    <w:rsid w:val="00964D1C"/>
    <w:rsid w:val="00964FE0"/>
    <w:rsid w:val="009815D4"/>
    <w:rsid w:val="00994B78"/>
    <w:rsid w:val="009A1C7C"/>
    <w:rsid w:val="009A3F27"/>
    <w:rsid w:val="009A5015"/>
    <w:rsid w:val="00A02451"/>
    <w:rsid w:val="00A056B2"/>
    <w:rsid w:val="00A11D2F"/>
    <w:rsid w:val="00A23A5A"/>
    <w:rsid w:val="00A252A0"/>
    <w:rsid w:val="00A31753"/>
    <w:rsid w:val="00A37B18"/>
    <w:rsid w:val="00A763D1"/>
    <w:rsid w:val="00AB63D5"/>
    <w:rsid w:val="00AD54E1"/>
    <w:rsid w:val="00AE0853"/>
    <w:rsid w:val="00AE0911"/>
    <w:rsid w:val="00AE3E9F"/>
    <w:rsid w:val="00AE5C3F"/>
    <w:rsid w:val="00AF1AE2"/>
    <w:rsid w:val="00AF50CB"/>
    <w:rsid w:val="00AF6658"/>
    <w:rsid w:val="00B07FCD"/>
    <w:rsid w:val="00B156E6"/>
    <w:rsid w:val="00B213B9"/>
    <w:rsid w:val="00B22E20"/>
    <w:rsid w:val="00B26793"/>
    <w:rsid w:val="00B32F8A"/>
    <w:rsid w:val="00B34E8C"/>
    <w:rsid w:val="00B4087D"/>
    <w:rsid w:val="00B5573A"/>
    <w:rsid w:val="00B75276"/>
    <w:rsid w:val="00BA5A6B"/>
    <w:rsid w:val="00BB5291"/>
    <w:rsid w:val="00BD2A3B"/>
    <w:rsid w:val="00BD6B3E"/>
    <w:rsid w:val="00BE2162"/>
    <w:rsid w:val="00C00EF5"/>
    <w:rsid w:val="00C055C2"/>
    <w:rsid w:val="00C11460"/>
    <w:rsid w:val="00C11D16"/>
    <w:rsid w:val="00C1475F"/>
    <w:rsid w:val="00C207EE"/>
    <w:rsid w:val="00C231A6"/>
    <w:rsid w:val="00C2546A"/>
    <w:rsid w:val="00C25BDC"/>
    <w:rsid w:val="00C27127"/>
    <w:rsid w:val="00C42B2B"/>
    <w:rsid w:val="00C652EE"/>
    <w:rsid w:val="00C77918"/>
    <w:rsid w:val="00C80A55"/>
    <w:rsid w:val="00CA77B1"/>
    <w:rsid w:val="00CC2890"/>
    <w:rsid w:val="00CD44D1"/>
    <w:rsid w:val="00CD44D3"/>
    <w:rsid w:val="00CE78D6"/>
    <w:rsid w:val="00CF0FE7"/>
    <w:rsid w:val="00CF2655"/>
    <w:rsid w:val="00CF2BA9"/>
    <w:rsid w:val="00CF2F86"/>
    <w:rsid w:val="00CF5145"/>
    <w:rsid w:val="00D0050E"/>
    <w:rsid w:val="00D05977"/>
    <w:rsid w:val="00D15BA0"/>
    <w:rsid w:val="00D27F95"/>
    <w:rsid w:val="00D410F6"/>
    <w:rsid w:val="00D45A72"/>
    <w:rsid w:val="00D67498"/>
    <w:rsid w:val="00D701BB"/>
    <w:rsid w:val="00D81F97"/>
    <w:rsid w:val="00D96C02"/>
    <w:rsid w:val="00DA3DA0"/>
    <w:rsid w:val="00DD5CD9"/>
    <w:rsid w:val="00DD797F"/>
    <w:rsid w:val="00DE3F6F"/>
    <w:rsid w:val="00DF38D3"/>
    <w:rsid w:val="00DF7CDA"/>
    <w:rsid w:val="00E02CB5"/>
    <w:rsid w:val="00E0316C"/>
    <w:rsid w:val="00E03E86"/>
    <w:rsid w:val="00E046FD"/>
    <w:rsid w:val="00E106EA"/>
    <w:rsid w:val="00E13ECC"/>
    <w:rsid w:val="00E30741"/>
    <w:rsid w:val="00E30CEF"/>
    <w:rsid w:val="00E31DA5"/>
    <w:rsid w:val="00E32DD8"/>
    <w:rsid w:val="00E340FE"/>
    <w:rsid w:val="00E34E9A"/>
    <w:rsid w:val="00E43E47"/>
    <w:rsid w:val="00E64884"/>
    <w:rsid w:val="00E9578B"/>
    <w:rsid w:val="00EA0076"/>
    <w:rsid w:val="00EA5C6F"/>
    <w:rsid w:val="00EC5DC9"/>
    <w:rsid w:val="00ED2B4D"/>
    <w:rsid w:val="00ED7343"/>
    <w:rsid w:val="00F01149"/>
    <w:rsid w:val="00F02143"/>
    <w:rsid w:val="00F033AA"/>
    <w:rsid w:val="00F03D5C"/>
    <w:rsid w:val="00F06569"/>
    <w:rsid w:val="00F0710D"/>
    <w:rsid w:val="00F2034F"/>
    <w:rsid w:val="00F32F99"/>
    <w:rsid w:val="00F46B01"/>
    <w:rsid w:val="00F55F42"/>
    <w:rsid w:val="00F57736"/>
    <w:rsid w:val="00F609C0"/>
    <w:rsid w:val="00F73D5C"/>
    <w:rsid w:val="00F76630"/>
    <w:rsid w:val="00F769E5"/>
    <w:rsid w:val="00F80018"/>
    <w:rsid w:val="00F90DE9"/>
    <w:rsid w:val="00F91A2A"/>
    <w:rsid w:val="00FA7330"/>
    <w:rsid w:val="00FB685C"/>
    <w:rsid w:val="00FC51D0"/>
    <w:rsid w:val="00FC5501"/>
    <w:rsid w:val="00FD1D0F"/>
    <w:rsid w:val="00FE7178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50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5C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5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3F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3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3E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3E3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0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21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2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D5C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D5"/>
    <w:rPr>
      <w:rFonts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3F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3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3E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3E3E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3E3E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06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21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2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3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F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6F04A6-1544-4618-8915-96E0DBAE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Laura Ann</dc:creator>
  <cp:keywords/>
  <dc:description/>
  <cp:lastModifiedBy>Guna Sankar</cp:lastModifiedBy>
  <cp:revision>4</cp:revision>
  <dcterms:created xsi:type="dcterms:W3CDTF">2020-03-09T17:42:00Z</dcterms:created>
  <dcterms:modified xsi:type="dcterms:W3CDTF">2020-04-23T15:08:00Z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02e3f957-7bf4-3c0e-a1eb-906a5951d056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http://www.zotero.org/styles/bmj-open</vt:lpwstr>
  </property>
  <property fmtid="{D5CDD505-2E9C-101B-9397-08002B2CF9AE}" pid="12" name="Mendeley Recent Style Name 3_1">
    <vt:lpwstr>BMJ Open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9th edition - Harvard</vt:lpwstr>
  </property>
  <property fmtid="{D5CDD505-2E9C-101B-9397-08002B2CF9AE}" pid="17" name="Mendeley Recent Style Id 6_1">
    <vt:lpwstr>http://www.zotero.org/styles/frontiers-in-psychiatry</vt:lpwstr>
  </property>
  <property fmtid="{D5CDD505-2E9C-101B-9397-08002B2CF9AE}" pid="18" name="Mendeley Recent Style Name 6_1">
    <vt:lpwstr>Frontiers in Psychiatry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http://www.zotero.org/styles/springer-basic-brackets</vt:lpwstr>
  </property>
  <property fmtid="{D5CDD505-2E9C-101B-9397-08002B2CF9AE}" pid="22" name="Mendeley Recent Style Name 8_1">
    <vt:lpwstr>Springer - Basic (numeric, brackets)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