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3535" w14:textId="07D524B6" w:rsidR="00952A30" w:rsidRPr="00860A38" w:rsidRDefault="00952A30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 xml:space="preserve">Table </w:t>
      </w:r>
      <w:r w:rsidR="00D410F6">
        <w:rPr>
          <w:sz w:val="20"/>
          <w:szCs w:val="20"/>
          <w:u w:val="single"/>
        </w:rPr>
        <w:t>S</w:t>
      </w:r>
      <w:r w:rsidR="00DF38D3" w:rsidRPr="00860A38">
        <w:rPr>
          <w:sz w:val="20"/>
          <w:szCs w:val="20"/>
          <w:u w:val="single"/>
        </w:rPr>
        <w:t>2</w:t>
      </w:r>
      <w:r w:rsidR="00E64884">
        <w:rPr>
          <w:sz w:val="20"/>
          <w:szCs w:val="20"/>
        </w:rPr>
        <w:t xml:space="preserve">. </w:t>
      </w:r>
      <w:r w:rsidR="00CC2890" w:rsidRPr="00860A38">
        <w:rPr>
          <w:sz w:val="20"/>
          <w:szCs w:val="20"/>
        </w:rPr>
        <w:t>Firearm and non-firearm suicide deaths</w:t>
      </w:r>
      <w:r w:rsidR="00FC51D0" w:rsidRPr="00860A38">
        <w:rPr>
          <w:sz w:val="20"/>
          <w:szCs w:val="20"/>
        </w:rPr>
        <w:t xml:space="preserve"> and</w:t>
      </w:r>
      <w:r w:rsidR="00CC2890" w:rsidRPr="00860A38">
        <w:rPr>
          <w:sz w:val="20"/>
          <w:szCs w:val="20"/>
        </w:rPr>
        <w:t xml:space="preserve"> denominators for the US </w:t>
      </w:r>
      <w:r w:rsidR="00E30CEF" w:rsidRPr="00860A38">
        <w:rPr>
          <w:sz w:val="20"/>
          <w:szCs w:val="20"/>
        </w:rPr>
        <w:t xml:space="preserve">in 2016 </w:t>
      </w:r>
      <w:r w:rsidR="00CC2890" w:rsidRPr="00860A38">
        <w:rPr>
          <w:sz w:val="20"/>
          <w:szCs w:val="20"/>
        </w:rPr>
        <w:t>according to WISQARS</w:t>
      </w:r>
      <w:r w:rsidR="00DD797F" w:rsidRPr="00860A38">
        <w:rPr>
          <w:sz w:val="20"/>
          <w:szCs w:val="20"/>
        </w:rPr>
        <w:t xml:space="preserve"> among</w:t>
      </w:r>
      <w:r w:rsidR="00CC2890" w:rsidRPr="00860A38">
        <w:rPr>
          <w:sz w:val="20"/>
          <w:szCs w:val="20"/>
        </w:rPr>
        <w:t xml:space="preserve"> </w:t>
      </w:r>
      <w:r w:rsidR="00127482" w:rsidRPr="00860A38">
        <w:rPr>
          <w:sz w:val="20"/>
          <w:szCs w:val="20"/>
        </w:rPr>
        <w:t>males aged 0-14</w:t>
      </w:r>
      <w:r w:rsidR="009A3F27" w:rsidRPr="00860A38">
        <w:rPr>
          <w:sz w:val="20"/>
          <w:szCs w:val="20"/>
        </w:rPr>
        <w:t xml:space="preserve">, </w:t>
      </w:r>
      <w:r w:rsidR="00CC2890" w:rsidRPr="00860A38">
        <w:rPr>
          <w:sz w:val="20"/>
          <w:szCs w:val="20"/>
        </w:rPr>
        <w:t>grouped into ethnicity categories to align with Canada</w:t>
      </w:r>
      <w:r w:rsidR="007A2028">
        <w:rPr>
          <w:sz w:val="20"/>
          <w:szCs w:val="20"/>
        </w:rPr>
        <w:t>.</w:t>
      </w:r>
    </w:p>
    <w:p w14:paraId="7C8F275D" w14:textId="77777777" w:rsidR="00952A30" w:rsidRPr="00860A38" w:rsidRDefault="00952A30" w:rsidP="004F0B7E">
      <w:pPr>
        <w:rPr>
          <w:sz w:val="20"/>
          <w:szCs w:val="20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790"/>
        <w:gridCol w:w="1800"/>
        <w:gridCol w:w="1710"/>
        <w:gridCol w:w="3420"/>
      </w:tblGrid>
      <w:tr w:rsidR="00B156E6" w:rsidRPr="00A252A0" w14:paraId="10539587" w14:textId="77777777" w:rsidTr="00332A91">
        <w:trPr>
          <w:trHeight w:val="68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33F2" w14:textId="77777777" w:rsidR="00B156E6" w:rsidRPr="00A252A0" w:rsidRDefault="00B156E6" w:rsidP="004F0B7E">
            <w:pPr>
              <w:rPr>
                <w:b/>
                <w:color w:val="000000"/>
                <w:sz w:val="16"/>
                <w:szCs w:val="16"/>
              </w:rPr>
            </w:pPr>
            <w:r w:rsidRPr="00A252A0">
              <w:rPr>
                <w:b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7F11" w14:textId="77777777" w:rsidR="00B156E6" w:rsidRPr="00A252A0" w:rsidRDefault="00B156E6" w:rsidP="004F0B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2A0">
              <w:rPr>
                <w:b/>
                <w:color w:val="000000"/>
                <w:sz w:val="16"/>
                <w:szCs w:val="16"/>
              </w:rPr>
              <w:t>Number of firearm suicides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B72D5" w14:textId="77777777" w:rsidR="00B156E6" w:rsidRPr="00A252A0" w:rsidRDefault="00B156E6" w:rsidP="004F0B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2A0">
              <w:rPr>
                <w:b/>
                <w:color w:val="000000"/>
                <w:sz w:val="16"/>
                <w:szCs w:val="16"/>
              </w:rPr>
              <w:t>Number of non-firearm suicides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669" w14:textId="77777777" w:rsidR="00B156E6" w:rsidRPr="00A252A0" w:rsidRDefault="00B156E6" w:rsidP="004F0B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2A0">
              <w:rPr>
                <w:b/>
                <w:color w:val="000000"/>
                <w:sz w:val="16"/>
                <w:szCs w:val="16"/>
              </w:rPr>
              <w:t>Population</w:t>
            </w:r>
          </w:p>
        </w:tc>
      </w:tr>
      <w:tr w:rsidR="00B156E6" w:rsidRPr="00A252A0" w14:paraId="48145E20" w14:textId="77777777" w:rsidTr="001868C6">
        <w:trPr>
          <w:trHeight w:val="32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18CF" w14:textId="77777777" w:rsidR="00B156E6" w:rsidRPr="00A252A0" w:rsidRDefault="00B156E6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Any Aboriginal origins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2F5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37E4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F50A16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585881</w:t>
            </w:r>
          </w:p>
        </w:tc>
      </w:tr>
      <w:tr w:rsidR="00B156E6" w:rsidRPr="00A252A0" w14:paraId="6438CCD3" w14:textId="77777777" w:rsidTr="001868C6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C698" w14:textId="77777777" w:rsidR="00B156E6" w:rsidRPr="00A252A0" w:rsidRDefault="00B156E6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Any African origins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E4F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456A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F1CFBF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5196385</w:t>
            </w:r>
          </w:p>
        </w:tc>
      </w:tr>
      <w:tr w:rsidR="00B156E6" w:rsidRPr="00A252A0" w14:paraId="6F8D1E7A" w14:textId="77777777" w:rsidTr="001868C6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6AF2A" w14:textId="77777777" w:rsidR="00B156E6" w:rsidRPr="00A252A0" w:rsidRDefault="00B156E6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Non-aboriginal, non-African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967" w14:textId="69D7C914" w:rsidR="00B156E6" w:rsidRPr="00A252A0" w:rsidRDefault="001868C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110 </w:t>
            </w:r>
            <w:r w:rsidR="00C77918" w:rsidRPr="00A252A0">
              <w:rPr>
                <w:color w:val="000000"/>
                <w:sz w:val="16"/>
                <w:szCs w:val="16"/>
              </w:rPr>
              <w:t xml:space="preserve">+ </w:t>
            </w:r>
            <w:r w:rsidRPr="00A252A0">
              <w:rPr>
                <w:color w:val="000000"/>
                <w:sz w:val="16"/>
                <w:szCs w:val="16"/>
              </w:rPr>
              <w:t>3</w:t>
            </w:r>
            <w:r w:rsidR="00C77918" w:rsidRPr="00A252A0">
              <w:rPr>
                <w:color w:val="000000"/>
                <w:sz w:val="16"/>
                <w:szCs w:val="16"/>
              </w:rPr>
              <w:t xml:space="preserve"> = </w:t>
            </w:r>
            <w:r w:rsidR="00B156E6" w:rsidRPr="00A252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6B08" w14:textId="75E88D7E" w:rsidR="00B156E6" w:rsidRPr="00A252A0" w:rsidRDefault="00623ECA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112</w:t>
            </w:r>
            <w:r w:rsidR="00C77918" w:rsidRPr="00A252A0">
              <w:rPr>
                <w:color w:val="000000"/>
                <w:sz w:val="16"/>
                <w:szCs w:val="16"/>
              </w:rPr>
              <w:t xml:space="preserve"> + </w:t>
            </w:r>
            <w:r w:rsidRPr="00A252A0">
              <w:rPr>
                <w:color w:val="000000"/>
                <w:sz w:val="16"/>
                <w:szCs w:val="16"/>
              </w:rPr>
              <w:t xml:space="preserve">8 </w:t>
            </w:r>
            <w:r w:rsidR="00C77918" w:rsidRPr="00A252A0">
              <w:rPr>
                <w:color w:val="000000"/>
                <w:sz w:val="16"/>
                <w:szCs w:val="16"/>
              </w:rPr>
              <w:t xml:space="preserve">= </w:t>
            </w:r>
            <w:r w:rsidR="00B156E6" w:rsidRPr="00A252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DA11" w14:textId="32CBDA87" w:rsidR="00B156E6" w:rsidRPr="00A252A0" w:rsidRDefault="001868C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23396259 </w:t>
            </w:r>
            <w:r w:rsidR="00C77918" w:rsidRPr="00A252A0">
              <w:rPr>
                <w:color w:val="000000"/>
                <w:sz w:val="16"/>
                <w:szCs w:val="16"/>
              </w:rPr>
              <w:t xml:space="preserve">+ </w:t>
            </w:r>
            <w:r w:rsidRPr="00A252A0">
              <w:rPr>
                <w:color w:val="000000"/>
                <w:sz w:val="16"/>
                <w:szCs w:val="16"/>
              </w:rPr>
              <w:t xml:space="preserve">1956983 </w:t>
            </w:r>
            <w:r w:rsidR="00C77918" w:rsidRPr="00A252A0">
              <w:rPr>
                <w:color w:val="000000"/>
                <w:sz w:val="16"/>
                <w:szCs w:val="16"/>
              </w:rPr>
              <w:t xml:space="preserve">= </w:t>
            </w:r>
            <w:r w:rsidR="00B156E6" w:rsidRPr="00A252A0">
              <w:rPr>
                <w:color w:val="000000"/>
                <w:sz w:val="16"/>
                <w:szCs w:val="16"/>
              </w:rPr>
              <w:t>25353242</w:t>
            </w:r>
          </w:p>
        </w:tc>
      </w:tr>
      <w:tr w:rsidR="00B156E6" w:rsidRPr="00A252A0" w14:paraId="18797EA3" w14:textId="77777777" w:rsidTr="001868C6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38D" w14:textId="77777777" w:rsidR="00B156E6" w:rsidRPr="00A252A0" w:rsidRDefault="00B156E6" w:rsidP="004F0B7E">
            <w:pPr>
              <w:rPr>
                <w:b/>
                <w:color w:val="000000"/>
                <w:sz w:val="16"/>
                <w:szCs w:val="16"/>
              </w:rPr>
            </w:pPr>
            <w:r w:rsidRPr="00A252A0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CAFC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F952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21751D" w14:textId="77777777" w:rsidR="00B156E6" w:rsidRPr="00A252A0" w:rsidRDefault="00B156E6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31135508</w:t>
            </w:r>
          </w:p>
        </w:tc>
      </w:tr>
    </w:tbl>
    <w:p w14:paraId="3CEB2B51" w14:textId="77777777" w:rsidR="00860A38" w:rsidRDefault="00860A38" w:rsidP="004F0B7E">
      <w:pPr>
        <w:rPr>
          <w:sz w:val="20"/>
          <w:szCs w:val="20"/>
        </w:rPr>
      </w:pPr>
    </w:p>
    <w:p w14:paraId="2ED80880" w14:textId="1A72683C" w:rsidR="00860A38" w:rsidRDefault="00860A38" w:rsidP="004F0B7E">
      <w:pPr>
        <w:rPr>
          <w:sz w:val="20"/>
          <w:szCs w:val="20"/>
        </w:rPr>
      </w:pPr>
    </w:p>
    <w:p w14:paraId="32158137" w14:textId="77777777" w:rsidR="00860A38" w:rsidRDefault="00860A38" w:rsidP="004F0B7E">
      <w:pPr>
        <w:rPr>
          <w:sz w:val="20"/>
          <w:szCs w:val="20"/>
        </w:rPr>
      </w:pPr>
    </w:p>
    <w:p w14:paraId="2EFBE546" w14:textId="46EB021D" w:rsidR="002E1173" w:rsidRPr="00860A38" w:rsidRDefault="009A1C7C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7</w:t>
      </w:r>
      <w:r w:rsidR="00E64884">
        <w:rPr>
          <w:sz w:val="20"/>
          <w:szCs w:val="20"/>
        </w:rPr>
        <w:t xml:space="preserve">. </w:t>
      </w:r>
      <w:r w:rsidR="002E1173" w:rsidRPr="00860A38">
        <w:rPr>
          <w:sz w:val="20"/>
          <w:szCs w:val="20"/>
        </w:rPr>
        <w:t>Within each sex</w:t>
      </w:r>
      <w:r w:rsidR="00134A86" w:rsidRPr="00860A38">
        <w:rPr>
          <w:sz w:val="20"/>
          <w:szCs w:val="20"/>
        </w:rPr>
        <w:t xml:space="preserve">-specific </w:t>
      </w:r>
      <w:r w:rsidR="002E1173" w:rsidRPr="00860A38">
        <w:rPr>
          <w:sz w:val="20"/>
          <w:szCs w:val="20"/>
        </w:rPr>
        <w:t xml:space="preserve">age group, </w:t>
      </w:r>
      <w:r w:rsidR="00332A91" w:rsidRPr="00860A38">
        <w:rPr>
          <w:sz w:val="20"/>
          <w:szCs w:val="20"/>
        </w:rPr>
        <w:t xml:space="preserve">we then </w:t>
      </w:r>
      <w:r w:rsidR="002E1173" w:rsidRPr="00860A38">
        <w:rPr>
          <w:sz w:val="20"/>
          <w:szCs w:val="20"/>
        </w:rPr>
        <w:t>multiplied the</w:t>
      </w:r>
      <w:r w:rsidR="00AE5C3F" w:rsidRPr="00860A38">
        <w:rPr>
          <w:sz w:val="20"/>
          <w:szCs w:val="20"/>
        </w:rPr>
        <w:t xml:space="preserve"> </w:t>
      </w:r>
      <w:r w:rsidR="002E1173" w:rsidRPr="00860A38">
        <w:rPr>
          <w:sz w:val="20"/>
          <w:szCs w:val="20"/>
        </w:rPr>
        <w:t xml:space="preserve">proportion of </w:t>
      </w:r>
      <w:r w:rsidR="004D713B" w:rsidRPr="00860A38">
        <w:rPr>
          <w:sz w:val="20"/>
          <w:szCs w:val="20"/>
        </w:rPr>
        <w:t>the Canadian population</w:t>
      </w:r>
      <w:r w:rsidR="002E1173" w:rsidRPr="00860A38">
        <w:rPr>
          <w:sz w:val="20"/>
          <w:szCs w:val="20"/>
        </w:rPr>
        <w:t xml:space="preserve"> </w:t>
      </w:r>
      <w:r w:rsidR="004D713B" w:rsidRPr="00860A38">
        <w:rPr>
          <w:sz w:val="20"/>
          <w:szCs w:val="20"/>
        </w:rPr>
        <w:t>reporting</w:t>
      </w:r>
      <w:r w:rsidR="002E1173" w:rsidRPr="00860A38">
        <w:rPr>
          <w:sz w:val="20"/>
          <w:szCs w:val="20"/>
        </w:rPr>
        <w:t xml:space="preserve"> each ethnic group (</w:t>
      </w:r>
      <w:r w:rsidR="00332A91" w:rsidRPr="00860A38">
        <w:rPr>
          <w:sz w:val="20"/>
          <w:szCs w:val="20"/>
        </w:rPr>
        <w:t>as</w:t>
      </w:r>
      <w:r w:rsidR="00AE0853" w:rsidRPr="00860A38">
        <w:rPr>
          <w:sz w:val="20"/>
          <w:szCs w:val="20"/>
        </w:rPr>
        <w:t xml:space="preserve"> in</w:t>
      </w:r>
      <w:r w:rsidR="002E1173" w:rsidRPr="00860A38">
        <w:rPr>
          <w:sz w:val="20"/>
          <w:szCs w:val="20"/>
        </w:rPr>
        <w:t xml:space="preserve"> Table </w:t>
      </w:r>
      <w:r w:rsidR="00B75276">
        <w:rPr>
          <w:sz w:val="20"/>
          <w:szCs w:val="20"/>
        </w:rPr>
        <w:t>S</w:t>
      </w:r>
      <w:r w:rsidR="002E1173" w:rsidRPr="00860A38">
        <w:rPr>
          <w:sz w:val="20"/>
          <w:szCs w:val="20"/>
        </w:rPr>
        <w:t xml:space="preserve">1) </w:t>
      </w:r>
      <w:r w:rsidR="00AE5C3F" w:rsidRPr="00860A38">
        <w:rPr>
          <w:sz w:val="20"/>
          <w:szCs w:val="20"/>
        </w:rPr>
        <w:t xml:space="preserve">by the </w:t>
      </w:r>
      <w:r w:rsidR="00B4087D" w:rsidRPr="00860A38">
        <w:rPr>
          <w:sz w:val="20"/>
          <w:szCs w:val="20"/>
        </w:rPr>
        <w:t xml:space="preserve">crude </w:t>
      </w:r>
      <w:r w:rsidR="00AE5C3F" w:rsidRPr="00860A38">
        <w:rPr>
          <w:sz w:val="20"/>
          <w:szCs w:val="20"/>
        </w:rPr>
        <w:t>suicide rate for the corresponding ethnic group in the US</w:t>
      </w:r>
      <w:r w:rsidR="002E1173" w:rsidRPr="00860A38">
        <w:rPr>
          <w:sz w:val="20"/>
          <w:szCs w:val="20"/>
        </w:rPr>
        <w:t xml:space="preserve"> (</w:t>
      </w:r>
      <w:r w:rsidR="00E046FD" w:rsidRPr="00860A38">
        <w:rPr>
          <w:sz w:val="20"/>
          <w:szCs w:val="20"/>
        </w:rPr>
        <w:t>as in</w:t>
      </w:r>
      <w:r w:rsidR="002E1173" w:rsidRPr="00860A38">
        <w:rPr>
          <w:sz w:val="20"/>
          <w:szCs w:val="20"/>
        </w:rPr>
        <w:t xml:space="preserve"> Table </w:t>
      </w:r>
      <w:r w:rsidR="00B75276">
        <w:rPr>
          <w:sz w:val="20"/>
          <w:szCs w:val="20"/>
        </w:rPr>
        <w:t>S</w:t>
      </w:r>
      <w:r w:rsidR="00E046FD" w:rsidRPr="00860A38">
        <w:rPr>
          <w:sz w:val="20"/>
          <w:szCs w:val="20"/>
        </w:rPr>
        <w:t>2</w:t>
      </w:r>
      <w:r w:rsidR="002E1173" w:rsidRPr="00860A38">
        <w:rPr>
          <w:sz w:val="20"/>
          <w:szCs w:val="20"/>
        </w:rPr>
        <w:t>)</w:t>
      </w:r>
      <w:r w:rsidR="00056C44" w:rsidRPr="00860A38">
        <w:rPr>
          <w:sz w:val="20"/>
          <w:szCs w:val="20"/>
        </w:rPr>
        <w:t>, and summed across ethnic groups</w:t>
      </w:r>
      <w:r w:rsidR="00425834">
        <w:rPr>
          <w:sz w:val="20"/>
          <w:szCs w:val="20"/>
        </w:rPr>
        <w:t>.</w:t>
      </w:r>
    </w:p>
    <w:p w14:paraId="0AA50174" w14:textId="77777777" w:rsidR="00121255" w:rsidRPr="00860A38" w:rsidRDefault="00121255" w:rsidP="004F0B7E">
      <w:pPr>
        <w:rPr>
          <w:sz w:val="20"/>
          <w:szCs w:val="20"/>
        </w:rPr>
      </w:pPr>
    </w:p>
    <w:p w14:paraId="079DAC74" w14:textId="77777777" w:rsidR="00843830" w:rsidRPr="00860A38" w:rsidRDefault="00843830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For example, the equations for standardized firearm suicide deaths in the US were as follows:</w:t>
      </w:r>
    </w:p>
    <w:p w14:paraId="6D261AE1" w14:textId="77777777" w:rsidR="00843830" w:rsidRPr="00860A38" w:rsidRDefault="00843830" w:rsidP="004F0B7E">
      <w:pPr>
        <w:rPr>
          <w:color w:val="000000"/>
          <w:sz w:val="20"/>
          <w:szCs w:val="20"/>
        </w:rPr>
      </w:pPr>
    </w:p>
    <w:p w14:paraId="66F1342C" w14:textId="388C1F88" w:rsidR="00843830" w:rsidRPr="00860A38" w:rsidRDefault="004D713B" w:rsidP="004F0B7E">
      <w:pPr>
        <w:rPr>
          <w:color w:val="000000"/>
          <w:sz w:val="20"/>
          <w:szCs w:val="20"/>
        </w:rPr>
      </w:pPr>
      <w:r w:rsidRPr="00860A38">
        <w:rPr>
          <w:color w:val="000000"/>
          <w:sz w:val="20"/>
          <w:szCs w:val="20"/>
        </w:rPr>
        <w:t>(</w:t>
      </w:r>
      <w:proofErr w:type="gramStart"/>
      <w:r w:rsidR="00843830" w:rsidRPr="00860A38">
        <w:rPr>
          <w:color w:val="000000"/>
          <w:sz w:val="20"/>
          <w:szCs w:val="20"/>
        </w:rPr>
        <w:t>proportion</w:t>
      </w:r>
      <w:proofErr w:type="gramEnd"/>
      <w:r w:rsidR="00843830" w:rsidRPr="00860A38">
        <w:rPr>
          <w:color w:val="000000"/>
          <w:sz w:val="20"/>
          <w:szCs w:val="20"/>
        </w:rPr>
        <w:t xml:space="preserve"> Aboriginal in Canada  x  Aboriginal firearm suicide rate in US)  +</w:t>
      </w:r>
    </w:p>
    <w:p w14:paraId="4E6B6CFA" w14:textId="77777777" w:rsidR="00843830" w:rsidRPr="00860A38" w:rsidRDefault="00843830" w:rsidP="004F0B7E">
      <w:pPr>
        <w:rPr>
          <w:color w:val="000000"/>
          <w:sz w:val="20"/>
          <w:szCs w:val="20"/>
        </w:rPr>
      </w:pPr>
      <w:r w:rsidRPr="00860A38">
        <w:rPr>
          <w:color w:val="000000"/>
          <w:sz w:val="20"/>
          <w:szCs w:val="20"/>
        </w:rPr>
        <w:t> </w:t>
      </w:r>
    </w:p>
    <w:p w14:paraId="0A40895E" w14:textId="77777777" w:rsidR="00843830" w:rsidRPr="00860A38" w:rsidRDefault="00843830" w:rsidP="004F0B7E">
      <w:pPr>
        <w:rPr>
          <w:color w:val="000000"/>
          <w:sz w:val="20"/>
          <w:szCs w:val="20"/>
        </w:rPr>
      </w:pPr>
      <w:r w:rsidRPr="00860A38">
        <w:rPr>
          <w:color w:val="000000"/>
          <w:sz w:val="20"/>
          <w:szCs w:val="20"/>
        </w:rPr>
        <w:t>(</w:t>
      </w:r>
      <w:proofErr w:type="gramStart"/>
      <w:r w:rsidRPr="00860A38">
        <w:rPr>
          <w:color w:val="000000"/>
          <w:sz w:val="20"/>
          <w:szCs w:val="20"/>
        </w:rPr>
        <w:t>proportion</w:t>
      </w:r>
      <w:proofErr w:type="gramEnd"/>
      <w:r w:rsidRPr="00860A38">
        <w:rPr>
          <w:color w:val="000000"/>
          <w:sz w:val="20"/>
          <w:szCs w:val="20"/>
        </w:rPr>
        <w:t xml:space="preserve"> African in Canada  x  African firearm suicide rate in US)  +</w:t>
      </w:r>
    </w:p>
    <w:p w14:paraId="68E286C1" w14:textId="77777777" w:rsidR="00843830" w:rsidRPr="00860A38" w:rsidRDefault="00843830" w:rsidP="004F0B7E">
      <w:pPr>
        <w:rPr>
          <w:color w:val="000000"/>
          <w:sz w:val="20"/>
          <w:szCs w:val="20"/>
        </w:rPr>
      </w:pPr>
      <w:r w:rsidRPr="00860A38">
        <w:rPr>
          <w:color w:val="000000"/>
          <w:sz w:val="20"/>
          <w:szCs w:val="20"/>
        </w:rPr>
        <w:t> </w:t>
      </w:r>
    </w:p>
    <w:p w14:paraId="10978679" w14:textId="54B4C994" w:rsidR="002E1173" w:rsidRPr="00860A38" w:rsidRDefault="00843830" w:rsidP="004F0B7E">
      <w:pPr>
        <w:rPr>
          <w:color w:val="000000"/>
          <w:sz w:val="20"/>
          <w:szCs w:val="20"/>
        </w:rPr>
      </w:pPr>
      <w:r w:rsidRPr="00860A38">
        <w:rPr>
          <w:color w:val="000000"/>
          <w:sz w:val="20"/>
          <w:szCs w:val="20"/>
        </w:rPr>
        <w:t>(</w:t>
      </w:r>
      <w:proofErr w:type="gramStart"/>
      <w:r w:rsidRPr="00860A38">
        <w:rPr>
          <w:color w:val="000000"/>
          <w:sz w:val="20"/>
          <w:szCs w:val="20"/>
        </w:rPr>
        <w:t>proportion</w:t>
      </w:r>
      <w:proofErr w:type="gramEnd"/>
      <w:r w:rsidRPr="00860A38">
        <w:rPr>
          <w:color w:val="000000"/>
          <w:sz w:val="20"/>
          <w:szCs w:val="20"/>
        </w:rPr>
        <w:t xml:space="preserve"> other in Canada  x  Other firearm suicide rate in US))</w:t>
      </w:r>
    </w:p>
    <w:p w14:paraId="36A60DF4" w14:textId="1B7225A8" w:rsidR="00843830" w:rsidRPr="00860A38" w:rsidRDefault="00843830" w:rsidP="004F0B7E">
      <w:pPr>
        <w:rPr>
          <w:sz w:val="20"/>
          <w:szCs w:val="20"/>
        </w:rPr>
      </w:pPr>
    </w:p>
    <w:p w14:paraId="051B539C" w14:textId="77777777" w:rsidR="00843830" w:rsidRPr="00860A38" w:rsidRDefault="00843830" w:rsidP="004F0B7E">
      <w:pPr>
        <w:rPr>
          <w:sz w:val="20"/>
          <w:szCs w:val="20"/>
        </w:rPr>
      </w:pPr>
    </w:p>
    <w:p w14:paraId="746193B0" w14:textId="724F5BD5" w:rsidR="00AF50CB" w:rsidRPr="00860A38" w:rsidRDefault="00E046FD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8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>We m</w:t>
      </w:r>
      <w:r w:rsidR="00AF50CB" w:rsidRPr="00860A38">
        <w:rPr>
          <w:sz w:val="20"/>
          <w:szCs w:val="20"/>
        </w:rPr>
        <w:t xml:space="preserve">ultiplied each calculated, sex-specific, age-specific rate by 100,000 to get the standardized number of deaths per 100,000 </w:t>
      </w:r>
      <w:proofErr w:type="gramStart"/>
      <w:r w:rsidR="00AF50CB" w:rsidRPr="00860A38">
        <w:rPr>
          <w:sz w:val="20"/>
          <w:szCs w:val="20"/>
        </w:rPr>
        <w:t>population</w:t>
      </w:r>
      <w:proofErr w:type="gramEnd"/>
      <w:r w:rsidR="00AF50CB" w:rsidRPr="00860A38">
        <w:rPr>
          <w:sz w:val="20"/>
          <w:szCs w:val="20"/>
        </w:rPr>
        <w:t xml:space="preserve"> in each group</w:t>
      </w:r>
      <w:r w:rsidR="00425834">
        <w:rPr>
          <w:sz w:val="20"/>
          <w:szCs w:val="20"/>
        </w:rPr>
        <w:t>.</w:t>
      </w:r>
    </w:p>
    <w:p w14:paraId="200E93D8" w14:textId="30CAE45A" w:rsidR="002E1173" w:rsidRDefault="002E1173" w:rsidP="004F0B7E">
      <w:pPr>
        <w:rPr>
          <w:sz w:val="20"/>
          <w:szCs w:val="20"/>
        </w:rPr>
      </w:pPr>
    </w:p>
    <w:p w14:paraId="72A71FF7" w14:textId="77777777" w:rsidR="00860A38" w:rsidRPr="00860A38" w:rsidRDefault="00860A38" w:rsidP="004F0B7E">
      <w:pPr>
        <w:rPr>
          <w:sz w:val="20"/>
          <w:szCs w:val="20"/>
        </w:rPr>
      </w:pPr>
    </w:p>
    <w:p w14:paraId="21AEE1CF" w14:textId="5C5BEB59" w:rsidR="002158E3" w:rsidRPr="00860A38" w:rsidRDefault="00843830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9</w:t>
      </w:r>
      <w:r w:rsidR="00E64884">
        <w:rPr>
          <w:sz w:val="20"/>
          <w:szCs w:val="20"/>
        </w:rPr>
        <w:t xml:space="preserve">. </w:t>
      </w:r>
      <w:r w:rsidR="002158E3" w:rsidRPr="00860A38">
        <w:rPr>
          <w:sz w:val="20"/>
          <w:szCs w:val="20"/>
        </w:rPr>
        <w:t xml:space="preserve">Within each sex-specific age group, </w:t>
      </w:r>
      <w:r w:rsidR="003E4B24" w:rsidRPr="00860A38">
        <w:rPr>
          <w:sz w:val="20"/>
          <w:szCs w:val="20"/>
        </w:rPr>
        <w:t xml:space="preserve">we </w:t>
      </w:r>
      <w:r w:rsidR="002158E3" w:rsidRPr="00860A38">
        <w:rPr>
          <w:sz w:val="20"/>
          <w:szCs w:val="20"/>
        </w:rPr>
        <w:t>summed together standardized firearm and non-firearm rates (as calculated above) to get the total standardized suicide rates per 100,000</w:t>
      </w:r>
      <w:r w:rsidR="00425834">
        <w:rPr>
          <w:sz w:val="20"/>
          <w:szCs w:val="20"/>
        </w:rPr>
        <w:t>.</w:t>
      </w:r>
    </w:p>
    <w:p w14:paraId="1670EA0D" w14:textId="10824DAE" w:rsidR="00843830" w:rsidRDefault="00843830" w:rsidP="004F0B7E">
      <w:pPr>
        <w:rPr>
          <w:color w:val="000000"/>
          <w:sz w:val="20"/>
          <w:szCs w:val="20"/>
        </w:rPr>
      </w:pPr>
    </w:p>
    <w:p w14:paraId="059B4B40" w14:textId="77777777" w:rsidR="00860A38" w:rsidRPr="00860A38" w:rsidRDefault="00860A38" w:rsidP="004F0B7E">
      <w:pPr>
        <w:rPr>
          <w:color w:val="000000"/>
          <w:sz w:val="20"/>
          <w:szCs w:val="20"/>
        </w:rPr>
      </w:pPr>
    </w:p>
    <w:p w14:paraId="04CFBBFC" w14:textId="40BCE7E1" w:rsidR="00843830" w:rsidRPr="00860A38" w:rsidRDefault="00843830" w:rsidP="004F0B7E">
      <w:pPr>
        <w:rPr>
          <w:color w:val="000000"/>
          <w:sz w:val="20"/>
          <w:szCs w:val="20"/>
        </w:rPr>
      </w:pPr>
      <w:r w:rsidRPr="00860A38">
        <w:rPr>
          <w:color w:val="000000"/>
          <w:sz w:val="20"/>
          <w:szCs w:val="20"/>
        </w:rPr>
        <w:t xml:space="preserve">Specifically, for males aged 0 to 14, steps 7-9 are shown in Table </w:t>
      </w:r>
      <w:r w:rsidR="000C057C">
        <w:rPr>
          <w:color w:val="000000"/>
          <w:sz w:val="20"/>
          <w:szCs w:val="20"/>
        </w:rPr>
        <w:t>S</w:t>
      </w:r>
      <w:r w:rsidRPr="00860A38">
        <w:rPr>
          <w:color w:val="000000"/>
          <w:sz w:val="20"/>
          <w:szCs w:val="20"/>
        </w:rPr>
        <w:t>3</w:t>
      </w:r>
      <w:r w:rsidR="00E64884">
        <w:rPr>
          <w:color w:val="000000"/>
          <w:sz w:val="20"/>
          <w:szCs w:val="20"/>
        </w:rPr>
        <w:t xml:space="preserve">. </w:t>
      </w:r>
    </w:p>
    <w:p w14:paraId="7B248F9D" w14:textId="107506BF" w:rsidR="002158E3" w:rsidRPr="00860A38" w:rsidRDefault="002158E3" w:rsidP="004F0B7E">
      <w:pPr>
        <w:rPr>
          <w:sz w:val="20"/>
          <w:szCs w:val="20"/>
          <w:u w:val="single"/>
        </w:rPr>
      </w:pPr>
    </w:p>
    <w:p w14:paraId="74908FFF" w14:textId="77777777" w:rsidR="00E32DD8" w:rsidRPr="00860A38" w:rsidRDefault="00E32DD8" w:rsidP="004F0B7E">
      <w:pPr>
        <w:rPr>
          <w:sz w:val="20"/>
          <w:szCs w:val="20"/>
          <w:u w:val="single"/>
        </w:rPr>
      </w:pPr>
      <w:bookmarkStart w:id="0" w:name="_GoBack"/>
      <w:bookmarkEnd w:id="0"/>
    </w:p>
    <w:sectPr w:rsidR="00E32DD8" w:rsidRPr="00860A38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7C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07C51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D5CD9"/>
    <w:rsid w:val="00DD797F"/>
    <w:rsid w:val="00DE3F6F"/>
    <w:rsid w:val="00DF38D3"/>
    <w:rsid w:val="00DF7CDA"/>
    <w:rsid w:val="00E02CB5"/>
    <w:rsid w:val="00E0316C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9989C1-321A-4836-8F79-4837988E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4</cp:revision>
  <dcterms:created xsi:type="dcterms:W3CDTF">2020-03-09T17:42:00Z</dcterms:created>
  <dcterms:modified xsi:type="dcterms:W3CDTF">2020-04-23T15:07:00Z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