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563B" w14:textId="507980D3" w:rsidR="00E43E47" w:rsidRPr="00860A38" w:rsidRDefault="00752E7B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>Table</w:t>
      </w:r>
      <w:r w:rsidR="00AF50CB" w:rsidRPr="00860A38">
        <w:rPr>
          <w:sz w:val="20"/>
          <w:szCs w:val="20"/>
          <w:u w:val="single"/>
        </w:rPr>
        <w:t xml:space="preserve"> </w:t>
      </w:r>
      <w:r w:rsidR="00D410F6">
        <w:rPr>
          <w:sz w:val="20"/>
          <w:szCs w:val="20"/>
          <w:u w:val="single"/>
        </w:rPr>
        <w:t>S</w:t>
      </w:r>
      <w:r w:rsidR="00AF50CB" w:rsidRPr="00860A38">
        <w:rPr>
          <w:sz w:val="20"/>
          <w:szCs w:val="20"/>
          <w:u w:val="single"/>
        </w:rPr>
        <w:t>1</w:t>
      </w:r>
      <w:r w:rsidR="00E64884">
        <w:rPr>
          <w:sz w:val="20"/>
          <w:szCs w:val="20"/>
        </w:rPr>
        <w:t xml:space="preserve">. </w:t>
      </w:r>
      <w:r w:rsidR="00AF50CB" w:rsidRPr="00860A38">
        <w:rPr>
          <w:sz w:val="20"/>
          <w:szCs w:val="20"/>
        </w:rPr>
        <w:t xml:space="preserve">Canadian ethnicity distribution as estimated through the 2016 </w:t>
      </w:r>
      <w:r w:rsidR="00E13ECC" w:rsidRPr="00860A38">
        <w:rPr>
          <w:sz w:val="20"/>
          <w:szCs w:val="20"/>
        </w:rPr>
        <w:t xml:space="preserve">Canadian </w:t>
      </w:r>
      <w:r w:rsidR="00AF50CB" w:rsidRPr="00860A38">
        <w:rPr>
          <w:sz w:val="20"/>
          <w:szCs w:val="20"/>
        </w:rPr>
        <w:t>Census</w:t>
      </w:r>
      <w:r w:rsidR="00E13ECC" w:rsidRPr="00860A38">
        <w:rPr>
          <w:sz w:val="20"/>
          <w:szCs w:val="20"/>
        </w:rPr>
        <w:t>,</w:t>
      </w:r>
      <w:r w:rsidR="00AF50CB" w:rsidRPr="00860A38">
        <w:rPr>
          <w:sz w:val="20"/>
          <w:szCs w:val="20"/>
        </w:rPr>
        <w:t xml:space="preserve"> among males aged 0-14</w:t>
      </w:r>
      <w:r w:rsidR="0004206E">
        <w:rPr>
          <w:sz w:val="20"/>
          <w:szCs w:val="20"/>
        </w:rPr>
        <w:t>.</w:t>
      </w:r>
    </w:p>
    <w:p w14:paraId="4A32B56A" w14:textId="35B327CB" w:rsidR="002341CB" w:rsidRPr="00860A38" w:rsidRDefault="002341CB" w:rsidP="004F0B7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6840" w:type="dxa"/>
        <w:tblInd w:w="450" w:type="dxa"/>
        <w:tblLook w:val="04A0" w:firstRow="1" w:lastRow="0" w:firstColumn="1" w:lastColumn="0" w:noHBand="0" w:noVBand="1"/>
      </w:tblPr>
      <w:tblGrid>
        <w:gridCol w:w="2790"/>
        <w:gridCol w:w="4050"/>
      </w:tblGrid>
      <w:tr w:rsidR="00752E7B" w:rsidRPr="00A252A0" w14:paraId="1B601640" w14:textId="77777777" w:rsidTr="00456CDF">
        <w:trPr>
          <w:trHeight w:val="89"/>
        </w:trPr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5B88" w14:textId="5EC7CE62" w:rsidR="00752E7B" w:rsidRPr="00A252A0" w:rsidRDefault="00752E7B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6E36" w14:textId="6C57A44E" w:rsidR="00752E7B" w:rsidRPr="00A252A0" w:rsidRDefault="00752E7B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E7B" w:rsidRPr="00A252A0" w14:paraId="21866EA0" w14:textId="77777777" w:rsidTr="00456CDF">
        <w:trPr>
          <w:trHeight w:val="513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686B" w14:textId="2EF742BB" w:rsidR="00752E7B" w:rsidRPr="00A252A0" w:rsidRDefault="00703949" w:rsidP="004F0B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CC28A" w14:textId="624E89D4" w:rsidR="00752E7B" w:rsidRPr="00A252A0" w:rsidRDefault="00332A91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Population</w:t>
            </w:r>
          </w:p>
        </w:tc>
      </w:tr>
      <w:tr w:rsidR="00752E7B" w:rsidRPr="00A252A0" w14:paraId="7F58A16F" w14:textId="77777777" w:rsidTr="00853337">
        <w:trPr>
          <w:trHeight w:val="431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3BF" w14:textId="77777777" w:rsidR="00752E7B" w:rsidRPr="00A252A0" w:rsidRDefault="00752E7B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Aboriginal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4524" w14:textId="144491B1" w:rsidR="00752E7B" w:rsidRPr="00A252A0" w:rsidRDefault="0045794C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101950 </w:t>
            </w:r>
            <w:r w:rsidR="00752E7B" w:rsidRPr="00A252A0">
              <w:rPr>
                <w:color w:val="000000"/>
                <w:sz w:val="16"/>
                <w:szCs w:val="16"/>
              </w:rPr>
              <w:t>+</w:t>
            </w:r>
            <w:r w:rsidRPr="00A252A0">
              <w:rPr>
                <w:sz w:val="16"/>
                <w:szCs w:val="16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</w:rPr>
              <w:t xml:space="preserve">185520 </w:t>
            </w:r>
            <w:r w:rsidR="00752E7B" w:rsidRPr="00A252A0">
              <w:rPr>
                <w:color w:val="000000"/>
                <w:sz w:val="16"/>
                <w:szCs w:val="16"/>
              </w:rPr>
              <w:t xml:space="preserve">= 287470 </w:t>
            </w:r>
          </w:p>
        </w:tc>
      </w:tr>
      <w:tr w:rsidR="00752E7B" w:rsidRPr="00A252A0" w14:paraId="11657A75" w14:textId="77777777" w:rsidTr="00853337">
        <w:trPr>
          <w:trHeight w:val="450"/>
        </w:trPr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48D" w14:textId="77777777" w:rsidR="00752E7B" w:rsidRPr="00A252A0" w:rsidRDefault="00752E7B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African origins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E733" w14:textId="58EB219E" w:rsidR="00752E7B" w:rsidRPr="00A252A0" w:rsidRDefault="00752E7B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161155</w:t>
            </w:r>
          </w:p>
        </w:tc>
      </w:tr>
      <w:tr w:rsidR="00752E7B" w:rsidRPr="00A252A0" w14:paraId="5D3A0168" w14:textId="77777777" w:rsidTr="00853337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9C96" w14:textId="77777777" w:rsidR="00752E7B" w:rsidRPr="00A252A0" w:rsidRDefault="00752E7B" w:rsidP="004F0B7E">
            <w:pPr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Non-aboriginal, non-African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2EA4" w14:textId="5B71B5E4" w:rsidR="00752E7B" w:rsidRPr="00A252A0" w:rsidRDefault="00D96C02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 xml:space="preserve">2981145 - 287470 - 161155 = </w:t>
            </w:r>
            <w:r w:rsidR="00752E7B" w:rsidRPr="00A252A0">
              <w:rPr>
                <w:color w:val="000000"/>
                <w:sz w:val="16"/>
                <w:szCs w:val="16"/>
              </w:rPr>
              <w:t>2532520</w:t>
            </w:r>
          </w:p>
        </w:tc>
      </w:tr>
      <w:tr w:rsidR="00752E7B" w:rsidRPr="00A252A0" w14:paraId="3733D85D" w14:textId="77777777" w:rsidTr="00853337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4621" w14:textId="12315248" w:rsidR="00752E7B" w:rsidRPr="00A252A0" w:rsidRDefault="00752E7B" w:rsidP="004F0B7E">
            <w:pPr>
              <w:rPr>
                <w:b/>
                <w:color w:val="000000"/>
                <w:sz w:val="16"/>
                <w:szCs w:val="16"/>
              </w:rPr>
            </w:pPr>
            <w:r w:rsidRPr="00A252A0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D5853" w14:textId="7AD50343" w:rsidR="00752E7B" w:rsidRPr="00A252A0" w:rsidRDefault="00752E7B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2981145</w:t>
            </w:r>
          </w:p>
        </w:tc>
      </w:tr>
    </w:tbl>
    <w:p w14:paraId="35FD3D8E" w14:textId="77777777" w:rsidR="00E340FE" w:rsidRPr="00860A38" w:rsidRDefault="00E340FE" w:rsidP="004F0B7E">
      <w:pPr>
        <w:rPr>
          <w:sz w:val="20"/>
          <w:szCs w:val="20"/>
        </w:rPr>
      </w:pPr>
    </w:p>
    <w:p w14:paraId="4FF88E29" w14:textId="04B9FAA5" w:rsidR="00413A5B" w:rsidRPr="00860A38" w:rsidRDefault="00AE0911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Note: T</w:t>
      </w:r>
      <w:r w:rsidR="00E340FE" w:rsidRPr="00860A38">
        <w:rPr>
          <w:sz w:val="20"/>
          <w:szCs w:val="20"/>
        </w:rPr>
        <w:t>he total numbers of individuals represented in the two different sets of demographic tables stratified by age and sex</w:t>
      </w:r>
      <w:r w:rsidR="0074374D" w:rsidRPr="00860A38">
        <w:rPr>
          <w:sz w:val="20"/>
          <w:szCs w:val="20"/>
        </w:rPr>
        <w:t xml:space="preserve"> sometimes differ</w:t>
      </w:r>
      <w:r w:rsidRPr="00860A38">
        <w:rPr>
          <w:sz w:val="20"/>
          <w:szCs w:val="20"/>
        </w:rPr>
        <w:t>ed</w:t>
      </w:r>
      <w:r w:rsidR="0074374D" w:rsidRPr="00860A38">
        <w:rPr>
          <w:sz w:val="20"/>
          <w:szCs w:val="20"/>
        </w:rPr>
        <w:t xml:space="preserve"> by 5-10 individuals</w:t>
      </w:r>
      <w:r w:rsidR="00E340FE" w:rsidRPr="00860A38">
        <w:rPr>
          <w:sz w:val="20"/>
          <w:szCs w:val="20"/>
        </w:rPr>
        <w:t>, due to random rounding</w:t>
      </w:r>
      <w:r w:rsidR="006F0A8D" w:rsidRPr="00860A38">
        <w:rPr>
          <w:sz w:val="20"/>
          <w:szCs w:val="20"/>
        </w:rPr>
        <w:t xml:space="preserve"> </w:t>
      </w:r>
      <w:r w:rsidR="002C7421" w:rsidRPr="00860A38">
        <w:rPr>
          <w:sz w:val="20"/>
          <w:szCs w:val="20"/>
        </w:rPr>
        <w:t>(</w:t>
      </w:r>
      <w:r w:rsidR="006F0A8D" w:rsidRPr="00860A38">
        <w:rPr>
          <w:sz w:val="20"/>
          <w:szCs w:val="20"/>
        </w:rPr>
        <w:t>by multiples of 5</w:t>
      </w:r>
      <w:r w:rsidR="002C7421" w:rsidRPr="00860A38">
        <w:rPr>
          <w:sz w:val="20"/>
          <w:szCs w:val="20"/>
        </w:rPr>
        <w:t>)</w:t>
      </w:r>
      <w:r w:rsidR="006F0A8D" w:rsidRPr="00860A38">
        <w:rPr>
          <w:sz w:val="20"/>
          <w:szCs w:val="20"/>
        </w:rPr>
        <w:t xml:space="preserve"> </w:t>
      </w:r>
      <w:r w:rsidR="00A23A5A" w:rsidRPr="00860A38">
        <w:rPr>
          <w:sz w:val="20"/>
          <w:szCs w:val="20"/>
        </w:rPr>
        <w:t>to</w:t>
      </w:r>
      <w:r w:rsidR="006F0A8D" w:rsidRPr="00860A38">
        <w:rPr>
          <w:sz w:val="20"/>
          <w:szCs w:val="20"/>
        </w:rPr>
        <w:t xml:space="preserve"> preserve confidentiality in smaller groups</w:t>
      </w:r>
      <w:r w:rsidR="00E340FE" w:rsidRPr="00860A38">
        <w:rPr>
          <w:sz w:val="20"/>
          <w:szCs w:val="20"/>
        </w:rPr>
        <w:t xml:space="preserve">, as described on the </w:t>
      </w:r>
      <w:r w:rsidR="00FF0D48" w:rsidRPr="00860A38">
        <w:rPr>
          <w:sz w:val="20"/>
          <w:szCs w:val="20"/>
        </w:rPr>
        <w:t>Statistics</w:t>
      </w:r>
      <w:r w:rsidR="00E340FE" w:rsidRPr="00860A38">
        <w:rPr>
          <w:sz w:val="20"/>
          <w:szCs w:val="20"/>
        </w:rPr>
        <w:t xml:space="preserve"> Canada website and through </w:t>
      </w:r>
      <w:r w:rsidR="00FF0D48" w:rsidRPr="00860A38">
        <w:rPr>
          <w:sz w:val="20"/>
          <w:szCs w:val="20"/>
        </w:rPr>
        <w:t>correspondence with the group</w:t>
      </w:r>
      <w:r w:rsidR="00E64884">
        <w:rPr>
          <w:sz w:val="20"/>
          <w:szCs w:val="20"/>
        </w:rPr>
        <w:t xml:space="preserve">. </w:t>
      </w:r>
      <w:r w:rsidR="00414967" w:rsidRPr="00860A38">
        <w:rPr>
          <w:sz w:val="20"/>
          <w:szCs w:val="20"/>
        </w:rPr>
        <w:t>T</w:t>
      </w:r>
      <w:r w:rsidR="001B2231" w:rsidRPr="00860A38">
        <w:rPr>
          <w:sz w:val="20"/>
          <w:szCs w:val="20"/>
        </w:rPr>
        <w:t>he</w:t>
      </w:r>
      <w:r w:rsidR="00414967" w:rsidRPr="00860A38">
        <w:rPr>
          <w:sz w:val="20"/>
          <w:szCs w:val="20"/>
        </w:rPr>
        <w:t>re were also differences in the</w:t>
      </w:r>
      <w:r w:rsidR="001B2231" w:rsidRPr="00860A38">
        <w:rPr>
          <w:sz w:val="20"/>
          <w:szCs w:val="20"/>
        </w:rPr>
        <w:t xml:space="preserve"> number of Canadians </w:t>
      </w:r>
      <w:r w:rsidR="00414967" w:rsidRPr="00860A38">
        <w:rPr>
          <w:sz w:val="20"/>
          <w:szCs w:val="20"/>
        </w:rPr>
        <w:t xml:space="preserve">who reported their </w:t>
      </w:r>
      <w:r w:rsidR="001B2231" w:rsidRPr="00860A38">
        <w:rPr>
          <w:sz w:val="20"/>
          <w:szCs w:val="20"/>
        </w:rPr>
        <w:t>ethnicit</w:t>
      </w:r>
      <w:r w:rsidR="00414967" w:rsidRPr="00860A38">
        <w:rPr>
          <w:sz w:val="20"/>
          <w:szCs w:val="20"/>
        </w:rPr>
        <w:t>y</w:t>
      </w:r>
      <w:r w:rsidR="001B2231" w:rsidRPr="00860A38">
        <w:rPr>
          <w:sz w:val="20"/>
          <w:szCs w:val="20"/>
        </w:rPr>
        <w:t xml:space="preserve"> </w:t>
      </w:r>
      <w:r w:rsidR="00414967" w:rsidRPr="00860A38">
        <w:rPr>
          <w:sz w:val="20"/>
          <w:szCs w:val="20"/>
        </w:rPr>
        <w:t xml:space="preserve">relative to </w:t>
      </w:r>
      <w:r w:rsidR="00881713" w:rsidRPr="00860A38">
        <w:rPr>
          <w:sz w:val="20"/>
          <w:szCs w:val="20"/>
        </w:rPr>
        <w:t xml:space="preserve">the numbers </w:t>
      </w:r>
      <w:r w:rsidR="00414967" w:rsidRPr="00860A38">
        <w:rPr>
          <w:sz w:val="20"/>
          <w:szCs w:val="20"/>
        </w:rPr>
        <w:t>listed in suicide fatality data</w:t>
      </w:r>
      <w:r w:rsidR="00A056B2" w:rsidRPr="00860A38">
        <w:rPr>
          <w:sz w:val="20"/>
          <w:szCs w:val="20"/>
        </w:rPr>
        <w:t xml:space="preserve"> because the ethnicity questions were part of the long-form census which was only administered to private households, and thus does not include collective dwellings</w:t>
      </w:r>
      <w:r w:rsidR="00E64884">
        <w:rPr>
          <w:sz w:val="20"/>
          <w:szCs w:val="20"/>
        </w:rPr>
        <w:t xml:space="preserve">. </w:t>
      </w:r>
      <w:r w:rsidR="00881713" w:rsidRPr="00860A38">
        <w:rPr>
          <w:sz w:val="20"/>
          <w:szCs w:val="20"/>
        </w:rPr>
        <w:t>These difference</w:t>
      </w:r>
      <w:r w:rsidR="00357CAF" w:rsidRPr="00860A38">
        <w:rPr>
          <w:sz w:val="20"/>
          <w:szCs w:val="20"/>
        </w:rPr>
        <w:t>s</w:t>
      </w:r>
      <w:r w:rsidR="00881713" w:rsidRPr="00860A38">
        <w:rPr>
          <w:sz w:val="20"/>
          <w:szCs w:val="20"/>
        </w:rPr>
        <w:t xml:space="preserve"> were present overall, with 34,460,065 observations of ethnicity and </w:t>
      </w:r>
      <w:r w:rsidR="001B2231" w:rsidRPr="00860A38">
        <w:rPr>
          <w:color w:val="000000"/>
          <w:sz w:val="20"/>
          <w:szCs w:val="20"/>
        </w:rPr>
        <w:t>35,151,730</w:t>
      </w:r>
      <w:r w:rsidR="001B2231" w:rsidRPr="00860A38">
        <w:rPr>
          <w:sz w:val="20"/>
          <w:szCs w:val="20"/>
        </w:rPr>
        <w:t xml:space="preserve"> </w:t>
      </w:r>
      <w:r w:rsidR="00A056B2" w:rsidRPr="00860A38">
        <w:rPr>
          <w:sz w:val="20"/>
          <w:szCs w:val="20"/>
        </w:rPr>
        <w:t>people in the population, and in sex-specific age groups</w:t>
      </w:r>
      <w:r w:rsidR="00E64884">
        <w:rPr>
          <w:sz w:val="20"/>
          <w:szCs w:val="20"/>
        </w:rPr>
        <w:t xml:space="preserve">. </w:t>
      </w:r>
      <w:bookmarkStart w:id="0" w:name="_GoBack"/>
      <w:bookmarkEnd w:id="0"/>
    </w:p>
    <w:p w14:paraId="7622A2A5" w14:textId="7FADE4EC" w:rsidR="002341CB" w:rsidRPr="00860A38" w:rsidRDefault="00621A5A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5</w:t>
      </w:r>
      <w:r w:rsidR="00E64884">
        <w:rPr>
          <w:sz w:val="20"/>
          <w:szCs w:val="20"/>
        </w:rPr>
        <w:t xml:space="preserve">. </w:t>
      </w:r>
      <w:r w:rsidR="00AE0911" w:rsidRPr="00860A38">
        <w:rPr>
          <w:sz w:val="20"/>
          <w:szCs w:val="20"/>
        </w:rPr>
        <w:t xml:space="preserve">We downloaded data </w:t>
      </w:r>
      <w:r w:rsidR="00D67498" w:rsidRPr="00860A38">
        <w:rPr>
          <w:sz w:val="20"/>
          <w:szCs w:val="20"/>
        </w:rPr>
        <w:t xml:space="preserve">from </w:t>
      </w:r>
      <w:r w:rsidR="00666CE1" w:rsidRPr="00860A38">
        <w:rPr>
          <w:sz w:val="20"/>
          <w:szCs w:val="20"/>
        </w:rPr>
        <w:t>the Web-based Injury Statistics Query and Reporting System (WISQARS) through the Centers for Disease Control and Prevention (CDC)</w:t>
      </w:r>
      <w:r w:rsidR="00666CE1" w:rsidRPr="00860A38">
        <w:rPr>
          <w:sz w:val="20"/>
          <w:szCs w:val="20"/>
        </w:rPr>
        <w:fldChar w:fldCharType="begin" w:fldLock="1"/>
      </w:r>
      <w:r w:rsidR="003A6697">
        <w:rPr>
          <w:sz w:val="20"/>
          <w:szCs w:val="20"/>
        </w:rPr>
        <w:instrText>ADDIN CSL_CITATION {"citationID":"al4qj5dpq","citationItems":[{"id":"ITEM-1","itemData":{"URL":"https://webappa.cdc.gov/sasweb/ncipc/mortrate.html","accessed":{"date-parts":[["2018","8","14"]]},"id":"ITEM-1","issued":{"date-parts":[["2017"]]},"title":"Fatal Injury Reports, National, Regional and State, 1981 – 2016. WISQARS Fatal Injury Data, Centers for Disease Control and Prevention","type":"webpage"},"uri":["http://www.mendeley.com/documents/?uuid=c8099a91-2bf8-4dc3-a292-9b58caeda5ba"],"uris":["http://www.mendeley.com/documents/?uuid=c8099a91-2bf8-4dc3-a292-9b58caeda5ba"]}],"mendeley":{"formattedCitation":"&lt;sup&gt;1&lt;/sup&gt;","plainTextFormattedCitation":"1","previouslyFormattedCitation":"&lt;sup&gt;3&lt;/sup&gt;"},"properties":{"formattedCitation":"{\\rtf \\super 1\\nosupersub{}}","noteIndex":0,"plainCitation":"1"},"schema":"https://github.com/citation-style-language/schema/raw/master/csl-citation.json"}</w:instrText>
      </w:r>
      <w:r w:rsidR="00666CE1" w:rsidRPr="00860A38">
        <w:rPr>
          <w:sz w:val="20"/>
          <w:szCs w:val="20"/>
        </w:rPr>
        <w:fldChar w:fldCharType="separate"/>
      </w:r>
      <w:r w:rsidR="003A6697" w:rsidRPr="003A6697">
        <w:rPr>
          <w:noProof/>
          <w:sz w:val="20"/>
          <w:szCs w:val="20"/>
          <w:vertAlign w:val="superscript"/>
        </w:rPr>
        <w:t>1</w:t>
      </w:r>
      <w:r w:rsidR="00666CE1" w:rsidRPr="00860A38">
        <w:rPr>
          <w:sz w:val="20"/>
          <w:szCs w:val="20"/>
        </w:rPr>
        <w:fldChar w:fldCharType="end"/>
      </w:r>
      <w:r w:rsidR="00666CE1" w:rsidRPr="00860A38">
        <w:rPr>
          <w:sz w:val="20"/>
          <w:szCs w:val="20"/>
        </w:rPr>
        <w:t xml:space="preserve"> </w:t>
      </w:r>
      <w:r w:rsidR="00952A30" w:rsidRPr="00860A38">
        <w:rPr>
          <w:sz w:val="20"/>
          <w:szCs w:val="20"/>
        </w:rPr>
        <w:t>on firearm and non-firearm suicide deaths within age, sex, and ethnic groups in the US, to standardized</w:t>
      </w:r>
      <w:r w:rsidR="008D354D" w:rsidRPr="00860A38">
        <w:rPr>
          <w:sz w:val="20"/>
          <w:szCs w:val="20"/>
        </w:rPr>
        <w:t xml:space="preserve"> these data</w:t>
      </w:r>
      <w:r w:rsidR="00E64884">
        <w:rPr>
          <w:sz w:val="20"/>
          <w:szCs w:val="20"/>
        </w:rPr>
        <w:t xml:space="preserve">. </w:t>
      </w:r>
    </w:p>
    <w:p w14:paraId="7DCF125D" w14:textId="0D728B85" w:rsidR="00121255" w:rsidRPr="00860A38" w:rsidRDefault="00121255" w:rsidP="004F0B7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E5F31DF" w14:textId="77777777" w:rsidR="00413A5B" w:rsidRPr="00860A38" w:rsidRDefault="00413A5B" w:rsidP="004F0B7E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D79CF93" w14:textId="0647B41B" w:rsidR="00952A30" w:rsidRPr="00860A38" w:rsidRDefault="00621A5A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6</w:t>
      </w:r>
      <w:r w:rsidR="00E64884">
        <w:rPr>
          <w:sz w:val="20"/>
          <w:szCs w:val="20"/>
        </w:rPr>
        <w:t xml:space="preserve">. </w:t>
      </w:r>
      <w:r w:rsidR="008D354D" w:rsidRPr="00860A38">
        <w:rPr>
          <w:sz w:val="20"/>
          <w:szCs w:val="20"/>
        </w:rPr>
        <w:t>To</w:t>
      </w:r>
      <w:r w:rsidR="0090500D" w:rsidRPr="00860A38">
        <w:rPr>
          <w:sz w:val="20"/>
          <w:szCs w:val="20"/>
        </w:rPr>
        <w:t xml:space="preserve"> standardize suicide rates using Canadian ethnic distributions within each sex</w:t>
      </w:r>
      <w:r w:rsidR="00332A91" w:rsidRPr="00860A38">
        <w:rPr>
          <w:sz w:val="20"/>
          <w:szCs w:val="20"/>
        </w:rPr>
        <w:t>-specific</w:t>
      </w:r>
      <w:r w:rsidR="0090500D" w:rsidRPr="00860A38">
        <w:rPr>
          <w:sz w:val="20"/>
          <w:szCs w:val="20"/>
        </w:rPr>
        <w:t xml:space="preserve"> age group, we approximated Canadian ethnicity groups using US </w:t>
      </w:r>
      <w:r w:rsidR="000E0762">
        <w:rPr>
          <w:sz w:val="20"/>
          <w:szCs w:val="20"/>
        </w:rPr>
        <w:t>ethnic</w:t>
      </w:r>
      <w:r w:rsidR="000E0762" w:rsidRPr="00860A38">
        <w:rPr>
          <w:sz w:val="20"/>
          <w:szCs w:val="20"/>
        </w:rPr>
        <w:t xml:space="preserve"> </w:t>
      </w:r>
      <w:r w:rsidR="0090500D" w:rsidRPr="00860A38">
        <w:rPr>
          <w:sz w:val="20"/>
          <w:szCs w:val="20"/>
        </w:rPr>
        <w:t>groups in the WISQARS death data</w:t>
      </w:r>
      <w:r w:rsidR="009A1C7C" w:rsidRPr="00860A38">
        <w:rPr>
          <w:sz w:val="20"/>
          <w:szCs w:val="20"/>
        </w:rPr>
        <w:t xml:space="preserve">, within the same </w:t>
      </w:r>
      <w:r w:rsidR="004D713B" w:rsidRPr="00860A38">
        <w:rPr>
          <w:sz w:val="20"/>
          <w:szCs w:val="20"/>
        </w:rPr>
        <w:t>sex-specific</w:t>
      </w:r>
      <w:r w:rsidR="009A1C7C" w:rsidRPr="00860A38">
        <w:rPr>
          <w:sz w:val="20"/>
          <w:szCs w:val="20"/>
        </w:rPr>
        <w:t xml:space="preserve"> age groups </w:t>
      </w:r>
      <w:r w:rsidR="004D713B" w:rsidRPr="00860A38">
        <w:rPr>
          <w:sz w:val="20"/>
          <w:szCs w:val="20"/>
        </w:rPr>
        <w:t>for which Statistics Canada provided data</w:t>
      </w:r>
      <w:r w:rsidR="00E64884">
        <w:rPr>
          <w:sz w:val="20"/>
          <w:szCs w:val="20"/>
        </w:rPr>
        <w:t xml:space="preserve">. </w:t>
      </w:r>
      <w:r w:rsidR="004D713B" w:rsidRPr="00860A38">
        <w:rPr>
          <w:sz w:val="20"/>
          <w:szCs w:val="20"/>
        </w:rPr>
        <w:t>We approximated the</w:t>
      </w:r>
      <w:r w:rsidR="0090500D" w:rsidRPr="00860A38">
        <w:rPr>
          <w:sz w:val="20"/>
          <w:szCs w:val="20"/>
        </w:rPr>
        <w:t xml:space="preserve"> “African” category using the </w:t>
      </w:r>
      <w:r w:rsidR="004D713B" w:rsidRPr="00860A38">
        <w:rPr>
          <w:sz w:val="20"/>
          <w:szCs w:val="20"/>
        </w:rPr>
        <w:t>“</w:t>
      </w:r>
      <w:r w:rsidR="0090500D" w:rsidRPr="00860A38">
        <w:rPr>
          <w:sz w:val="20"/>
          <w:szCs w:val="20"/>
        </w:rPr>
        <w:t>Black</w:t>
      </w:r>
      <w:r w:rsidR="004D713B" w:rsidRPr="00860A38">
        <w:rPr>
          <w:sz w:val="20"/>
          <w:szCs w:val="20"/>
        </w:rPr>
        <w:t>”</w:t>
      </w:r>
      <w:r w:rsidR="0090500D" w:rsidRPr="00860A38">
        <w:rPr>
          <w:sz w:val="20"/>
          <w:szCs w:val="20"/>
        </w:rPr>
        <w:t xml:space="preserve"> category in the US data and the “Aboriginal” category using the </w:t>
      </w:r>
      <w:r w:rsidR="004D713B" w:rsidRPr="00860A38">
        <w:rPr>
          <w:sz w:val="20"/>
          <w:szCs w:val="20"/>
        </w:rPr>
        <w:t>“</w:t>
      </w:r>
      <w:r w:rsidR="0090500D" w:rsidRPr="00860A38">
        <w:rPr>
          <w:sz w:val="20"/>
          <w:szCs w:val="20"/>
        </w:rPr>
        <w:t>American Indian/Alaska Native</w:t>
      </w:r>
      <w:r w:rsidR="004D713B" w:rsidRPr="00860A38">
        <w:rPr>
          <w:sz w:val="20"/>
          <w:szCs w:val="20"/>
        </w:rPr>
        <w:t>”</w:t>
      </w:r>
      <w:r w:rsidR="0090500D" w:rsidRPr="00860A38">
        <w:rPr>
          <w:sz w:val="20"/>
          <w:szCs w:val="20"/>
        </w:rPr>
        <w:t xml:space="preserve"> category </w:t>
      </w:r>
      <w:r w:rsidR="004D713B" w:rsidRPr="00860A38">
        <w:rPr>
          <w:sz w:val="20"/>
          <w:szCs w:val="20"/>
        </w:rPr>
        <w:t>in</w:t>
      </w:r>
      <w:r w:rsidR="0090500D" w:rsidRPr="00860A38">
        <w:rPr>
          <w:sz w:val="20"/>
          <w:szCs w:val="20"/>
        </w:rPr>
        <w:t xml:space="preserve"> the US data</w:t>
      </w:r>
      <w:r w:rsidR="009A1C7C" w:rsidRPr="00860A38">
        <w:rPr>
          <w:sz w:val="20"/>
          <w:szCs w:val="20"/>
        </w:rPr>
        <w:t>, as seen in Table</w:t>
      </w:r>
      <w:r w:rsidR="00DF38D3" w:rsidRPr="00860A38">
        <w:rPr>
          <w:sz w:val="20"/>
          <w:szCs w:val="20"/>
        </w:rPr>
        <w:t xml:space="preserve"> </w:t>
      </w:r>
      <w:r w:rsidR="00B75276">
        <w:rPr>
          <w:sz w:val="20"/>
          <w:szCs w:val="20"/>
        </w:rPr>
        <w:t>S</w:t>
      </w:r>
      <w:r w:rsidR="00DF38D3" w:rsidRPr="00860A38">
        <w:rPr>
          <w:sz w:val="20"/>
          <w:szCs w:val="20"/>
        </w:rPr>
        <w:t>2</w:t>
      </w:r>
      <w:r w:rsidR="009A1C7C" w:rsidRPr="00860A38">
        <w:rPr>
          <w:sz w:val="20"/>
          <w:szCs w:val="20"/>
        </w:rPr>
        <w:t xml:space="preserve"> below for US deaths in males </w:t>
      </w:r>
      <w:r w:rsidR="004D713B" w:rsidRPr="00860A38">
        <w:rPr>
          <w:sz w:val="20"/>
          <w:szCs w:val="20"/>
        </w:rPr>
        <w:t xml:space="preserve">aged </w:t>
      </w:r>
      <w:r w:rsidR="009A1C7C" w:rsidRPr="00860A38">
        <w:rPr>
          <w:sz w:val="20"/>
          <w:szCs w:val="20"/>
        </w:rPr>
        <w:t>0-14</w:t>
      </w:r>
      <w:r w:rsidR="00E64884">
        <w:rPr>
          <w:sz w:val="20"/>
          <w:szCs w:val="20"/>
        </w:rPr>
        <w:t xml:space="preserve">. </w:t>
      </w:r>
      <w:r w:rsidR="004D713B" w:rsidRPr="00860A38">
        <w:rPr>
          <w:sz w:val="20"/>
          <w:szCs w:val="20"/>
        </w:rPr>
        <w:t>For each sex-specific age group, w</w:t>
      </w:r>
      <w:r w:rsidR="0090500D" w:rsidRPr="00860A38">
        <w:rPr>
          <w:sz w:val="20"/>
          <w:szCs w:val="20"/>
        </w:rPr>
        <w:t xml:space="preserve">e combined the death counts and population denominators in the </w:t>
      </w:r>
      <w:r w:rsidR="004D713B" w:rsidRPr="00860A38">
        <w:rPr>
          <w:sz w:val="20"/>
          <w:szCs w:val="20"/>
        </w:rPr>
        <w:t>“</w:t>
      </w:r>
      <w:r w:rsidR="0090500D" w:rsidRPr="00860A38">
        <w:rPr>
          <w:sz w:val="20"/>
          <w:szCs w:val="20"/>
        </w:rPr>
        <w:t>Asian/Pacific Islander</w:t>
      </w:r>
      <w:r w:rsidR="004D713B" w:rsidRPr="00860A38">
        <w:rPr>
          <w:sz w:val="20"/>
          <w:szCs w:val="20"/>
        </w:rPr>
        <w:t>”</w:t>
      </w:r>
      <w:r w:rsidR="0090500D" w:rsidRPr="00860A38">
        <w:rPr>
          <w:sz w:val="20"/>
          <w:szCs w:val="20"/>
        </w:rPr>
        <w:t xml:space="preserve"> group with </w:t>
      </w:r>
      <w:r w:rsidR="00332A91" w:rsidRPr="00860A38">
        <w:rPr>
          <w:sz w:val="20"/>
          <w:szCs w:val="20"/>
        </w:rPr>
        <w:t xml:space="preserve">those in </w:t>
      </w:r>
      <w:r w:rsidR="0090500D" w:rsidRPr="00860A38">
        <w:rPr>
          <w:sz w:val="20"/>
          <w:szCs w:val="20"/>
        </w:rPr>
        <w:t xml:space="preserve">the </w:t>
      </w:r>
      <w:r w:rsidR="004D713B" w:rsidRPr="00860A38">
        <w:rPr>
          <w:sz w:val="20"/>
          <w:szCs w:val="20"/>
        </w:rPr>
        <w:t>“</w:t>
      </w:r>
      <w:r w:rsidR="0090500D" w:rsidRPr="00860A38">
        <w:rPr>
          <w:sz w:val="20"/>
          <w:szCs w:val="20"/>
        </w:rPr>
        <w:t>White</w:t>
      </w:r>
      <w:r w:rsidR="004D713B" w:rsidRPr="00860A38">
        <w:rPr>
          <w:sz w:val="20"/>
          <w:szCs w:val="20"/>
        </w:rPr>
        <w:t>”</w:t>
      </w:r>
      <w:r w:rsidR="0090500D" w:rsidRPr="00860A38">
        <w:rPr>
          <w:sz w:val="20"/>
          <w:szCs w:val="20"/>
        </w:rPr>
        <w:t xml:space="preserve"> group, to approximate a “non-</w:t>
      </w:r>
      <w:r w:rsidR="004D713B" w:rsidRPr="00860A38">
        <w:rPr>
          <w:sz w:val="20"/>
          <w:szCs w:val="20"/>
        </w:rPr>
        <w:t xml:space="preserve">Aboriginal, non-African” group, </w:t>
      </w:r>
      <w:r w:rsidR="0090500D" w:rsidRPr="00860A38">
        <w:rPr>
          <w:sz w:val="20"/>
          <w:szCs w:val="20"/>
        </w:rPr>
        <w:t>as seen in the third row of the table</w:t>
      </w:r>
      <w:r w:rsidR="00E64884">
        <w:rPr>
          <w:sz w:val="20"/>
          <w:szCs w:val="20"/>
        </w:rPr>
        <w:t xml:space="preserve">. </w:t>
      </w:r>
      <w:r w:rsidR="004D713B" w:rsidRPr="00860A38">
        <w:rPr>
          <w:sz w:val="20"/>
          <w:szCs w:val="20"/>
        </w:rPr>
        <w:t>We obtained total suicide-fatality and cause-specific suicide fatality data in the sex-specific age groups by these three ethnicity categories</w:t>
      </w:r>
      <w:r w:rsidR="007A2028">
        <w:rPr>
          <w:sz w:val="20"/>
          <w:szCs w:val="20"/>
        </w:rPr>
        <w:t>.</w:t>
      </w:r>
    </w:p>
    <w:p w14:paraId="69BEE6B0" w14:textId="70124529" w:rsidR="00121255" w:rsidRDefault="00121255" w:rsidP="004F0B7E">
      <w:pPr>
        <w:rPr>
          <w:sz w:val="20"/>
          <w:szCs w:val="20"/>
        </w:rPr>
      </w:pPr>
    </w:p>
    <w:p w14:paraId="07F416B5" w14:textId="5691CB8E" w:rsidR="00860A38" w:rsidRDefault="00860A38" w:rsidP="004F0B7E">
      <w:pPr>
        <w:rPr>
          <w:sz w:val="20"/>
          <w:szCs w:val="20"/>
        </w:rPr>
      </w:pPr>
    </w:p>
    <w:sectPr w:rsidR="00860A38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1A7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AE9B4-891B-4779-A6F3-C1C3455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