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9D364" w14:textId="56F66058" w:rsidR="004F0B7E" w:rsidRPr="00860A38" w:rsidRDefault="001E03B0" w:rsidP="004F0B7E">
      <w:pPr>
        <w:rPr>
          <w:b/>
          <w:sz w:val="20"/>
          <w:szCs w:val="20"/>
        </w:rPr>
      </w:pPr>
      <w:proofErr w:type="gramStart"/>
      <w:r>
        <w:rPr>
          <w:b/>
          <w:sz w:val="20"/>
          <w:szCs w:val="20"/>
        </w:rPr>
        <w:t>Text S1.</w:t>
      </w:r>
      <w:proofErr w:type="gramEnd"/>
      <w:r>
        <w:rPr>
          <w:b/>
          <w:sz w:val="20"/>
          <w:szCs w:val="20"/>
        </w:rPr>
        <w:t xml:space="preserve"> </w:t>
      </w:r>
      <w:r w:rsidR="004F0B7E" w:rsidRPr="00860A38">
        <w:rPr>
          <w:b/>
          <w:sz w:val="20"/>
          <w:szCs w:val="20"/>
        </w:rPr>
        <w:t>Detailed summary of methods:</w:t>
      </w:r>
    </w:p>
    <w:p w14:paraId="6BAEA1C0" w14:textId="2266EE5F" w:rsidR="00121255" w:rsidRDefault="00121255" w:rsidP="004F0B7E">
      <w:pPr>
        <w:rPr>
          <w:sz w:val="20"/>
          <w:szCs w:val="20"/>
        </w:rPr>
      </w:pPr>
    </w:p>
    <w:p w14:paraId="61D38947" w14:textId="77777777" w:rsidR="00860A38" w:rsidRPr="00860A38" w:rsidRDefault="00860A38" w:rsidP="004F0B7E">
      <w:pPr>
        <w:rPr>
          <w:sz w:val="20"/>
          <w:szCs w:val="20"/>
        </w:rPr>
      </w:pPr>
    </w:p>
    <w:p w14:paraId="5793DBA3" w14:textId="4CECDF51" w:rsidR="00F32F99" w:rsidRPr="00860A38" w:rsidRDefault="00F32F99" w:rsidP="004F0B7E">
      <w:pPr>
        <w:rPr>
          <w:sz w:val="20"/>
          <w:szCs w:val="20"/>
        </w:rPr>
      </w:pPr>
      <w:r w:rsidRPr="00860A38">
        <w:rPr>
          <w:sz w:val="20"/>
          <w:szCs w:val="20"/>
        </w:rPr>
        <w:t>To compare US and Canadian suicide rates while accounting for ethnicity, we created a “Standardized US population” matching the ethnic composition of the Canadian population</w:t>
      </w:r>
      <w:r w:rsidR="00E64884">
        <w:rPr>
          <w:sz w:val="20"/>
          <w:szCs w:val="20"/>
        </w:rPr>
        <w:t xml:space="preserve">. </w:t>
      </w:r>
      <w:r w:rsidRPr="00860A38">
        <w:rPr>
          <w:sz w:val="20"/>
          <w:szCs w:val="20"/>
        </w:rPr>
        <w:t>We describe the steps we took to standardize the data and produce estimated suicide fatalities averted below</w:t>
      </w:r>
      <w:r w:rsidR="00E64884">
        <w:rPr>
          <w:sz w:val="20"/>
          <w:szCs w:val="20"/>
        </w:rPr>
        <w:t xml:space="preserve">. </w:t>
      </w:r>
      <w:r w:rsidRPr="00860A38">
        <w:rPr>
          <w:sz w:val="20"/>
          <w:szCs w:val="20"/>
        </w:rPr>
        <w:t xml:space="preserve"> </w:t>
      </w:r>
    </w:p>
    <w:p w14:paraId="3E919542" w14:textId="77777777" w:rsidR="006D59DC" w:rsidRPr="00860A38" w:rsidRDefault="006D59DC" w:rsidP="004F0B7E">
      <w:pPr>
        <w:rPr>
          <w:sz w:val="20"/>
          <w:szCs w:val="20"/>
        </w:rPr>
      </w:pPr>
    </w:p>
    <w:p w14:paraId="6A51177C" w14:textId="77777777" w:rsidR="00F73D5C" w:rsidRPr="00860A38" w:rsidRDefault="00F73D5C" w:rsidP="004F0B7E">
      <w:pPr>
        <w:rPr>
          <w:sz w:val="20"/>
          <w:szCs w:val="20"/>
        </w:rPr>
      </w:pPr>
    </w:p>
    <w:p w14:paraId="2249D0D8" w14:textId="3640012A" w:rsidR="008F76B9" w:rsidRPr="00860A38" w:rsidRDefault="003E2B44" w:rsidP="004F0B7E">
      <w:pPr>
        <w:rPr>
          <w:sz w:val="20"/>
          <w:szCs w:val="20"/>
        </w:rPr>
      </w:pPr>
      <w:r w:rsidRPr="00860A38">
        <w:rPr>
          <w:sz w:val="20"/>
          <w:szCs w:val="20"/>
        </w:rPr>
        <w:t>1</w:t>
      </w:r>
      <w:r w:rsidR="00E64884">
        <w:rPr>
          <w:sz w:val="20"/>
          <w:szCs w:val="20"/>
        </w:rPr>
        <w:t xml:space="preserve">. </w:t>
      </w:r>
      <w:r w:rsidR="001863A9" w:rsidRPr="00860A38">
        <w:rPr>
          <w:sz w:val="20"/>
          <w:szCs w:val="20"/>
        </w:rPr>
        <w:t>We downloaded d</w:t>
      </w:r>
      <w:r w:rsidR="008F76B9" w:rsidRPr="00860A38">
        <w:rPr>
          <w:sz w:val="20"/>
          <w:szCs w:val="20"/>
        </w:rPr>
        <w:t>emographic data on ethnicity by sex</w:t>
      </w:r>
      <w:r w:rsidR="003E05EC" w:rsidRPr="00860A38">
        <w:rPr>
          <w:sz w:val="20"/>
          <w:szCs w:val="20"/>
        </w:rPr>
        <w:t xml:space="preserve">-specific </w:t>
      </w:r>
      <w:r w:rsidR="001863A9" w:rsidRPr="00860A38">
        <w:rPr>
          <w:sz w:val="20"/>
          <w:szCs w:val="20"/>
        </w:rPr>
        <w:t>age groups in Canada</w:t>
      </w:r>
      <w:r w:rsidR="008F76B9" w:rsidRPr="00860A38">
        <w:rPr>
          <w:sz w:val="20"/>
          <w:szCs w:val="20"/>
        </w:rPr>
        <w:t xml:space="preserve"> from two </w:t>
      </w:r>
      <w:r w:rsidR="003E05EC" w:rsidRPr="00860A38">
        <w:rPr>
          <w:sz w:val="20"/>
          <w:szCs w:val="20"/>
        </w:rPr>
        <w:t xml:space="preserve">sets of tables from the </w:t>
      </w:r>
      <w:r w:rsidR="008F76B9" w:rsidRPr="00860A38">
        <w:rPr>
          <w:sz w:val="20"/>
          <w:szCs w:val="20"/>
        </w:rPr>
        <w:t>2016 Canadian Census</w:t>
      </w:r>
      <w:r w:rsidR="003E05EC" w:rsidRPr="00860A38">
        <w:rPr>
          <w:sz w:val="20"/>
          <w:szCs w:val="20"/>
        </w:rPr>
        <w:t xml:space="preserve">, </w:t>
      </w:r>
      <w:r w:rsidR="008F76B9" w:rsidRPr="00860A38">
        <w:rPr>
          <w:sz w:val="20"/>
          <w:szCs w:val="20"/>
        </w:rPr>
        <w:t xml:space="preserve">through Statistics Canada: </w:t>
      </w:r>
      <w:r w:rsidR="001863A9" w:rsidRPr="00860A38">
        <w:rPr>
          <w:sz w:val="20"/>
          <w:szCs w:val="20"/>
        </w:rPr>
        <w:t xml:space="preserve">(1) </w:t>
      </w:r>
      <w:r w:rsidR="008F76B9" w:rsidRPr="00860A38">
        <w:rPr>
          <w:sz w:val="20"/>
          <w:szCs w:val="20"/>
        </w:rPr>
        <w:t xml:space="preserve">a </w:t>
      </w:r>
      <w:r w:rsidR="003B73C7" w:rsidRPr="00860A38">
        <w:rPr>
          <w:sz w:val="20"/>
          <w:szCs w:val="20"/>
        </w:rPr>
        <w:t xml:space="preserve">set of </w:t>
      </w:r>
      <w:r w:rsidR="008F76B9" w:rsidRPr="00860A38">
        <w:rPr>
          <w:sz w:val="20"/>
          <w:szCs w:val="20"/>
        </w:rPr>
        <w:t>detailed ethnicity table</w:t>
      </w:r>
      <w:r w:rsidR="003B73C7" w:rsidRPr="00860A38">
        <w:rPr>
          <w:sz w:val="20"/>
          <w:szCs w:val="20"/>
        </w:rPr>
        <w:t>s</w:t>
      </w:r>
      <w:r w:rsidR="008F76B9" w:rsidRPr="00860A38">
        <w:rPr>
          <w:sz w:val="20"/>
          <w:szCs w:val="20"/>
        </w:rPr>
        <w:t xml:space="preserve"> listing </w:t>
      </w:r>
      <w:r w:rsidR="002F102D" w:rsidRPr="00860A38">
        <w:rPr>
          <w:sz w:val="20"/>
          <w:szCs w:val="20"/>
        </w:rPr>
        <w:t>the number of people who reported each</w:t>
      </w:r>
      <w:r w:rsidR="008F76B9" w:rsidRPr="00860A38">
        <w:rPr>
          <w:sz w:val="20"/>
          <w:szCs w:val="20"/>
        </w:rPr>
        <w:t xml:space="preserve"> continent and country of origin</w:t>
      </w:r>
      <w:r w:rsidR="003B73C7" w:rsidRPr="00860A38">
        <w:rPr>
          <w:sz w:val="20"/>
          <w:szCs w:val="20"/>
        </w:rPr>
        <w:t xml:space="preserve"> for each sex-specific age group</w:t>
      </w:r>
      <w:r w:rsidR="001863A9" w:rsidRPr="00860A38">
        <w:rPr>
          <w:sz w:val="20"/>
          <w:szCs w:val="20"/>
        </w:rPr>
        <w:t xml:space="preserve"> and whether individuals reported the relevant country of origin as a single or multiple country of origin response</w:t>
      </w:r>
      <w:r w:rsidR="008F76B9" w:rsidRPr="00860A38">
        <w:rPr>
          <w:sz w:val="20"/>
          <w:szCs w:val="20"/>
        </w:rPr>
        <w:t>,</w:t>
      </w:r>
      <w:r w:rsidR="008F76B9" w:rsidRPr="00860A38">
        <w:rPr>
          <w:sz w:val="20"/>
          <w:szCs w:val="20"/>
        </w:rPr>
        <w:fldChar w:fldCharType="begin" w:fldLock="1"/>
      </w:r>
      <w:r w:rsidR="003A6697">
        <w:rPr>
          <w:sz w:val="20"/>
          <w:szCs w:val="20"/>
        </w:rPr>
        <w:instrText>ADDIN CSL_CITATION {"citationItems":[{"id":"ITEM-1","itemData":{"URL":"https://www12.statcan.gc.ca/census-recensement/2016/dp-pd/dt-td/Rp-eng.cfm?lang=e&amp;apath=3&amp;detail=0&amp;dim=0&amp;fl=a&amp;free=0&amp;gc=0&amp;gid=0&amp;gk=0&amp;grp=1&amp;pid=110528&amp;prid=10&amp;ptype=109445&amp;s=0&amp;showall=0&amp;sub=0&amp;temporal=2017&amp;theme=120&amp;vid=0&amp;vnamee=&amp;vnamef","accessed":{"date-parts":[["2018","7","28"]]},"id":"ITEM-1","issued":{"date-parts":[["2018"]]},"title":"Ethnic Origin (279), Single and Multiple Ethnic Origin Responses (3), Generation Status (4), Age (12) and Sex (3) for the Population in Private Households of Canada, Provinces and Territories, Census Metropolitan Areas and Census Agglomerations, 2016 Cens","type":"webpage"},"uris":["http://www.mendeley.com/documents/?uuid=e0185c25-92bc-4c38-92d5-380ac99f613a"]}],"mendeley":{"formattedCitation":"&lt;sup&gt;2&lt;/sup&gt;","plainTextFormattedCitation":"2","previouslyFormattedCitation":"&lt;sup&gt;4&lt;/sup&gt;"},"properties":{"noteIndex":0},"schema":"https://github.com/citation-style-language/schema/raw/master/csl-citation.json"}</w:instrText>
      </w:r>
      <w:r w:rsidR="008F76B9" w:rsidRPr="00860A38">
        <w:rPr>
          <w:sz w:val="20"/>
          <w:szCs w:val="20"/>
        </w:rPr>
        <w:fldChar w:fldCharType="separate"/>
      </w:r>
      <w:r w:rsidR="003A6697" w:rsidRPr="003A6697">
        <w:rPr>
          <w:noProof/>
          <w:sz w:val="20"/>
          <w:szCs w:val="20"/>
          <w:vertAlign w:val="superscript"/>
        </w:rPr>
        <w:t>2</w:t>
      </w:r>
      <w:r w:rsidR="008F76B9" w:rsidRPr="00860A38">
        <w:rPr>
          <w:sz w:val="20"/>
          <w:szCs w:val="20"/>
        </w:rPr>
        <w:fldChar w:fldCharType="end"/>
      </w:r>
      <w:r w:rsidR="008F76B9" w:rsidRPr="00860A38">
        <w:rPr>
          <w:sz w:val="20"/>
          <w:szCs w:val="20"/>
        </w:rPr>
        <w:t xml:space="preserve"> and </w:t>
      </w:r>
      <w:r w:rsidR="001863A9" w:rsidRPr="00860A38">
        <w:rPr>
          <w:sz w:val="20"/>
          <w:szCs w:val="20"/>
        </w:rPr>
        <w:t xml:space="preserve">(2) </w:t>
      </w:r>
      <w:r w:rsidR="008F76B9" w:rsidRPr="00860A38">
        <w:rPr>
          <w:sz w:val="20"/>
          <w:szCs w:val="20"/>
        </w:rPr>
        <w:t xml:space="preserve">a less-detailed </w:t>
      </w:r>
      <w:r w:rsidR="003B73C7" w:rsidRPr="00860A38">
        <w:rPr>
          <w:sz w:val="20"/>
          <w:szCs w:val="20"/>
        </w:rPr>
        <w:t xml:space="preserve">set of </w:t>
      </w:r>
      <w:r w:rsidR="008F76B9" w:rsidRPr="00860A38">
        <w:rPr>
          <w:sz w:val="20"/>
          <w:szCs w:val="20"/>
        </w:rPr>
        <w:t>table</w:t>
      </w:r>
      <w:r w:rsidR="003B73C7" w:rsidRPr="00860A38">
        <w:rPr>
          <w:sz w:val="20"/>
          <w:szCs w:val="20"/>
        </w:rPr>
        <w:t>s</w:t>
      </w:r>
      <w:r w:rsidR="008F76B9" w:rsidRPr="00860A38">
        <w:rPr>
          <w:sz w:val="20"/>
          <w:szCs w:val="20"/>
        </w:rPr>
        <w:t xml:space="preserve"> listing </w:t>
      </w:r>
      <w:r w:rsidR="002F102D" w:rsidRPr="00860A38">
        <w:rPr>
          <w:sz w:val="20"/>
          <w:szCs w:val="20"/>
        </w:rPr>
        <w:t>the number of people who reported</w:t>
      </w:r>
      <w:r w:rsidR="008F76B9" w:rsidRPr="00860A38">
        <w:rPr>
          <w:sz w:val="20"/>
          <w:szCs w:val="20"/>
        </w:rPr>
        <w:t xml:space="preserve"> Aboriginal (First Nations, M</w:t>
      </w:r>
      <w:r w:rsidR="008F76B9" w:rsidRPr="00860A38">
        <w:rPr>
          <w:color w:val="000000"/>
          <w:sz w:val="20"/>
          <w:szCs w:val="20"/>
          <w:shd w:val="clear" w:color="auto" w:fill="FFFFFF"/>
        </w:rPr>
        <w:t>é</w:t>
      </w:r>
      <w:r w:rsidR="002F102D" w:rsidRPr="00860A38">
        <w:rPr>
          <w:sz w:val="20"/>
          <w:szCs w:val="20"/>
        </w:rPr>
        <w:t>tis, and Inuit) and</w:t>
      </w:r>
      <w:r w:rsidR="008F76B9" w:rsidRPr="00860A38">
        <w:rPr>
          <w:sz w:val="20"/>
          <w:szCs w:val="20"/>
        </w:rPr>
        <w:t xml:space="preserve"> non-Aboriginal origin</w:t>
      </w:r>
      <w:r w:rsidR="003B73C7" w:rsidRPr="00860A38">
        <w:rPr>
          <w:sz w:val="20"/>
          <w:szCs w:val="20"/>
        </w:rPr>
        <w:t>, for each sex-specific age group</w:t>
      </w:r>
      <w:r w:rsidR="00E64884">
        <w:rPr>
          <w:sz w:val="20"/>
          <w:szCs w:val="20"/>
        </w:rPr>
        <w:t xml:space="preserve">. </w:t>
      </w:r>
      <w:r w:rsidR="002F102D" w:rsidRPr="00860A38">
        <w:rPr>
          <w:sz w:val="20"/>
          <w:szCs w:val="20"/>
        </w:rPr>
        <w:t>This table also listed the number of people for whom each Aboriginal origin response was a single response or a multiple origin response</w:t>
      </w:r>
      <w:r w:rsidR="00F57736">
        <w:rPr>
          <w:sz w:val="20"/>
          <w:szCs w:val="20"/>
        </w:rPr>
        <w:t>.</w:t>
      </w:r>
      <w:r w:rsidR="008F76B9" w:rsidRPr="00860A38">
        <w:rPr>
          <w:sz w:val="20"/>
          <w:szCs w:val="20"/>
        </w:rPr>
        <w:fldChar w:fldCharType="begin" w:fldLock="1"/>
      </w:r>
      <w:r w:rsidR="003A6697">
        <w:rPr>
          <w:sz w:val="20"/>
          <w:szCs w:val="20"/>
        </w:rPr>
        <w:instrText>ADDIN CSL_CITATION {"citationItems":[{"id":"ITEM-1","itemData":{"URL":"https://www12.statcan.gc.ca/census-recensement/2016/dp-pd/dt-td/Rp-eng.cfm?lang=e&amp;apath=3&amp;detail=0&amp;dim=0&amp;fl=a&amp;free=0&amp;gc=0&amp;gid=0&amp;gk=0&amp;grp=1&amp;pid=111812&amp;prid=10&amp;ptype=109445&amp;s=0&amp;showall=0&amp;sub=0&amp;temporal=2017&amp;theme=122&amp;vid=0&amp;vnamee=&amp;vnamef","accessed":{"date-parts":[["2018","7","28"]]},"id":"ITEM-1","issued":{"date-parts":[["2018"]]},"title":"Aboriginal Ancestry (22), Residence by Aboriginal Geography (10), Age (10B) and Sex (3) for the Population in Private Households of Canada, Provinces and Territories, 2016 Census - 25% Sample Data. Statistics Canada","type":"webpage"},"uris":["http://www.mendeley.com/documents/?uuid=a4c820ff-509a-47df-aeb9-29a496dfefe1"]}],"mendeley":{"formattedCitation":"&lt;sup&gt;3&lt;/sup&gt;","plainTextFormattedCitation":"3","previouslyFormattedCitation":"&lt;sup&gt;5&lt;/sup&gt;"},"properties":{"noteIndex":0},"schema":"https://github.com/citation-style-language/schema/raw/master/csl-citation.json"}</w:instrText>
      </w:r>
      <w:r w:rsidR="008F76B9" w:rsidRPr="00860A38">
        <w:rPr>
          <w:sz w:val="20"/>
          <w:szCs w:val="20"/>
        </w:rPr>
        <w:fldChar w:fldCharType="separate"/>
      </w:r>
      <w:r w:rsidR="003A6697" w:rsidRPr="003A6697">
        <w:rPr>
          <w:noProof/>
          <w:sz w:val="20"/>
          <w:szCs w:val="20"/>
          <w:vertAlign w:val="superscript"/>
        </w:rPr>
        <w:t>3</w:t>
      </w:r>
      <w:r w:rsidR="008F76B9" w:rsidRPr="00860A38">
        <w:rPr>
          <w:sz w:val="20"/>
          <w:szCs w:val="20"/>
        </w:rPr>
        <w:fldChar w:fldCharType="end"/>
      </w:r>
      <w:r w:rsidR="002F102D" w:rsidRPr="00860A38">
        <w:rPr>
          <w:sz w:val="20"/>
          <w:szCs w:val="20"/>
        </w:rPr>
        <w:t xml:space="preserve"> We used these two tables to develop the ethnicity weights to apply to the US population and suicide fatality rates to make them more comparable to Canada</w:t>
      </w:r>
      <w:r w:rsidR="0004206E">
        <w:rPr>
          <w:sz w:val="20"/>
          <w:szCs w:val="20"/>
        </w:rPr>
        <w:t>.</w:t>
      </w:r>
    </w:p>
    <w:p w14:paraId="04DDB042" w14:textId="5BA4D27D" w:rsidR="008F76B9" w:rsidRPr="00860A38" w:rsidRDefault="008F76B9" w:rsidP="004F0B7E">
      <w:pPr>
        <w:ind w:left="360"/>
        <w:rPr>
          <w:sz w:val="20"/>
          <w:szCs w:val="20"/>
        </w:rPr>
      </w:pPr>
    </w:p>
    <w:p w14:paraId="5D2BFC78" w14:textId="77777777" w:rsidR="00121255" w:rsidRPr="00860A38" w:rsidRDefault="00121255" w:rsidP="004F0B7E">
      <w:pPr>
        <w:ind w:left="360"/>
        <w:rPr>
          <w:sz w:val="20"/>
          <w:szCs w:val="20"/>
        </w:rPr>
      </w:pPr>
    </w:p>
    <w:p w14:paraId="47BF99E2" w14:textId="5786D6C8" w:rsidR="008F76B9" w:rsidRPr="00860A38" w:rsidRDefault="001C54B2" w:rsidP="004F0B7E">
      <w:pPr>
        <w:rPr>
          <w:sz w:val="20"/>
          <w:szCs w:val="20"/>
        </w:rPr>
      </w:pPr>
      <w:r w:rsidRPr="00860A38">
        <w:rPr>
          <w:sz w:val="20"/>
          <w:szCs w:val="20"/>
        </w:rPr>
        <w:t>2</w:t>
      </w:r>
      <w:r w:rsidR="00E64884">
        <w:rPr>
          <w:sz w:val="20"/>
          <w:szCs w:val="20"/>
        </w:rPr>
        <w:t xml:space="preserve">. </w:t>
      </w:r>
      <w:r w:rsidR="002F102D" w:rsidRPr="00860A38">
        <w:rPr>
          <w:sz w:val="20"/>
          <w:szCs w:val="20"/>
        </w:rPr>
        <w:t>We used the</w:t>
      </w:r>
      <w:r w:rsidR="008F76B9" w:rsidRPr="00860A38">
        <w:rPr>
          <w:sz w:val="20"/>
          <w:szCs w:val="20"/>
        </w:rPr>
        <w:t xml:space="preserve"> “Total - residence on or off reserve” column of the le</w:t>
      </w:r>
      <w:r w:rsidR="002F102D" w:rsidRPr="00860A38">
        <w:rPr>
          <w:sz w:val="20"/>
          <w:szCs w:val="20"/>
        </w:rPr>
        <w:t xml:space="preserve">ss detailed ethnicity table </w:t>
      </w:r>
      <w:r w:rsidR="008F76B9" w:rsidRPr="00860A38">
        <w:rPr>
          <w:sz w:val="20"/>
          <w:szCs w:val="20"/>
        </w:rPr>
        <w:t>to extract the number of people with any Aboriginal ethnicity in each sex</w:t>
      </w:r>
      <w:r w:rsidR="00CF2F86" w:rsidRPr="00860A38">
        <w:rPr>
          <w:sz w:val="20"/>
          <w:szCs w:val="20"/>
        </w:rPr>
        <w:t xml:space="preserve">-specific </w:t>
      </w:r>
      <w:r w:rsidR="008F76B9" w:rsidRPr="00860A38">
        <w:rPr>
          <w:sz w:val="20"/>
          <w:szCs w:val="20"/>
        </w:rPr>
        <w:t>age group</w:t>
      </w:r>
      <w:r w:rsidR="00E64884">
        <w:rPr>
          <w:sz w:val="20"/>
          <w:szCs w:val="20"/>
        </w:rPr>
        <w:t xml:space="preserve">. </w:t>
      </w:r>
      <w:r w:rsidR="002F102D" w:rsidRPr="00860A38">
        <w:rPr>
          <w:sz w:val="20"/>
          <w:szCs w:val="20"/>
        </w:rPr>
        <w:t>We added</w:t>
      </w:r>
      <w:r w:rsidR="008F76B9" w:rsidRPr="00860A38">
        <w:rPr>
          <w:sz w:val="20"/>
          <w:szCs w:val="20"/>
        </w:rPr>
        <w:t xml:space="preserve"> the “Aboriginal ancestry (only)” cell and the “Aboriginal and non-Aboriginal ancestries” cell</w:t>
      </w:r>
      <w:r w:rsidR="002F102D" w:rsidRPr="00860A38">
        <w:rPr>
          <w:sz w:val="20"/>
          <w:szCs w:val="20"/>
        </w:rPr>
        <w:t>, categorizing any people with any aboriginal ancestry as aboriginal</w:t>
      </w:r>
      <w:r w:rsidR="00497DBE">
        <w:rPr>
          <w:sz w:val="20"/>
          <w:szCs w:val="20"/>
        </w:rPr>
        <w:t>.</w:t>
      </w:r>
    </w:p>
    <w:p w14:paraId="2991911F" w14:textId="7B81797B" w:rsidR="003E2B44" w:rsidRPr="00860A38" w:rsidRDefault="003E2B44" w:rsidP="004F0B7E">
      <w:pPr>
        <w:rPr>
          <w:sz w:val="20"/>
          <w:szCs w:val="20"/>
        </w:rPr>
      </w:pPr>
    </w:p>
    <w:p w14:paraId="311E677C" w14:textId="77777777" w:rsidR="00121255" w:rsidRPr="00860A38" w:rsidRDefault="00121255" w:rsidP="004F0B7E">
      <w:pPr>
        <w:rPr>
          <w:sz w:val="20"/>
          <w:szCs w:val="20"/>
        </w:rPr>
      </w:pPr>
    </w:p>
    <w:p w14:paraId="5079237C" w14:textId="46F4E46F" w:rsidR="003E2B44" w:rsidRPr="00860A38" w:rsidRDefault="001C54B2" w:rsidP="004F0B7E">
      <w:pPr>
        <w:rPr>
          <w:sz w:val="20"/>
          <w:szCs w:val="20"/>
        </w:rPr>
      </w:pPr>
      <w:r w:rsidRPr="00860A38">
        <w:rPr>
          <w:sz w:val="20"/>
          <w:szCs w:val="20"/>
        </w:rPr>
        <w:t>3</w:t>
      </w:r>
      <w:r w:rsidR="00E64884">
        <w:rPr>
          <w:sz w:val="20"/>
          <w:szCs w:val="20"/>
        </w:rPr>
        <w:t xml:space="preserve">. </w:t>
      </w:r>
      <w:r w:rsidR="002F102D" w:rsidRPr="00860A38">
        <w:rPr>
          <w:sz w:val="20"/>
          <w:szCs w:val="20"/>
        </w:rPr>
        <w:t xml:space="preserve">We estimated the </w:t>
      </w:r>
      <w:r w:rsidR="003E2B44" w:rsidRPr="00860A38">
        <w:rPr>
          <w:sz w:val="20"/>
          <w:szCs w:val="20"/>
        </w:rPr>
        <w:t>number of Canadians likely to be Black in each sex</w:t>
      </w:r>
      <w:r w:rsidR="00073E4F" w:rsidRPr="00860A38">
        <w:rPr>
          <w:sz w:val="20"/>
          <w:szCs w:val="20"/>
        </w:rPr>
        <w:t>-specific</w:t>
      </w:r>
      <w:r w:rsidR="003E2B44" w:rsidRPr="00860A38">
        <w:rPr>
          <w:sz w:val="20"/>
          <w:szCs w:val="20"/>
        </w:rPr>
        <w:t xml:space="preserve"> age group using the “African origins” cell of the “Total - single and multiple ethnic origin responses” column from the more detailed table of ethnicities</w:t>
      </w:r>
      <w:r w:rsidR="002F102D" w:rsidRPr="00860A38">
        <w:rPr>
          <w:sz w:val="20"/>
          <w:szCs w:val="20"/>
        </w:rPr>
        <w:t>, meaning that we considered all those who reported any African origins Black</w:t>
      </w:r>
      <w:r w:rsidR="00497DBE">
        <w:rPr>
          <w:sz w:val="20"/>
          <w:szCs w:val="20"/>
        </w:rPr>
        <w:t>.</w:t>
      </w:r>
    </w:p>
    <w:p w14:paraId="525321FD" w14:textId="7674C700" w:rsidR="003E2B44" w:rsidRPr="00860A38" w:rsidRDefault="003E2B44" w:rsidP="004F0B7E">
      <w:pPr>
        <w:rPr>
          <w:sz w:val="20"/>
          <w:szCs w:val="20"/>
        </w:rPr>
      </w:pPr>
    </w:p>
    <w:p w14:paraId="79034BB9" w14:textId="77777777" w:rsidR="00121255" w:rsidRPr="00860A38" w:rsidRDefault="00121255" w:rsidP="004F0B7E">
      <w:pPr>
        <w:rPr>
          <w:sz w:val="20"/>
          <w:szCs w:val="20"/>
        </w:rPr>
      </w:pPr>
    </w:p>
    <w:p w14:paraId="64AB399C" w14:textId="737BB08C" w:rsidR="004F0B7E" w:rsidRPr="00860A38" w:rsidRDefault="001C54B2" w:rsidP="004F0B7E">
      <w:pPr>
        <w:rPr>
          <w:sz w:val="20"/>
          <w:szCs w:val="20"/>
        </w:rPr>
      </w:pPr>
      <w:r w:rsidRPr="00860A38">
        <w:rPr>
          <w:sz w:val="20"/>
          <w:szCs w:val="20"/>
        </w:rPr>
        <w:t>4</w:t>
      </w:r>
      <w:r w:rsidR="00E64884">
        <w:rPr>
          <w:sz w:val="20"/>
          <w:szCs w:val="20"/>
        </w:rPr>
        <w:t xml:space="preserve">. </w:t>
      </w:r>
      <w:r w:rsidR="0077664B" w:rsidRPr="00860A38">
        <w:rPr>
          <w:sz w:val="20"/>
          <w:szCs w:val="20"/>
        </w:rPr>
        <w:t>For each sex-specific age group, w</w:t>
      </w:r>
      <w:r w:rsidR="002F102D" w:rsidRPr="00860A38">
        <w:rPr>
          <w:sz w:val="20"/>
          <w:szCs w:val="20"/>
        </w:rPr>
        <w:t>e estimated the</w:t>
      </w:r>
      <w:r w:rsidR="003E2B44" w:rsidRPr="00860A38">
        <w:rPr>
          <w:sz w:val="20"/>
          <w:szCs w:val="20"/>
        </w:rPr>
        <w:t xml:space="preserve"> number of non-Aboriginal, non-African </w:t>
      </w:r>
      <w:r w:rsidRPr="00860A38">
        <w:rPr>
          <w:sz w:val="20"/>
          <w:szCs w:val="20"/>
        </w:rPr>
        <w:t>Canadians</w:t>
      </w:r>
      <w:r w:rsidR="003E2B44" w:rsidRPr="00860A38">
        <w:rPr>
          <w:sz w:val="20"/>
          <w:szCs w:val="20"/>
        </w:rPr>
        <w:t xml:space="preserve"> by subtracting the </w:t>
      </w:r>
      <w:r w:rsidR="00E340FE" w:rsidRPr="00860A38">
        <w:rPr>
          <w:sz w:val="20"/>
          <w:szCs w:val="20"/>
        </w:rPr>
        <w:t xml:space="preserve">Aboriginal and </w:t>
      </w:r>
      <w:r w:rsidR="003E2B44" w:rsidRPr="00860A38">
        <w:rPr>
          <w:sz w:val="20"/>
          <w:szCs w:val="20"/>
        </w:rPr>
        <w:t xml:space="preserve">African numbers from the total denominator of those who reported ethnicities, </w:t>
      </w:r>
      <w:r w:rsidR="0077664B" w:rsidRPr="00860A38">
        <w:rPr>
          <w:sz w:val="20"/>
          <w:szCs w:val="20"/>
        </w:rPr>
        <w:t>as reported in</w:t>
      </w:r>
      <w:r w:rsidR="003E2B44" w:rsidRPr="00860A38">
        <w:rPr>
          <w:sz w:val="20"/>
          <w:szCs w:val="20"/>
        </w:rPr>
        <w:t xml:space="preserve"> the less detailed ethnicity table</w:t>
      </w:r>
      <w:r w:rsidR="00E340FE" w:rsidRPr="00860A38">
        <w:rPr>
          <w:sz w:val="20"/>
          <w:szCs w:val="20"/>
        </w:rPr>
        <w:t xml:space="preserve">, as can be seen in the third row of </w:t>
      </w:r>
      <w:r w:rsidR="0077664B" w:rsidRPr="00860A38">
        <w:rPr>
          <w:sz w:val="20"/>
          <w:szCs w:val="20"/>
        </w:rPr>
        <w:t>T</w:t>
      </w:r>
      <w:r w:rsidR="00E340FE" w:rsidRPr="00860A38">
        <w:rPr>
          <w:sz w:val="20"/>
          <w:szCs w:val="20"/>
        </w:rPr>
        <w:t>able</w:t>
      </w:r>
      <w:r w:rsidR="0077664B" w:rsidRPr="00860A38">
        <w:rPr>
          <w:sz w:val="20"/>
          <w:szCs w:val="20"/>
        </w:rPr>
        <w:t xml:space="preserve"> 1</w:t>
      </w:r>
      <w:r w:rsidR="00497DBE">
        <w:rPr>
          <w:sz w:val="20"/>
          <w:szCs w:val="20"/>
        </w:rPr>
        <w:t>.</w:t>
      </w:r>
    </w:p>
    <w:p w14:paraId="575DED3A" w14:textId="0B464FAC" w:rsidR="004F0B7E" w:rsidRDefault="004F0B7E" w:rsidP="004F0B7E">
      <w:pPr>
        <w:rPr>
          <w:sz w:val="20"/>
          <w:szCs w:val="20"/>
          <w:u w:val="single"/>
        </w:rPr>
      </w:pPr>
      <w:bookmarkStart w:id="0" w:name="_GoBack"/>
      <w:bookmarkEnd w:id="0"/>
    </w:p>
    <w:sectPr w:rsidR="004F0B7E" w:rsidSect="00B2679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E95A3" w14:textId="77777777" w:rsidR="004F754B" w:rsidRDefault="004F754B" w:rsidP="00133E3E">
      <w:r>
        <w:separator/>
      </w:r>
    </w:p>
  </w:endnote>
  <w:endnote w:type="continuationSeparator" w:id="0">
    <w:p w14:paraId="309E548E" w14:textId="77777777" w:rsidR="004F754B" w:rsidRDefault="004F754B" w:rsidP="0013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68757097"/>
      <w:docPartObj>
        <w:docPartGallery w:val="Page Numbers (Bottom of Page)"/>
        <w:docPartUnique/>
      </w:docPartObj>
    </w:sdtPr>
    <w:sdtEndPr>
      <w:rPr>
        <w:rStyle w:val="PageNumber"/>
      </w:rPr>
    </w:sdtEndPr>
    <w:sdtContent>
      <w:p w14:paraId="14F12E4F" w14:textId="6A8A877B" w:rsidR="004A63E3" w:rsidRDefault="004A63E3" w:rsidP="00F203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24441" w14:textId="77777777" w:rsidR="004A63E3" w:rsidRDefault="004A63E3" w:rsidP="004F0B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9337234"/>
      <w:docPartObj>
        <w:docPartGallery w:val="Page Numbers (Bottom of Page)"/>
        <w:docPartUnique/>
      </w:docPartObj>
    </w:sdtPr>
    <w:sdtEndPr>
      <w:rPr>
        <w:rStyle w:val="PageNumber"/>
      </w:rPr>
    </w:sdtEndPr>
    <w:sdtContent>
      <w:p w14:paraId="11B13058" w14:textId="2CC28CC8" w:rsidR="004A63E3" w:rsidRDefault="004A63E3" w:rsidP="00F203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2D1A">
          <w:rPr>
            <w:rStyle w:val="PageNumber"/>
            <w:noProof/>
          </w:rPr>
          <w:t>1</w:t>
        </w:r>
        <w:r>
          <w:rPr>
            <w:rStyle w:val="PageNumber"/>
          </w:rPr>
          <w:fldChar w:fldCharType="end"/>
        </w:r>
      </w:p>
    </w:sdtContent>
  </w:sdt>
  <w:p w14:paraId="0114B004" w14:textId="77777777" w:rsidR="004A63E3" w:rsidRDefault="004A63E3" w:rsidP="004F0B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9650C" w14:textId="77777777" w:rsidR="004F754B" w:rsidRDefault="004F754B" w:rsidP="00133E3E">
      <w:r>
        <w:separator/>
      </w:r>
    </w:p>
  </w:footnote>
  <w:footnote w:type="continuationSeparator" w:id="0">
    <w:p w14:paraId="48F76B53" w14:textId="77777777" w:rsidR="004F754B" w:rsidRDefault="004F754B" w:rsidP="0013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74C6"/>
    <w:multiLevelType w:val="hybridMultilevel"/>
    <w:tmpl w:val="EEFCB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D6EA8"/>
    <w:multiLevelType w:val="hybridMultilevel"/>
    <w:tmpl w:val="1A5E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5C"/>
    <w:rsid w:val="00002305"/>
    <w:rsid w:val="000306CB"/>
    <w:rsid w:val="00036119"/>
    <w:rsid w:val="0004206E"/>
    <w:rsid w:val="000468CE"/>
    <w:rsid w:val="00056C44"/>
    <w:rsid w:val="000603A5"/>
    <w:rsid w:val="00073E4F"/>
    <w:rsid w:val="000834CD"/>
    <w:rsid w:val="000867F8"/>
    <w:rsid w:val="000B2AE2"/>
    <w:rsid w:val="000B3BD6"/>
    <w:rsid w:val="000C057C"/>
    <w:rsid w:val="000C1084"/>
    <w:rsid w:val="000C225A"/>
    <w:rsid w:val="000C37B9"/>
    <w:rsid w:val="000E0762"/>
    <w:rsid w:val="000F7D4A"/>
    <w:rsid w:val="001056BF"/>
    <w:rsid w:val="00106779"/>
    <w:rsid w:val="001117DD"/>
    <w:rsid w:val="00112477"/>
    <w:rsid w:val="00121255"/>
    <w:rsid w:val="001224F3"/>
    <w:rsid w:val="00127482"/>
    <w:rsid w:val="00133E3E"/>
    <w:rsid w:val="00134A86"/>
    <w:rsid w:val="00137C6D"/>
    <w:rsid w:val="001436F4"/>
    <w:rsid w:val="00150338"/>
    <w:rsid w:val="00155C05"/>
    <w:rsid w:val="00160321"/>
    <w:rsid w:val="001619E3"/>
    <w:rsid w:val="0016290E"/>
    <w:rsid w:val="00171222"/>
    <w:rsid w:val="00185A30"/>
    <w:rsid w:val="001863A9"/>
    <w:rsid w:val="001868C6"/>
    <w:rsid w:val="00187595"/>
    <w:rsid w:val="00197AAD"/>
    <w:rsid w:val="001A4F01"/>
    <w:rsid w:val="001A6DBF"/>
    <w:rsid w:val="001B1855"/>
    <w:rsid w:val="001B2231"/>
    <w:rsid w:val="001C0035"/>
    <w:rsid w:val="001C0D7D"/>
    <w:rsid w:val="001C54B2"/>
    <w:rsid w:val="001D1141"/>
    <w:rsid w:val="001D6148"/>
    <w:rsid w:val="001E03B0"/>
    <w:rsid w:val="001E0C18"/>
    <w:rsid w:val="001E26A2"/>
    <w:rsid w:val="00204790"/>
    <w:rsid w:val="0020483A"/>
    <w:rsid w:val="00210567"/>
    <w:rsid w:val="002135D6"/>
    <w:rsid w:val="002158E3"/>
    <w:rsid w:val="00222874"/>
    <w:rsid w:val="00222F52"/>
    <w:rsid w:val="00227A45"/>
    <w:rsid w:val="002341CB"/>
    <w:rsid w:val="0024795A"/>
    <w:rsid w:val="00254066"/>
    <w:rsid w:val="002638B5"/>
    <w:rsid w:val="00264AA9"/>
    <w:rsid w:val="00274A8B"/>
    <w:rsid w:val="002811E7"/>
    <w:rsid w:val="00281999"/>
    <w:rsid w:val="0029691D"/>
    <w:rsid w:val="002A3FC3"/>
    <w:rsid w:val="002B1A69"/>
    <w:rsid w:val="002B4079"/>
    <w:rsid w:val="002B4498"/>
    <w:rsid w:val="002C7421"/>
    <w:rsid w:val="002C7A5C"/>
    <w:rsid w:val="002D43DA"/>
    <w:rsid w:val="002D6527"/>
    <w:rsid w:val="002D67A4"/>
    <w:rsid w:val="002E1173"/>
    <w:rsid w:val="002F102D"/>
    <w:rsid w:val="00300FC0"/>
    <w:rsid w:val="003054A2"/>
    <w:rsid w:val="00312192"/>
    <w:rsid w:val="00314069"/>
    <w:rsid w:val="00332A91"/>
    <w:rsid w:val="00333E42"/>
    <w:rsid w:val="00335980"/>
    <w:rsid w:val="003372D7"/>
    <w:rsid w:val="0034560C"/>
    <w:rsid w:val="0035210E"/>
    <w:rsid w:val="00357CAF"/>
    <w:rsid w:val="003616CD"/>
    <w:rsid w:val="00372353"/>
    <w:rsid w:val="0038768D"/>
    <w:rsid w:val="00390E1B"/>
    <w:rsid w:val="003927C3"/>
    <w:rsid w:val="003927EF"/>
    <w:rsid w:val="003968BC"/>
    <w:rsid w:val="003A2A70"/>
    <w:rsid w:val="003A34FD"/>
    <w:rsid w:val="003A6697"/>
    <w:rsid w:val="003B73C7"/>
    <w:rsid w:val="003D5E35"/>
    <w:rsid w:val="003E05EC"/>
    <w:rsid w:val="003E1585"/>
    <w:rsid w:val="003E2B44"/>
    <w:rsid w:val="003E4B24"/>
    <w:rsid w:val="003F16B4"/>
    <w:rsid w:val="003F71D3"/>
    <w:rsid w:val="004100C4"/>
    <w:rsid w:val="00413A48"/>
    <w:rsid w:val="00413A5B"/>
    <w:rsid w:val="00414967"/>
    <w:rsid w:val="00420B89"/>
    <w:rsid w:val="00425834"/>
    <w:rsid w:val="004333F0"/>
    <w:rsid w:val="00444C4A"/>
    <w:rsid w:val="00446EB9"/>
    <w:rsid w:val="00451356"/>
    <w:rsid w:val="00456CDF"/>
    <w:rsid w:val="0045794C"/>
    <w:rsid w:val="00466A72"/>
    <w:rsid w:val="004800BC"/>
    <w:rsid w:val="0049574D"/>
    <w:rsid w:val="00497DBE"/>
    <w:rsid w:val="004A13FB"/>
    <w:rsid w:val="004A63E3"/>
    <w:rsid w:val="004B39A5"/>
    <w:rsid w:val="004D713B"/>
    <w:rsid w:val="004E34B7"/>
    <w:rsid w:val="004F0B7E"/>
    <w:rsid w:val="004F754B"/>
    <w:rsid w:val="005076C5"/>
    <w:rsid w:val="00511F17"/>
    <w:rsid w:val="00524BBF"/>
    <w:rsid w:val="005661D8"/>
    <w:rsid w:val="005811D1"/>
    <w:rsid w:val="00586BEA"/>
    <w:rsid w:val="005A386E"/>
    <w:rsid w:val="005B31B3"/>
    <w:rsid w:val="005D260F"/>
    <w:rsid w:val="005D7745"/>
    <w:rsid w:val="005E104B"/>
    <w:rsid w:val="005E2C85"/>
    <w:rsid w:val="005E747D"/>
    <w:rsid w:val="00600E53"/>
    <w:rsid w:val="00621A5A"/>
    <w:rsid w:val="00623ECA"/>
    <w:rsid w:val="006241B7"/>
    <w:rsid w:val="00643509"/>
    <w:rsid w:val="006457D6"/>
    <w:rsid w:val="00666CE1"/>
    <w:rsid w:val="00676494"/>
    <w:rsid w:val="00685093"/>
    <w:rsid w:val="006A2064"/>
    <w:rsid w:val="006B1156"/>
    <w:rsid w:val="006B4083"/>
    <w:rsid w:val="006C0D16"/>
    <w:rsid w:val="006C1FC2"/>
    <w:rsid w:val="006D59DC"/>
    <w:rsid w:val="006E20C6"/>
    <w:rsid w:val="006E40F4"/>
    <w:rsid w:val="006E5FC1"/>
    <w:rsid w:val="006F0A8D"/>
    <w:rsid w:val="006F6102"/>
    <w:rsid w:val="006F71C3"/>
    <w:rsid w:val="00703949"/>
    <w:rsid w:val="0070629F"/>
    <w:rsid w:val="00733B3C"/>
    <w:rsid w:val="0073465C"/>
    <w:rsid w:val="00735CC6"/>
    <w:rsid w:val="007371F0"/>
    <w:rsid w:val="007406D1"/>
    <w:rsid w:val="0074374D"/>
    <w:rsid w:val="00752E7B"/>
    <w:rsid w:val="0077664B"/>
    <w:rsid w:val="00783350"/>
    <w:rsid w:val="00785EFE"/>
    <w:rsid w:val="00796D24"/>
    <w:rsid w:val="007A2028"/>
    <w:rsid w:val="007D2B7D"/>
    <w:rsid w:val="00807096"/>
    <w:rsid w:val="008157A5"/>
    <w:rsid w:val="00823755"/>
    <w:rsid w:val="00836491"/>
    <w:rsid w:val="00836DB2"/>
    <w:rsid w:val="00843830"/>
    <w:rsid w:val="00853337"/>
    <w:rsid w:val="00860A38"/>
    <w:rsid w:val="00863ACD"/>
    <w:rsid w:val="00880CBB"/>
    <w:rsid w:val="00881713"/>
    <w:rsid w:val="00884039"/>
    <w:rsid w:val="00886D9A"/>
    <w:rsid w:val="008B53AB"/>
    <w:rsid w:val="008B558E"/>
    <w:rsid w:val="008B6F77"/>
    <w:rsid w:val="008D354D"/>
    <w:rsid w:val="008D4E05"/>
    <w:rsid w:val="008F76B9"/>
    <w:rsid w:val="0090500D"/>
    <w:rsid w:val="00935B42"/>
    <w:rsid w:val="00935D74"/>
    <w:rsid w:val="00952A30"/>
    <w:rsid w:val="00955E20"/>
    <w:rsid w:val="009573D0"/>
    <w:rsid w:val="00961A6E"/>
    <w:rsid w:val="00964D1C"/>
    <w:rsid w:val="00964FE0"/>
    <w:rsid w:val="009815D4"/>
    <w:rsid w:val="00994B78"/>
    <w:rsid w:val="009A1C7C"/>
    <w:rsid w:val="009A3F27"/>
    <w:rsid w:val="009A5015"/>
    <w:rsid w:val="00A02451"/>
    <w:rsid w:val="00A056B2"/>
    <w:rsid w:val="00A11D2F"/>
    <w:rsid w:val="00A23A5A"/>
    <w:rsid w:val="00A252A0"/>
    <w:rsid w:val="00A31753"/>
    <w:rsid w:val="00A37B18"/>
    <w:rsid w:val="00A5097C"/>
    <w:rsid w:val="00A763D1"/>
    <w:rsid w:val="00AB63D5"/>
    <w:rsid w:val="00AD54E1"/>
    <w:rsid w:val="00AE0853"/>
    <w:rsid w:val="00AE0911"/>
    <w:rsid w:val="00AE3E9F"/>
    <w:rsid w:val="00AE5C3F"/>
    <w:rsid w:val="00AF1AE2"/>
    <w:rsid w:val="00AF50CB"/>
    <w:rsid w:val="00AF6658"/>
    <w:rsid w:val="00B07FCD"/>
    <w:rsid w:val="00B156E6"/>
    <w:rsid w:val="00B213B9"/>
    <w:rsid w:val="00B22E20"/>
    <w:rsid w:val="00B26793"/>
    <w:rsid w:val="00B32F8A"/>
    <w:rsid w:val="00B34E8C"/>
    <w:rsid w:val="00B4087D"/>
    <w:rsid w:val="00B5573A"/>
    <w:rsid w:val="00B75276"/>
    <w:rsid w:val="00BA5A6B"/>
    <w:rsid w:val="00BB5291"/>
    <w:rsid w:val="00BD2A3B"/>
    <w:rsid w:val="00BD6B3E"/>
    <w:rsid w:val="00BE2162"/>
    <w:rsid w:val="00C00EF5"/>
    <w:rsid w:val="00C055C2"/>
    <w:rsid w:val="00C11460"/>
    <w:rsid w:val="00C11D16"/>
    <w:rsid w:val="00C1475F"/>
    <w:rsid w:val="00C207EE"/>
    <w:rsid w:val="00C231A6"/>
    <w:rsid w:val="00C2546A"/>
    <w:rsid w:val="00C25BDC"/>
    <w:rsid w:val="00C27127"/>
    <w:rsid w:val="00C42B2B"/>
    <w:rsid w:val="00C652EE"/>
    <w:rsid w:val="00C77918"/>
    <w:rsid w:val="00C80A55"/>
    <w:rsid w:val="00CA77B1"/>
    <w:rsid w:val="00CC2890"/>
    <w:rsid w:val="00CD44D1"/>
    <w:rsid w:val="00CD44D3"/>
    <w:rsid w:val="00CE78D6"/>
    <w:rsid w:val="00CF0FE7"/>
    <w:rsid w:val="00CF2655"/>
    <w:rsid w:val="00CF2BA9"/>
    <w:rsid w:val="00CF2F86"/>
    <w:rsid w:val="00CF5145"/>
    <w:rsid w:val="00D0050E"/>
    <w:rsid w:val="00D05977"/>
    <w:rsid w:val="00D15BA0"/>
    <w:rsid w:val="00D27F95"/>
    <w:rsid w:val="00D410F6"/>
    <w:rsid w:val="00D45A72"/>
    <w:rsid w:val="00D67498"/>
    <w:rsid w:val="00D701BB"/>
    <w:rsid w:val="00D81F97"/>
    <w:rsid w:val="00D96C02"/>
    <w:rsid w:val="00DA3DA0"/>
    <w:rsid w:val="00DD5CD9"/>
    <w:rsid w:val="00DD797F"/>
    <w:rsid w:val="00DE3F6F"/>
    <w:rsid w:val="00DF38D3"/>
    <w:rsid w:val="00DF7CDA"/>
    <w:rsid w:val="00E02CB5"/>
    <w:rsid w:val="00E0316C"/>
    <w:rsid w:val="00E031E8"/>
    <w:rsid w:val="00E046FD"/>
    <w:rsid w:val="00E106EA"/>
    <w:rsid w:val="00E13ECC"/>
    <w:rsid w:val="00E30741"/>
    <w:rsid w:val="00E30CEF"/>
    <w:rsid w:val="00E31DA5"/>
    <w:rsid w:val="00E32DD8"/>
    <w:rsid w:val="00E340FE"/>
    <w:rsid w:val="00E34E9A"/>
    <w:rsid w:val="00E43E47"/>
    <w:rsid w:val="00E64884"/>
    <w:rsid w:val="00E9578B"/>
    <w:rsid w:val="00EA0076"/>
    <w:rsid w:val="00EA5C6F"/>
    <w:rsid w:val="00EC5DC9"/>
    <w:rsid w:val="00ED2B4D"/>
    <w:rsid w:val="00ED7343"/>
    <w:rsid w:val="00F01149"/>
    <w:rsid w:val="00F02143"/>
    <w:rsid w:val="00F033AA"/>
    <w:rsid w:val="00F03D5C"/>
    <w:rsid w:val="00F06569"/>
    <w:rsid w:val="00F0710D"/>
    <w:rsid w:val="00F12D1A"/>
    <w:rsid w:val="00F2034F"/>
    <w:rsid w:val="00F32F99"/>
    <w:rsid w:val="00F46B01"/>
    <w:rsid w:val="00F55F42"/>
    <w:rsid w:val="00F57736"/>
    <w:rsid w:val="00F609C0"/>
    <w:rsid w:val="00F73D5C"/>
    <w:rsid w:val="00F76630"/>
    <w:rsid w:val="00F769E5"/>
    <w:rsid w:val="00F80018"/>
    <w:rsid w:val="00F90DE9"/>
    <w:rsid w:val="00F91A2A"/>
    <w:rsid w:val="00FA7330"/>
    <w:rsid w:val="00FB685C"/>
    <w:rsid w:val="00FC51D0"/>
    <w:rsid w:val="00FC5501"/>
    <w:rsid w:val="00FD1D0F"/>
    <w:rsid w:val="00FE7178"/>
    <w:rsid w:val="00FF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65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6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D5C"/>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AB63D5"/>
    <w:rPr>
      <w:rFonts w:eastAsia="Times New Roman"/>
      <w:sz w:val="18"/>
      <w:szCs w:val="18"/>
    </w:rPr>
  </w:style>
  <w:style w:type="character" w:customStyle="1" w:styleId="BalloonTextChar">
    <w:name w:val="Balloon Text Char"/>
    <w:basedOn w:val="DefaultParagraphFont"/>
    <w:link w:val="BalloonText"/>
    <w:uiPriority w:val="99"/>
    <w:semiHidden/>
    <w:rsid w:val="00AB63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E5C3F"/>
    <w:rPr>
      <w:sz w:val="16"/>
      <w:szCs w:val="16"/>
    </w:rPr>
  </w:style>
  <w:style w:type="paragraph" w:styleId="CommentText">
    <w:name w:val="annotation text"/>
    <w:basedOn w:val="Normal"/>
    <w:link w:val="CommentTextChar"/>
    <w:uiPriority w:val="99"/>
    <w:semiHidden/>
    <w:unhideWhenUsed/>
    <w:rsid w:val="00AE5C3F"/>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E5C3F"/>
    <w:rPr>
      <w:rFonts w:eastAsiaTheme="minorEastAsia"/>
      <w:sz w:val="20"/>
      <w:szCs w:val="20"/>
    </w:rPr>
  </w:style>
  <w:style w:type="paragraph" w:styleId="Header">
    <w:name w:val="header"/>
    <w:basedOn w:val="Normal"/>
    <w:link w:val="HeaderChar"/>
    <w:uiPriority w:val="99"/>
    <w:unhideWhenUsed/>
    <w:rsid w:val="00133E3E"/>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133E3E"/>
    <w:rPr>
      <w:rFonts w:ascii="Times New Roman" w:eastAsia="Times New Roman" w:hAnsi="Times New Roman" w:cs="Times New Roman"/>
    </w:rPr>
  </w:style>
  <w:style w:type="paragraph" w:styleId="Footer">
    <w:name w:val="footer"/>
    <w:basedOn w:val="Normal"/>
    <w:link w:val="FooterChar"/>
    <w:uiPriority w:val="99"/>
    <w:unhideWhenUsed/>
    <w:rsid w:val="00133E3E"/>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133E3E"/>
    <w:rPr>
      <w:rFonts w:ascii="Times New Roman" w:eastAsia="Times New Roman" w:hAnsi="Times New Roman" w:cs="Times New Roman"/>
    </w:rPr>
  </w:style>
  <w:style w:type="character" w:customStyle="1" w:styleId="apple-converted-space">
    <w:name w:val="apple-converted-space"/>
    <w:basedOn w:val="DefaultParagraphFont"/>
    <w:rsid w:val="007406D1"/>
  </w:style>
  <w:style w:type="paragraph" w:styleId="CommentSubject">
    <w:name w:val="annotation subject"/>
    <w:basedOn w:val="CommentText"/>
    <w:next w:val="CommentText"/>
    <w:link w:val="CommentSubjectChar"/>
    <w:uiPriority w:val="99"/>
    <w:semiHidden/>
    <w:unhideWhenUsed/>
    <w:rsid w:val="002C7421"/>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C7421"/>
    <w:rPr>
      <w:rFonts w:ascii="Times New Roman" w:eastAsia="Times New Roman" w:hAnsi="Times New Roman" w:cs="Times New Roman"/>
      <w:b/>
      <w:bCs/>
      <w:sz w:val="20"/>
      <w:szCs w:val="20"/>
    </w:rPr>
  </w:style>
  <w:style w:type="table" w:styleId="TableGrid">
    <w:name w:val="Table Grid"/>
    <w:basedOn w:val="TableNormal"/>
    <w:uiPriority w:val="39"/>
    <w:rsid w:val="0003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F0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6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D5C"/>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AB63D5"/>
    <w:rPr>
      <w:rFonts w:eastAsia="Times New Roman"/>
      <w:sz w:val="18"/>
      <w:szCs w:val="18"/>
    </w:rPr>
  </w:style>
  <w:style w:type="character" w:customStyle="1" w:styleId="BalloonTextChar">
    <w:name w:val="Balloon Text Char"/>
    <w:basedOn w:val="DefaultParagraphFont"/>
    <w:link w:val="BalloonText"/>
    <w:uiPriority w:val="99"/>
    <w:semiHidden/>
    <w:rsid w:val="00AB63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E5C3F"/>
    <w:rPr>
      <w:sz w:val="16"/>
      <w:szCs w:val="16"/>
    </w:rPr>
  </w:style>
  <w:style w:type="paragraph" w:styleId="CommentText">
    <w:name w:val="annotation text"/>
    <w:basedOn w:val="Normal"/>
    <w:link w:val="CommentTextChar"/>
    <w:uiPriority w:val="99"/>
    <w:semiHidden/>
    <w:unhideWhenUsed/>
    <w:rsid w:val="00AE5C3F"/>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E5C3F"/>
    <w:rPr>
      <w:rFonts w:eastAsiaTheme="minorEastAsia"/>
      <w:sz w:val="20"/>
      <w:szCs w:val="20"/>
    </w:rPr>
  </w:style>
  <w:style w:type="paragraph" w:styleId="Header">
    <w:name w:val="header"/>
    <w:basedOn w:val="Normal"/>
    <w:link w:val="HeaderChar"/>
    <w:uiPriority w:val="99"/>
    <w:unhideWhenUsed/>
    <w:rsid w:val="00133E3E"/>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133E3E"/>
    <w:rPr>
      <w:rFonts w:ascii="Times New Roman" w:eastAsia="Times New Roman" w:hAnsi="Times New Roman" w:cs="Times New Roman"/>
    </w:rPr>
  </w:style>
  <w:style w:type="paragraph" w:styleId="Footer">
    <w:name w:val="footer"/>
    <w:basedOn w:val="Normal"/>
    <w:link w:val="FooterChar"/>
    <w:uiPriority w:val="99"/>
    <w:unhideWhenUsed/>
    <w:rsid w:val="00133E3E"/>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133E3E"/>
    <w:rPr>
      <w:rFonts w:ascii="Times New Roman" w:eastAsia="Times New Roman" w:hAnsi="Times New Roman" w:cs="Times New Roman"/>
    </w:rPr>
  </w:style>
  <w:style w:type="character" w:customStyle="1" w:styleId="apple-converted-space">
    <w:name w:val="apple-converted-space"/>
    <w:basedOn w:val="DefaultParagraphFont"/>
    <w:rsid w:val="007406D1"/>
  </w:style>
  <w:style w:type="paragraph" w:styleId="CommentSubject">
    <w:name w:val="annotation subject"/>
    <w:basedOn w:val="CommentText"/>
    <w:next w:val="CommentText"/>
    <w:link w:val="CommentSubjectChar"/>
    <w:uiPriority w:val="99"/>
    <w:semiHidden/>
    <w:unhideWhenUsed/>
    <w:rsid w:val="002C7421"/>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C7421"/>
    <w:rPr>
      <w:rFonts w:ascii="Times New Roman" w:eastAsia="Times New Roman" w:hAnsi="Times New Roman" w:cs="Times New Roman"/>
      <w:b/>
      <w:bCs/>
      <w:sz w:val="20"/>
      <w:szCs w:val="20"/>
    </w:rPr>
  </w:style>
  <w:style w:type="table" w:styleId="TableGrid">
    <w:name w:val="Table Grid"/>
    <w:basedOn w:val="TableNormal"/>
    <w:uiPriority w:val="39"/>
    <w:rsid w:val="0003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F0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6166">
      <w:bodyDiv w:val="1"/>
      <w:marLeft w:val="0"/>
      <w:marRight w:val="0"/>
      <w:marTop w:val="0"/>
      <w:marBottom w:val="0"/>
      <w:divBdr>
        <w:top w:val="none" w:sz="0" w:space="0" w:color="auto"/>
        <w:left w:val="none" w:sz="0" w:space="0" w:color="auto"/>
        <w:bottom w:val="none" w:sz="0" w:space="0" w:color="auto"/>
        <w:right w:val="none" w:sz="0" w:space="0" w:color="auto"/>
      </w:divBdr>
    </w:div>
    <w:div w:id="239026537">
      <w:bodyDiv w:val="1"/>
      <w:marLeft w:val="0"/>
      <w:marRight w:val="0"/>
      <w:marTop w:val="0"/>
      <w:marBottom w:val="0"/>
      <w:divBdr>
        <w:top w:val="none" w:sz="0" w:space="0" w:color="auto"/>
        <w:left w:val="none" w:sz="0" w:space="0" w:color="auto"/>
        <w:bottom w:val="none" w:sz="0" w:space="0" w:color="auto"/>
        <w:right w:val="none" w:sz="0" w:space="0" w:color="auto"/>
      </w:divBdr>
    </w:div>
    <w:div w:id="528566211">
      <w:bodyDiv w:val="1"/>
      <w:marLeft w:val="0"/>
      <w:marRight w:val="0"/>
      <w:marTop w:val="0"/>
      <w:marBottom w:val="0"/>
      <w:divBdr>
        <w:top w:val="none" w:sz="0" w:space="0" w:color="auto"/>
        <w:left w:val="none" w:sz="0" w:space="0" w:color="auto"/>
        <w:bottom w:val="none" w:sz="0" w:space="0" w:color="auto"/>
        <w:right w:val="none" w:sz="0" w:space="0" w:color="auto"/>
      </w:divBdr>
    </w:div>
    <w:div w:id="539899759">
      <w:bodyDiv w:val="1"/>
      <w:marLeft w:val="0"/>
      <w:marRight w:val="0"/>
      <w:marTop w:val="0"/>
      <w:marBottom w:val="0"/>
      <w:divBdr>
        <w:top w:val="none" w:sz="0" w:space="0" w:color="auto"/>
        <w:left w:val="none" w:sz="0" w:space="0" w:color="auto"/>
        <w:bottom w:val="none" w:sz="0" w:space="0" w:color="auto"/>
        <w:right w:val="none" w:sz="0" w:space="0" w:color="auto"/>
      </w:divBdr>
    </w:div>
    <w:div w:id="541944280">
      <w:bodyDiv w:val="1"/>
      <w:marLeft w:val="0"/>
      <w:marRight w:val="0"/>
      <w:marTop w:val="0"/>
      <w:marBottom w:val="0"/>
      <w:divBdr>
        <w:top w:val="none" w:sz="0" w:space="0" w:color="auto"/>
        <w:left w:val="none" w:sz="0" w:space="0" w:color="auto"/>
        <w:bottom w:val="none" w:sz="0" w:space="0" w:color="auto"/>
        <w:right w:val="none" w:sz="0" w:space="0" w:color="auto"/>
      </w:divBdr>
    </w:div>
    <w:div w:id="543448402">
      <w:bodyDiv w:val="1"/>
      <w:marLeft w:val="0"/>
      <w:marRight w:val="0"/>
      <w:marTop w:val="0"/>
      <w:marBottom w:val="0"/>
      <w:divBdr>
        <w:top w:val="none" w:sz="0" w:space="0" w:color="auto"/>
        <w:left w:val="none" w:sz="0" w:space="0" w:color="auto"/>
        <w:bottom w:val="none" w:sz="0" w:space="0" w:color="auto"/>
        <w:right w:val="none" w:sz="0" w:space="0" w:color="auto"/>
      </w:divBdr>
    </w:div>
    <w:div w:id="557788390">
      <w:bodyDiv w:val="1"/>
      <w:marLeft w:val="0"/>
      <w:marRight w:val="0"/>
      <w:marTop w:val="0"/>
      <w:marBottom w:val="0"/>
      <w:divBdr>
        <w:top w:val="none" w:sz="0" w:space="0" w:color="auto"/>
        <w:left w:val="none" w:sz="0" w:space="0" w:color="auto"/>
        <w:bottom w:val="none" w:sz="0" w:space="0" w:color="auto"/>
        <w:right w:val="none" w:sz="0" w:space="0" w:color="auto"/>
      </w:divBdr>
    </w:div>
    <w:div w:id="697007606">
      <w:bodyDiv w:val="1"/>
      <w:marLeft w:val="0"/>
      <w:marRight w:val="0"/>
      <w:marTop w:val="0"/>
      <w:marBottom w:val="0"/>
      <w:divBdr>
        <w:top w:val="none" w:sz="0" w:space="0" w:color="auto"/>
        <w:left w:val="none" w:sz="0" w:space="0" w:color="auto"/>
        <w:bottom w:val="none" w:sz="0" w:space="0" w:color="auto"/>
        <w:right w:val="none" w:sz="0" w:space="0" w:color="auto"/>
      </w:divBdr>
    </w:div>
    <w:div w:id="796144915">
      <w:bodyDiv w:val="1"/>
      <w:marLeft w:val="0"/>
      <w:marRight w:val="0"/>
      <w:marTop w:val="0"/>
      <w:marBottom w:val="0"/>
      <w:divBdr>
        <w:top w:val="none" w:sz="0" w:space="0" w:color="auto"/>
        <w:left w:val="none" w:sz="0" w:space="0" w:color="auto"/>
        <w:bottom w:val="none" w:sz="0" w:space="0" w:color="auto"/>
        <w:right w:val="none" w:sz="0" w:space="0" w:color="auto"/>
      </w:divBdr>
    </w:div>
    <w:div w:id="817264468">
      <w:bodyDiv w:val="1"/>
      <w:marLeft w:val="0"/>
      <w:marRight w:val="0"/>
      <w:marTop w:val="0"/>
      <w:marBottom w:val="0"/>
      <w:divBdr>
        <w:top w:val="none" w:sz="0" w:space="0" w:color="auto"/>
        <w:left w:val="none" w:sz="0" w:space="0" w:color="auto"/>
        <w:bottom w:val="none" w:sz="0" w:space="0" w:color="auto"/>
        <w:right w:val="none" w:sz="0" w:space="0" w:color="auto"/>
      </w:divBdr>
    </w:div>
    <w:div w:id="852918035">
      <w:bodyDiv w:val="1"/>
      <w:marLeft w:val="0"/>
      <w:marRight w:val="0"/>
      <w:marTop w:val="0"/>
      <w:marBottom w:val="0"/>
      <w:divBdr>
        <w:top w:val="none" w:sz="0" w:space="0" w:color="auto"/>
        <w:left w:val="none" w:sz="0" w:space="0" w:color="auto"/>
        <w:bottom w:val="none" w:sz="0" w:space="0" w:color="auto"/>
        <w:right w:val="none" w:sz="0" w:space="0" w:color="auto"/>
      </w:divBdr>
    </w:div>
    <w:div w:id="951932742">
      <w:bodyDiv w:val="1"/>
      <w:marLeft w:val="0"/>
      <w:marRight w:val="0"/>
      <w:marTop w:val="0"/>
      <w:marBottom w:val="0"/>
      <w:divBdr>
        <w:top w:val="none" w:sz="0" w:space="0" w:color="auto"/>
        <w:left w:val="none" w:sz="0" w:space="0" w:color="auto"/>
        <w:bottom w:val="none" w:sz="0" w:space="0" w:color="auto"/>
        <w:right w:val="none" w:sz="0" w:space="0" w:color="auto"/>
      </w:divBdr>
    </w:div>
    <w:div w:id="1036078239">
      <w:bodyDiv w:val="1"/>
      <w:marLeft w:val="0"/>
      <w:marRight w:val="0"/>
      <w:marTop w:val="0"/>
      <w:marBottom w:val="0"/>
      <w:divBdr>
        <w:top w:val="none" w:sz="0" w:space="0" w:color="auto"/>
        <w:left w:val="none" w:sz="0" w:space="0" w:color="auto"/>
        <w:bottom w:val="none" w:sz="0" w:space="0" w:color="auto"/>
        <w:right w:val="none" w:sz="0" w:space="0" w:color="auto"/>
      </w:divBdr>
    </w:div>
    <w:div w:id="1178618566">
      <w:bodyDiv w:val="1"/>
      <w:marLeft w:val="0"/>
      <w:marRight w:val="0"/>
      <w:marTop w:val="0"/>
      <w:marBottom w:val="0"/>
      <w:divBdr>
        <w:top w:val="none" w:sz="0" w:space="0" w:color="auto"/>
        <w:left w:val="none" w:sz="0" w:space="0" w:color="auto"/>
        <w:bottom w:val="none" w:sz="0" w:space="0" w:color="auto"/>
        <w:right w:val="none" w:sz="0" w:space="0" w:color="auto"/>
      </w:divBdr>
    </w:div>
    <w:div w:id="1235091654">
      <w:bodyDiv w:val="1"/>
      <w:marLeft w:val="0"/>
      <w:marRight w:val="0"/>
      <w:marTop w:val="0"/>
      <w:marBottom w:val="0"/>
      <w:divBdr>
        <w:top w:val="none" w:sz="0" w:space="0" w:color="auto"/>
        <w:left w:val="none" w:sz="0" w:space="0" w:color="auto"/>
        <w:bottom w:val="none" w:sz="0" w:space="0" w:color="auto"/>
        <w:right w:val="none" w:sz="0" w:space="0" w:color="auto"/>
      </w:divBdr>
    </w:div>
    <w:div w:id="15440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3270E-5722-496F-989A-C1F4E26F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Laura Ann</dc:creator>
  <cp:keywords/>
  <dc:description/>
  <cp:lastModifiedBy>Guna Sankar</cp:lastModifiedBy>
  <cp:revision>8</cp:revision>
  <dcterms:created xsi:type="dcterms:W3CDTF">2020-03-09T17:42:00Z</dcterms:created>
  <dcterms:modified xsi:type="dcterms:W3CDTF">2020-04-23T15:05:00Z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02e3f957-7bf4-3c0e-a1eb-906a5951d056</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http://www.zotero.org/styles/bmj-open</vt:lpwstr>
  </property>
  <property fmtid="{D5CDD505-2E9C-101B-9397-08002B2CF9AE}" pid="12" name="Mendeley Recent Style Name 3_1">
    <vt:lpwstr>BMJ Open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9th edition - Harvard</vt:lpwstr>
  </property>
  <property fmtid="{D5CDD505-2E9C-101B-9397-08002B2CF9AE}" pid="17" name="Mendeley Recent Style Id 6_1">
    <vt:lpwstr>http://www.zotero.org/styles/frontiers-in-psychiatry</vt:lpwstr>
  </property>
  <property fmtid="{D5CDD505-2E9C-101B-9397-08002B2CF9AE}" pid="18" name="Mendeley Recent Style Name 6_1">
    <vt:lpwstr>Frontiers in Psychiatry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http://www.zotero.org/styles/springer-basic-brackets</vt:lpwstr>
  </property>
  <property fmtid="{D5CDD505-2E9C-101B-9397-08002B2CF9AE}" pid="22" name="Mendeley Recent Style Name 8_1">
    <vt:lpwstr>Springer - Basic (numeric, brackets)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