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3F69" w:rsidRPr="008F13F4" w:rsidRDefault="00B23F69" w:rsidP="00425648">
      <w:pPr>
        <w:pStyle w:val="Heading1"/>
        <w:rPr>
          <w:rFonts w:ascii="Arial" w:hAnsi="Arial" w:cs="Arial"/>
          <w:b/>
          <w:color w:val="auto"/>
          <w:sz w:val="24"/>
          <w:szCs w:val="24"/>
        </w:rPr>
      </w:pPr>
      <w:bookmarkStart w:id="0" w:name="_GoBack"/>
      <w:bookmarkEnd w:id="0"/>
      <w:r w:rsidRPr="008F13F4">
        <w:rPr>
          <w:rFonts w:ascii="Arial" w:hAnsi="Arial" w:cs="Arial"/>
          <w:b/>
          <w:color w:val="auto"/>
          <w:sz w:val="24"/>
          <w:szCs w:val="24"/>
        </w:rPr>
        <w:t>Estimation of annual health and personal social service costs incurred by adults with PTSD and adults without PTSD</w:t>
      </w:r>
    </w:p>
    <w:p w:rsidR="00B23F69" w:rsidRPr="008F13F4" w:rsidRDefault="00B23F69" w:rsidP="00425648">
      <w:pPr>
        <w:spacing w:after="0"/>
        <w:rPr>
          <w:rFonts w:ascii="Arial" w:hAnsi="Arial" w:cs="Arial"/>
        </w:rPr>
      </w:pPr>
    </w:p>
    <w:p w:rsidR="00B23F69" w:rsidRPr="00D35AB7" w:rsidRDefault="00B23F69" w:rsidP="00425648">
      <w:pPr>
        <w:spacing w:after="0" w:line="480" w:lineRule="auto"/>
        <w:rPr>
          <w:rFonts w:ascii="Arial" w:hAnsi="Arial" w:cs="Arial"/>
          <w:color w:val="FF0000"/>
        </w:rPr>
        <w:sectPr w:rsidR="00B23F69" w:rsidRPr="00D35AB7" w:rsidSect="009D29A7">
          <w:footerReference w:type="default" r:id="rId7"/>
          <w:pgSz w:w="11906" w:h="16838"/>
          <w:pgMar w:top="1440" w:right="1440" w:bottom="1440" w:left="1440" w:header="708" w:footer="708" w:gutter="0"/>
          <w:lnNumType w:countBy="1" w:restart="continuous"/>
          <w:cols w:space="708"/>
          <w:docGrid w:linePitch="360"/>
        </w:sectPr>
      </w:pPr>
      <w:r w:rsidRPr="008F13F4">
        <w:rPr>
          <w:rFonts w:ascii="Arial" w:hAnsi="Arial" w:cs="Arial"/>
        </w:rPr>
        <w:t>The costs of the PTSD and PTSD-free states were estimated using health and personal social service usage data from the Adult Psychiatric Morbidity Survey conducted in England in 2014</w:t>
      </w:r>
      <w:r w:rsidR="007B478D">
        <w:rPr>
          <w:rFonts w:ascii="Arial" w:hAnsi="Arial" w:cs="Arial"/>
        </w:rPr>
        <w:t xml:space="preserve"> [1]</w:t>
      </w:r>
      <w:r w:rsidRPr="008F13F4">
        <w:rPr>
          <w:rFonts w:ascii="Arial" w:hAnsi="Arial" w:cs="Arial"/>
        </w:rPr>
        <w:t xml:space="preserve">, supplemented with </w:t>
      </w:r>
      <w:r>
        <w:rPr>
          <w:rFonts w:ascii="Arial" w:hAnsi="Arial" w:cs="Arial"/>
        </w:rPr>
        <w:t xml:space="preserve">other published </w:t>
      </w:r>
      <w:r w:rsidRPr="008F13F4">
        <w:rPr>
          <w:rFonts w:ascii="Arial" w:hAnsi="Arial" w:cs="Arial"/>
        </w:rPr>
        <w:t>resource use data and expert opinion. The survey reported the p</w:t>
      </w:r>
      <w:r>
        <w:rPr>
          <w:rFonts w:ascii="Arial" w:hAnsi="Arial" w:cs="Arial"/>
        </w:rPr>
        <w:t>ercentage of adults with PTSD and those</w:t>
      </w:r>
      <w:r w:rsidRPr="008F13F4">
        <w:rPr>
          <w:rFonts w:ascii="Arial" w:hAnsi="Arial" w:cs="Arial"/>
        </w:rPr>
        <w:t xml:space="preserve"> without PTSD that were currently receiving treatment and/or had </w:t>
      </w:r>
      <w:r>
        <w:rPr>
          <w:rFonts w:ascii="Arial" w:hAnsi="Arial" w:cs="Arial"/>
        </w:rPr>
        <w:t>used</w:t>
      </w:r>
      <w:r w:rsidRPr="008F13F4">
        <w:rPr>
          <w:rFonts w:ascii="Arial" w:hAnsi="Arial" w:cs="Arial"/>
        </w:rPr>
        <w:t xml:space="preserve"> a range </w:t>
      </w:r>
      <w:r>
        <w:rPr>
          <w:rFonts w:ascii="Arial" w:hAnsi="Arial" w:cs="Arial"/>
        </w:rPr>
        <w:t xml:space="preserve">of </w:t>
      </w:r>
      <w:r w:rsidRPr="008F13F4">
        <w:rPr>
          <w:rFonts w:ascii="Arial" w:hAnsi="Arial" w:cs="Arial"/>
        </w:rPr>
        <w:t xml:space="preserve">services over the last quarter or year for a mental or emotional problem. </w:t>
      </w:r>
      <w:r>
        <w:rPr>
          <w:rFonts w:ascii="Arial" w:hAnsi="Arial" w:cs="Arial"/>
        </w:rPr>
        <w:t>Se</w:t>
      </w:r>
      <w:r w:rsidRPr="008F13F4">
        <w:rPr>
          <w:rFonts w:ascii="Arial" w:hAnsi="Arial" w:cs="Arial"/>
        </w:rPr>
        <w:t xml:space="preserve">rvices included inpatient </w:t>
      </w:r>
      <w:r>
        <w:rPr>
          <w:rFonts w:ascii="Arial" w:hAnsi="Arial" w:cs="Arial"/>
        </w:rPr>
        <w:t xml:space="preserve">and </w:t>
      </w:r>
      <w:r w:rsidRPr="008F13F4">
        <w:rPr>
          <w:rFonts w:ascii="Arial" w:hAnsi="Arial" w:cs="Arial"/>
        </w:rPr>
        <w:t xml:space="preserve">outpatient </w:t>
      </w:r>
      <w:r>
        <w:rPr>
          <w:rFonts w:ascii="Arial" w:hAnsi="Arial" w:cs="Arial"/>
        </w:rPr>
        <w:t>care</w:t>
      </w:r>
      <w:r w:rsidRPr="008F13F4">
        <w:rPr>
          <w:rFonts w:ascii="Arial" w:hAnsi="Arial" w:cs="Arial"/>
        </w:rPr>
        <w:t xml:space="preserve">, and contacts with </w:t>
      </w:r>
      <w:r>
        <w:rPr>
          <w:rFonts w:ascii="Arial" w:hAnsi="Arial" w:cs="Arial"/>
        </w:rPr>
        <w:t>general practitioners (</w:t>
      </w:r>
      <w:r w:rsidRPr="008F13F4">
        <w:rPr>
          <w:rFonts w:ascii="Arial" w:hAnsi="Arial" w:cs="Arial"/>
        </w:rPr>
        <w:t>GPs</w:t>
      </w:r>
      <w:r>
        <w:rPr>
          <w:rFonts w:ascii="Arial" w:hAnsi="Arial" w:cs="Arial"/>
        </w:rPr>
        <w:t>)</w:t>
      </w:r>
      <w:r w:rsidRPr="008F13F4">
        <w:rPr>
          <w:rFonts w:ascii="Arial" w:hAnsi="Arial" w:cs="Arial"/>
        </w:rPr>
        <w:t>, psychiatrists, psychologists, community psychiatric nurses, community learning disability nurses, other nursing services, social workers, self-help and support groups, home help or home care, outreach or family support workers and community day-care centres. The reported percentage</w:t>
      </w:r>
      <w:r>
        <w:rPr>
          <w:rFonts w:ascii="Arial" w:hAnsi="Arial" w:cs="Arial"/>
        </w:rPr>
        <w:t>s</w:t>
      </w:r>
      <w:r w:rsidRPr="008F13F4">
        <w:rPr>
          <w:rFonts w:ascii="Arial" w:hAnsi="Arial" w:cs="Arial"/>
        </w:rPr>
        <w:t xml:space="preserve"> of survey respondents using </w:t>
      </w:r>
      <w:r>
        <w:rPr>
          <w:rFonts w:ascii="Arial" w:hAnsi="Arial" w:cs="Arial"/>
        </w:rPr>
        <w:t>each</w:t>
      </w:r>
      <w:r w:rsidRPr="008F13F4">
        <w:rPr>
          <w:rFonts w:ascii="Arial" w:hAnsi="Arial" w:cs="Arial"/>
        </w:rPr>
        <w:t xml:space="preserve"> service over a period of time were extrapolated, where needed, in order to estimate the percentage of adults with and without PTSD using each service annual</w:t>
      </w:r>
      <w:r>
        <w:rPr>
          <w:rFonts w:ascii="Arial" w:hAnsi="Arial" w:cs="Arial"/>
        </w:rPr>
        <w:t>ly</w:t>
      </w:r>
      <w:r w:rsidRPr="008F13F4">
        <w:rPr>
          <w:rFonts w:ascii="Arial" w:hAnsi="Arial" w:cs="Arial"/>
        </w:rPr>
        <w:t xml:space="preserve">. </w:t>
      </w:r>
      <w:r>
        <w:rPr>
          <w:rFonts w:ascii="Arial" w:hAnsi="Arial" w:cs="Arial"/>
        </w:rPr>
        <w:t>T</w:t>
      </w:r>
      <w:r w:rsidRPr="008F13F4">
        <w:rPr>
          <w:rFonts w:ascii="Arial" w:hAnsi="Arial" w:cs="Arial"/>
        </w:rPr>
        <w:t xml:space="preserve">he exact resource use of each service (e.g. number of psychological treatment sessions, number of outpatient visits) was not </w:t>
      </w:r>
      <w:r>
        <w:rPr>
          <w:rFonts w:ascii="Arial" w:hAnsi="Arial" w:cs="Arial"/>
        </w:rPr>
        <w:t>available from</w:t>
      </w:r>
      <w:r w:rsidRPr="008F13F4">
        <w:rPr>
          <w:rFonts w:ascii="Arial" w:hAnsi="Arial" w:cs="Arial"/>
        </w:rPr>
        <w:t xml:space="preserve"> the survey. The mean number of sessions for adults receiving psychological treatment was taken from an annual </w:t>
      </w:r>
      <w:r w:rsidRPr="00672C72">
        <w:rPr>
          <w:rFonts w:ascii="Arial" w:hAnsi="Arial" w:cs="Arial"/>
        </w:rPr>
        <w:t>report on the use of Improving Access to Psychological Therapies</w:t>
      </w:r>
      <w:r>
        <w:rPr>
          <w:rFonts w:ascii="Arial" w:hAnsi="Arial" w:cs="Arial"/>
        </w:rPr>
        <w:t xml:space="preserve"> (</w:t>
      </w:r>
      <w:r w:rsidRPr="00672C72">
        <w:rPr>
          <w:rFonts w:ascii="Arial" w:hAnsi="Arial" w:cs="Arial"/>
        </w:rPr>
        <w:t>IAPT</w:t>
      </w:r>
      <w:r>
        <w:rPr>
          <w:rFonts w:ascii="Arial" w:hAnsi="Arial" w:cs="Arial"/>
        </w:rPr>
        <w:t>)</w:t>
      </w:r>
      <w:r w:rsidRPr="00672C72">
        <w:rPr>
          <w:rFonts w:ascii="Arial" w:hAnsi="Arial" w:cs="Arial"/>
        </w:rPr>
        <w:t xml:space="preserve"> services</w:t>
      </w:r>
      <w:r w:rsidR="007B478D">
        <w:rPr>
          <w:rFonts w:ascii="Arial" w:hAnsi="Arial" w:cs="Arial"/>
        </w:rPr>
        <w:t xml:space="preserve"> [2]</w:t>
      </w:r>
      <w:r w:rsidRPr="00672C72">
        <w:rPr>
          <w:rFonts w:ascii="Arial" w:hAnsi="Arial" w:cs="Arial"/>
        </w:rPr>
        <w:t>. The mean length of stay for adults receiving inpatient care was taken</w:t>
      </w:r>
      <w:r>
        <w:rPr>
          <w:rFonts w:ascii="Arial" w:hAnsi="Arial" w:cs="Arial"/>
        </w:rPr>
        <w:t xml:space="preserve"> from national </w:t>
      </w:r>
      <w:r w:rsidRPr="00672C72">
        <w:rPr>
          <w:rFonts w:ascii="Arial" w:hAnsi="Arial" w:cs="Arial"/>
        </w:rPr>
        <w:t>statistics</w:t>
      </w:r>
      <w:r w:rsidR="007B478D">
        <w:rPr>
          <w:rFonts w:ascii="Arial" w:hAnsi="Arial" w:cs="Arial"/>
        </w:rPr>
        <w:t xml:space="preserve"> [3]</w:t>
      </w:r>
      <w:r w:rsidRPr="00672C72">
        <w:rPr>
          <w:rFonts w:ascii="Arial" w:hAnsi="Arial" w:cs="Arial"/>
        </w:rPr>
        <w:t>.</w:t>
      </w:r>
      <w:r>
        <w:rPr>
          <w:rFonts w:ascii="Arial" w:hAnsi="Arial" w:cs="Arial"/>
        </w:rPr>
        <w:t xml:space="preserve"> We further </w:t>
      </w:r>
      <w:r w:rsidRPr="00672C72">
        <w:rPr>
          <w:rFonts w:ascii="Arial" w:hAnsi="Arial" w:cs="Arial"/>
        </w:rPr>
        <w:t xml:space="preserve">estimated the number </w:t>
      </w:r>
      <w:r>
        <w:rPr>
          <w:rFonts w:ascii="Arial" w:hAnsi="Arial" w:cs="Arial"/>
        </w:rPr>
        <w:t xml:space="preserve">and duration </w:t>
      </w:r>
      <w:r w:rsidRPr="00672C72">
        <w:rPr>
          <w:rFonts w:ascii="Arial" w:hAnsi="Arial" w:cs="Arial"/>
        </w:rPr>
        <w:t xml:space="preserve">of visits </w:t>
      </w:r>
      <w:r>
        <w:rPr>
          <w:rFonts w:ascii="Arial" w:hAnsi="Arial" w:cs="Arial"/>
        </w:rPr>
        <w:t>to other services</w:t>
      </w:r>
      <w:r w:rsidRPr="00672C72">
        <w:rPr>
          <w:rFonts w:ascii="Arial" w:hAnsi="Arial" w:cs="Arial"/>
        </w:rPr>
        <w:t>, in order to provide a total resource use estimate. Information on the number of GP visits for adults with mental health problems was sought from published UK evidence</w:t>
      </w:r>
      <w:r w:rsidR="007B478D">
        <w:rPr>
          <w:rFonts w:ascii="Arial" w:hAnsi="Arial" w:cs="Arial"/>
        </w:rPr>
        <w:t xml:space="preserve"> [4]</w:t>
      </w:r>
      <w:r w:rsidRPr="00672C72">
        <w:rPr>
          <w:rFonts w:ascii="Arial" w:hAnsi="Arial" w:cs="Arial"/>
        </w:rPr>
        <w:t>. The r</w:t>
      </w:r>
      <w:r>
        <w:rPr>
          <w:rFonts w:ascii="Arial" w:hAnsi="Arial" w:cs="Arial"/>
        </w:rPr>
        <w:t xml:space="preserve">esource use estimates were </w:t>
      </w:r>
      <w:r w:rsidRPr="00672C72">
        <w:rPr>
          <w:rFonts w:ascii="Arial" w:hAnsi="Arial" w:cs="Arial"/>
        </w:rPr>
        <w:t xml:space="preserve">combined with </w:t>
      </w:r>
      <w:r>
        <w:rPr>
          <w:rFonts w:ascii="Arial" w:hAnsi="Arial" w:cs="Arial"/>
        </w:rPr>
        <w:t>national</w:t>
      </w:r>
      <w:r w:rsidRPr="00672C72">
        <w:rPr>
          <w:rFonts w:ascii="Arial" w:hAnsi="Arial" w:cs="Arial"/>
        </w:rPr>
        <w:t xml:space="preserve"> unit costs</w:t>
      </w:r>
      <w:r w:rsidR="007B478D">
        <w:rPr>
          <w:rFonts w:ascii="Arial" w:hAnsi="Arial" w:cs="Arial"/>
        </w:rPr>
        <w:t xml:space="preserve"> [5</w:t>
      </w:r>
      <w:r w:rsidR="00C4421B">
        <w:rPr>
          <w:rFonts w:ascii="Arial" w:hAnsi="Arial" w:cs="Arial"/>
        </w:rPr>
        <w:t>-7</w:t>
      </w:r>
      <w:r w:rsidR="007B478D">
        <w:rPr>
          <w:rFonts w:ascii="Arial" w:hAnsi="Arial" w:cs="Arial"/>
        </w:rPr>
        <w:t>]</w:t>
      </w:r>
      <w:r w:rsidRPr="00672C72">
        <w:rPr>
          <w:rFonts w:ascii="Arial" w:hAnsi="Arial" w:cs="Arial"/>
        </w:rPr>
        <w:t xml:space="preserve"> to estimate </w:t>
      </w:r>
      <w:r>
        <w:rPr>
          <w:rFonts w:ascii="Arial" w:hAnsi="Arial" w:cs="Arial"/>
        </w:rPr>
        <w:t>the</w:t>
      </w:r>
      <w:r w:rsidRPr="00672C72">
        <w:rPr>
          <w:rFonts w:ascii="Arial" w:hAnsi="Arial" w:cs="Arial"/>
        </w:rPr>
        <w:t xml:space="preserve"> annual health and personal social service cost incurred by adults with PTSD and by those without PTSD. Unit costs included wages/salary, salary on </w:t>
      </w:r>
      <w:r w:rsidRPr="00D35AB7">
        <w:rPr>
          <w:rFonts w:ascii="Arial" w:hAnsi="Arial" w:cs="Arial"/>
        </w:rPr>
        <w:t>costs, capital and other overheads, and qualification costs. Details on the data and assumptions used to estimate the annual costs associated with the PTSD and no PTSD health states are provided in the table below.</w:t>
      </w:r>
    </w:p>
    <w:tbl>
      <w:tblPr>
        <w:tblW w:w="14176" w:type="dxa"/>
        <w:tblBorders>
          <w:top w:val="single" w:sz="6" w:space="0" w:color="FFFFFF"/>
          <w:bottom w:val="single" w:sz="6" w:space="0" w:color="FFFFFF"/>
          <w:insideH w:val="single" w:sz="6" w:space="0" w:color="FFFFFF"/>
          <w:insideV w:val="single" w:sz="6" w:space="0" w:color="FFFFFF"/>
        </w:tblBorders>
        <w:shd w:val="clear" w:color="auto" w:fill="E6E6E6"/>
        <w:tblLayout w:type="fixed"/>
        <w:tblLook w:val="04A0" w:firstRow="1" w:lastRow="0" w:firstColumn="1" w:lastColumn="0" w:noHBand="0" w:noVBand="1"/>
      </w:tblPr>
      <w:tblGrid>
        <w:gridCol w:w="2977"/>
        <w:gridCol w:w="1128"/>
        <w:gridCol w:w="1128"/>
        <w:gridCol w:w="3981"/>
        <w:gridCol w:w="3119"/>
        <w:gridCol w:w="993"/>
        <w:gridCol w:w="850"/>
      </w:tblGrid>
      <w:tr w:rsidR="00B23F69" w:rsidRPr="009C59DB" w:rsidTr="00425648">
        <w:trPr>
          <w:trHeight w:val="263"/>
          <w:tblHeader/>
        </w:trPr>
        <w:tc>
          <w:tcPr>
            <w:tcW w:w="14176" w:type="dxa"/>
            <w:gridSpan w:val="7"/>
            <w:shd w:val="clear" w:color="auto" w:fill="B7E3CB"/>
            <w:vAlign w:val="center"/>
          </w:tcPr>
          <w:p w:rsidR="00B23F69" w:rsidRPr="00675F04" w:rsidRDefault="00B23F69" w:rsidP="00425648">
            <w:pPr>
              <w:pStyle w:val="TableHeadingCentre"/>
              <w:rPr>
                <w:rFonts w:ascii="Arial" w:hAnsi="Arial" w:cs="Arial"/>
                <w:color w:val="auto"/>
                <w:sz w:val="22"/>
                <w:szCs w:val="22"/>
              </w:rPr>
            </w:pPr>
            <w:r w:rsidRPr="00675F04">
              <w:rPr>
                <w:rFonts w:ascii="Arial" w:hAnsi="Arial" w:cs="Arial"/>
                <w:color w:val="auto"/>
                <w:sz w:val="22"/>
                <w:szCs w:val="22"/>
              </w:rPr>
              <w:lastRenderedPageBreak/>
              <w:t>Annual health and personal social service costs incurred by adults with PTSD and adults without PTSD (2017 prices)</w:t>
            </w:r>
          </w:p>
        </w:tc>
      </w:tr>
      <w:tr w:rsidR="00B23F69" w:rsidRPr="009C59DB" w:rsidTr="00425648">
        <w:trPr>
          <w:trHeight w:val="263"/>
          <w:tblHeader/>
        </w:trPr>
        <w:tc>
          <w:tcPr>
            <w:tcW w:w="2977" w:type="dxa"/>
            <w:vMerge w:val="restart"/>
            <w:shd w:val="clear" w:color="auto" w:fill="B7E3CB"/>
            <w:vAlign w:val="center"/>
          </w:tcPr>
          <w:p w:rsidR="00B23F69" w:rsidRPr="009C59DB" w:rsidRDefault="00B23F69" w:rsidP="00425648">
            <w:pPr>
              <w:pStyle w:val="TableHeadingLeft"/>
              <w:rPr>
                <w:rFonts w:ascii="Arial" w:hAnsi="Arial" w:cs="Arial"/>
                <w:color w:val="auto"/>
                <w:sz w:val="18"/>
                <w:szCs w:val="18"/>
              </w:rPr>
            </w:pPr>
            <w:r w:rsidRPr="009C59DB">
              <w:rPr>
                <w:rFonts w:ascii="Arial" w:hAnsi="Arial" w:cs="Arial"/>
                <w:bCs/>
                <w:color w:val="auto"/>
                <w:sz w:val="18"/>
                <w:szCs w:val="18"/>
              </w:rPr>
              <w:t>Type of service for a mental or emotional problem</w:t>
            </w:r>
          </w:p>
        </w:tc>
        <w:tc>
          <w:tcPr>
            <w:tcW w:w="2256" w:type="dxa"/>
            <w:gridSpan w:val="2"/>
            <w:tcBorders>
              <w:bottom w:val="single" w:sz="8" w:space="0" w:color="FFFFFF"/>
            </w:tcBorders>
            <w:shd w:val="clear" w:color="auto" w:fill="B7E3CB"/>
            <w:vAlign w:val="center"/>
          </w:tcPr>
          <w:p w:rsidR="00B23F69" w:rsidRPr="009C59DB" w:rsidRDefault="00B23F69" w:rsidP="00425648">
            <w:pPr>
              <w:pStyle w:val="TableHeadingLeft"/>
              <w:rPr>
                <w:rFonts w:ascii="Arial" w:hAnsi="Arial" w:cs="Arial"/>
                <w:color w:val="auto"/>
                <w:sz w:val="18"/>
                <w:szCs w:val="18"/>
              </w:rPr>
            </w:pPr>
            <w:r w:rsidRPr="009C59DB">
              <w:rPr>
                <w:rFonts w:ascii="Arial" w:hAnsi="Arial" w:cs="Arial"/>
                <w:color w:val="auto"/>
                <w:sz w:val="18"/>
                <w:szCs w:val="18"/>
              </w:rPr>
              <w:t>% using the service</w:t>
            </w:r>
            <w:r w:rsidRPr="009C59DB">
              <w:rPr>
                <w:rFonts w:ascii="Arial" w:hAnsi="Arial" w:cs="Arial"/>
                <w:color w:val="auto"/>
                <w:sz w:val="18"/>
                <w:szCs w:val="18"/>
                <w:vertAlign w:val="superscript"/>
              </w:rPr>
              <w:t>1</w:t>
            </w:r>
          </w:p>
        </w:tc>
        <w:tc>
          <w:tcPr>
            <w:tcW w:w="3981" w:type="dxa"/>
            <w:vMerge w:val="restart"/>
            <w:shd w:val="clear" w:color="auto" w:fill="B7E3CB"/>
            <w:vAlign w:val="center"/>
          </w:tcPr>
          <w:p w:rsidR="00B23F69" w:rsidRPr="009C59DB" w:rsidRDefault="00B23F69" w:rsidP="00425648">
            <w:pPr>
              <w:pStyle w:val="TableHeadingCentre"/>
              <w:rPr>
                <w:rFonts w:ascii="Arial" w:hAnsi="Arial" w:cs="Arial"/>
                <w:sz w:val="18"/>
                <w:szCs w:val="18"/>
              </w:rPr>
            </w:pPr>
            <w:r w:rsidRPr="009C59DB">
              <w:rPr>
                <w:rFonts w:ascii="Arial" w:hAnsi="Arial" w:cs="Arial"/>
                <w:sz w:val="18"/>
                <w:szCs w:val="18"/>
              </w:rPr>
              <w:t>Estimates on resource use</w:t>
            </w:r>
          </w:p>
        </w:tc>
        <w:tc>
          <w:tcPr>
            <w:tcW w:w="3119" w:type="dxa"/>
            <w:vMerge w:val="restart"/>
            <w:shd w:val="clear" w:color="auto" w:fill="B7E3CB"/>
            <w:vAlign w:val="center"/>
          </w:tcPr>
          <w:p w:rsidR="00B23F69" w:rsidRPr="009C59DB" w:rsidRDefault="00B23F69" w:rsidP="00425648">
            <w:pPr>
              <w:pStyle w:val="TableHeadingCentre"/>
              <w:rPr>
                <w:rFonts w:ascii="Arial" w:hAnsi="Arial" w:cs="Arial"/>
                <w:sz w:val="18"/>
                <w:szCs w:val="18"/>
              </w:rPr>
            </w:pPr>
            <w:r w:rsidRPr="009C59DB">
              <w:rPr>
                <w:rFonts w:ascii="Arial" w:hAnsi="Arial" w:cs="Arial"/>
                <w:sz w:val="18"/>
                <w:szCs w:val="18"/>
              </w:rPr>
              <w:t>Unit costs</w:t>
            </w:r>
          </w:p>
        </w:tc>
        <w:tc>
          <w:tcPr>
            <w:tcW w:w="1843" w:type="dxa"/>
            <w:gridSpan w:val="2"/>
            <w:shd w:val="clear" w:color="auto" w:fill="B7E3CB"/>
          </w:tcPr>
          <w:p w:rsidR="00B23F69" w:rsidRPr="009C59DB" w:rsidRDefault="00B23F69" w:rsidP="00425648">
            <w:pPr>
              <w:pStyle w:val="TableHeadingCentre"/>
              <w:rPr>
                <w:rFonts w:ascii="Arial" w:hAnsi="Arial" w:cs="Arial"/>
                <w:color w:val="auto"/>
                <w:sz w:val="18"/>
                <w:szCs w:val="18"/>
              </w:rPr>
            </w:pPr>
            <w:r w:rsidRPr="009C59DB">
              <w:rPr>
                <w:rFonts w:ascii="Arial" w:hAnsi="Arial" w:cs="Arial"/>
                <w:color w:val="auto"/>
                <w:sz w:val="18"/>
                <w:szCs w:val="18"/>
              </w:rPr>
              <w:t>Weighted costs</w:t>
            </w:r>
          </w:p>
        </w:tc>
      </w:tr>
      <w:tr w:rsidR="00B23F69" w:rsidRPr="009C59DB" w:rsidTr="00425648">
        <w:trPr>
          <w:trHeight w:val="262"/>
          <w:tblHeader/>
        </w:trPr>
        <w:tc>
          <w:tcPr>
            <w:tcW w:w="2977" w:type="dxa"/>
            <w:vMerge/>
            <w:tcBorders>
              <w:bottom w:val="single" w:sz="8" w:space="0" w:color="FFFFFF"/>
            </w:tcBorders>
            <w:shd w:val="clear" w:color="auto" w:fill="B7E3CB"/>
            <w:vAlign w:val="center"/>
          </w:tcPr>
          <w:p w:rsidR="00B23F69" w:rsidRPr="009C59DB" w:rsidRDefault="00B23F69" w:rsidP="00425648">
            <w:pPr>
              <w:pStyle w:val="TableHeadingLeft"/>
              <w:rPr>
                <w:rFonts w:ascii="Arial" w:hAnsi="Arial" w:cs="Arial"/>
                <w:bCs/>
                <w:color w:val="auto"/>
                <w:sz w:val="18"/>
                <w:szCs w:val="18"/>
              </w:rPr>
            </w:pPr>
          </w:p>
        </w:tc>
        <w:tc>
          <w:tcPr>
            <w:tcW w:w="1128" w:type="dxa"/>
            <w:tcBorders>
              <w:bottom w:val="single" w:sz="8" w:space="0" w:color="FFFFFF"/>
            </w:tcBorders>
            <w:shd w:val="clear" w:color="auto" w:fill="B7E3CB"/>
            <w:vAlign w:val="center"/>
          </w:tcPr>
          <w:p w:rsidR="00B23F69" w:rsidRPr="009C59DB" w:rsidRDefault="00B23F69" w:rsidP="00425648">
            <w:pPr>
              <w:pStyle w:val="TableHeadingCentre"/>
              <w:rPr>
                <w:rFonts w:ascii="Arial" w:hAnsi="Arial" w:cs="Arial"/>
                <w:sz w:val="18"/>
                <w:szCs w:val="18"/>
              </w:rPr>
            </w:pPr>
            <w:r w:rsidRPr="009C59DB">
              <w:rPr>
                <w:rFonts w:ascii="Arial" w:hAnsi="Arial" w:cs="Arial"/>
                <w:sz w:val="18"/>
                <w:szCs w:val="18"/>
              </w:rPr>
              <w:t>PTSD+</w:t>
            </w:r>
          </w:p>
        </w:tc>
        <w:tc>
          <w:tcPr>
            <w:tcW w:w="1128" w:type="dxa"/>
            <w:tcBorders>
              <w:bottom w:val="single" w:sz="8" w:space="0" w:color="FFFFFF"/>
            </w:tcBorders>
            <w:shd w:val="clear" w:color="auto" w:fill="B7E3CB"/>
            <w:vAlign w:val="center"/>
          </w:tcPr>
          <w:p w:rsidR="00B23F69" w:rsidRPr="009C59DB" w:rsidRDefault="00B23F69" w:rsidP="00425648">
            <w:pPr>
              <w:pStyle w:val="TableHeadingCentre"/>
              <w:rPr>
                <w:rFonts w:ascii="Arial" w:hAnsi="Arial" w:cs="Arial"/>
                <w:sz w:val="18"/>
                <w:szCs w:val="18"/>
              </w:rPr>
            </w:pPr>
            <w:r w:rsidRPr="009C59DB">
              <w:rPr>
                <w:rFonts w:ascii="Arial" w:hAnsi="Arial" w:cs="Arial"/>
                <w:sz w:val="18"/>
                <w:szCs w:val="18"/>
              </w:rPr>
              <w:t>PTSD-</w:t>
            </w:r>
          </w:p>
        </w:tc>
        <w:tc>
          <w:tcPr>
            <w:tcW w:w="3981" w:type="dxa"/>
            <w:vMerge/>
            <w:tcBorders>
              <w:bottom w:val="single" w:sz="8" w:space="0" w:color="FFFFFF"/>
            </w:tcBorders>
            <w:shd w:val="clear" w:color="auto" w:fill="B7E3CB"/>
            <w:vAlign w:val="center"/>
          </w:tcPr>
          <w:p w:rsidR="00B23F69" w:rsidRPr="009C59DB" w:rsidRDefault="00B23F69" w:rsidP="00425648">
            <w:pPr>
              <w:pStyle w:val="TableHeadingCentre"/>
              <w:rPr>
                <w:rFonts w:ascii="Arial" w:hAnsi="Arial" w:cs="Arial"/>
                <w:color w:val="auto"/>
                <w:sz w:val="18"/>
                <w:szCs w:val="18"/>
              </w:rPr>
            </w:pPr>
          </w:p>
        </w:tc>
        <w:tc>
          <w:tcPr>
            <w:tcW w:w="3119" w:type="dxa"/>
            <w:vMerge/>
            <w:tcBorders>
              <w:bottom w:val="single" w:sz="8" w:space="0" w:color="FFFFFF"/>
            </w:tcBorders>
            <w:shd w:val="clear" w:color="auto" w:fill="B7E3CB"/>
          </w:tcPr>
          <w:p w:rsidR="00B23F69" w:rsidRPr="009C59DB" w:rsidRDefault="00B23F69" w:rsidP="00425648">
            <w:pPr>
              <w:pStyle w:val="TableHeadingCentre"/>
              <w:rPr>
                <w:rFonts w:ascii="Arial" w:hAnsi="Arial" w:cs="Arial"/>
                <w:color w:val="auto"/>
                <w:sz w:val="18"/>
                <w:szCs w:val="18"/>
              </w:rPr>
            </w:pPr>
          </w:p>
        </w:tc>
        <w:tc>
          <w:tcPr>
            <w:tcW w:w="993" w:type="dxa"/>
            <w:tcBorders>
              <w:bottom w:val="single" w:sz="8" w:space="0" w:color="FFFFFF"/>
            </w:tcBorders>
            <w:shd w:val="clear" w:color="auto" w:fill="B7E3CB"/>
            <w:vAlign w:val="center"/>
          </w:tcPr>
          <w:p w:rsidR="00B23F69" w:rsidRPr="009C59DB" w:rsidRDefault="00B23F69" w:rsidP="00425648">
            <w:pPr>
              <w:pStyle w:val="TableHeadingCentre"/>
              <w:rPr>
                <w:rFonts w:ascii="Arial" w:hAnsi="Arial" w:cs="Arial"/>
                <w:color w:val="auto"/>
                <w:sz w:val="18"/>
                <w:szCs w:val="18"/>
              </w:rPr>
            </w:pPr>
            <w:r w:rsidRPr="009C59DB">
              <w:rPr>
                <w:rFonts w:ascii="Arial" w:hAnsi="Arial" w:cs="Arial"/>
                <w:sz w:val="18"/>
                <w:szCs w:val="18"/>
              </w:rPr>
              <w:t>PTSD+</w:t>
            </w:r>
          </w:p>
        </w:tc>
        <w:tc>
          <w:tcPr>
            <w:tcW w:w="850" w:type="dxa"/>
            <w:tcBorders>
              <w:bottom w:val="single" w:sz="8" w:space="0" w:color="FFFFFF"/>
            </w:tcBorders>
            <w:shd w:val="clear" w:color="auto" w:fill="B7E3CB"/>
            <w:vAlign w:val="center"/>
          </w:tcPr>
          <w:p w:rsidR="00B23F69" w:rsidRPr="009C59DB" w:rsidRDefault="00B23F69" w:rsidP="00425648">
            <w:pPr>
              <w:pStyle w:val="TableHeadingCentre"/>
              <w:rPr>
                <w:rFonts w:ascii="Arial" w:hAnsi="Arial" w:cs="Arial"/>
                <w:color w:val="auto"/>
                <w:sz w:val="18"/>
                <w:szCs w:val="18"/>
              </w:rPr>
            </w:pPr>
            <w:r w:rsidRPr="009C59DB">
              <w:rPr>
                <w:rFonts w:ascii="Arial" w:hAnsi="Arial" w:cs="Arial"/>
                <w:sz w:val="18"/>
                <w:szCs w:val="18"/>
              </w:rPr>
              <w:t>PTSD-</w:t>
            </w:r>
          </w:p>
        </w:tc>
      </w:tr>
      <w:tr w:rsidR="00B23F69" w:rsidRPr="009C59DB" w:rsidTr="00425648">
        <w:tc>
          <w:tcPr>
            <w:tcW w:w="14176" w:type="dxa"/>
            <w:gridSpan w:val="7"/>
            <w:shd w:val="clear" w:color="auto" w:fill="E6E6E6"/>
            <w:vAlign w:val="center"/>
          </w:tcPr>
          <w:p w:rsidR="00B23F69" w:rsidRPr="009C59DB" w:rsidRDefault="00B23F69" w:rsidP="00425648">
            <w:pPr>
              <w:pStyle w:val="TableHeadingLeft"/>
              <w:rPr>
                <w:rFonts w:ascii="Arial" w:hAnsi="Arial" w:cs="Arial"/>
                <w:color w:val="FF0000"/>
                <w:sz w:val="18"/>
                <w:szCs w:val="18"/>
              </w:rPr>
            </w:pPr>
            <w:r w:rsidRPr="009C59DB">
              <w:rPr>
                <w:rFonts w:ascii="Arial" w:hAnsi="Arial" w:cs="Arial"/>
                <w:sz w:val="18"/>
                <w:szCs w:val="18"/>
              </w:rPr>
              <w:t>Current type of treatment</w:t>
            </w:r>
            <w:r w:rsidRPr="009C59DB">
              <w:rPr>
                <w:rFonts w:ascii="Arial" w:hAnsi="Arial" w:cs="Arial"/>
                <w:sz w:val="18"/>
                <w:szCs w:val="18"/>
                <w:vertAlign w:val="superscript"/>
              </w:rPr>
              <w:t>1</w:t>
            </w:r>
          </w:p>
        </w:tc>
      </w:tr>
      <w:tr w:rsidR="00B23F69" w:rsidRPr="009C59DB" w:rsidTr="00425648">
        <w:tc>
          <w:tcPr>
            <w:tcW w:w="2977" w:type="dxa"/>
            <w:shd w:val="clear" w:color="auto" w:fill="E6E6E6"/>
            <w:vAlign w:val="center"/>
          </w:tcPr>
          <w:p w:rsidR="00B23F69" w:rsidRPr="009C59DB" w:rsidRDefault="00B23F69" w:rsidP="00425648">
            <w:pPr>
              <w:pStyle w:val="TableTextLeft"/>
              <w:rPr>
                <w:rFonts w:ascii="Arial" w:hAnsi="Arial" w:cs="Arial"/>
                <w:color w:val="FF0000"/>
                <w:sz w:val="18"/>
                <w:szCs w:val="18"/>
              </w:rPr>
            </w:pPr>
            <w:r w:rsidRPr="009C59DB">
              <w:rPr>
                <w:rFonts w:ascii="Arial" w:hAnsi="Arial" w:cs="Arial"/>
                <w:sz w:val="18"/>
                <w:szCs w:val="18"/>
              </w:rPr>
              <w:t>No treatment</w:t>
            </w:r>
          </w:p>
        </w:tc>
        <w:tc>
          <w:tcPr>
            <w:tcW w:w="1128" w:type="dxa"/>
            <w:shd w:val="clear" w:color="auto" w:fill="E6E6E6"/>
          </w:tcPr>
          <w:p w:rsidR="00B23F69" w:rsidRPr="009C59DB" w:rsidRDefault="00B23F69" w:rsidP="00425648">
            <w:pPr>
              <w:pStyle w:val="TableTextRight"/>
              <w:rPr>
                <w:rFonts w:ascii="Arial" w:hAnsi="Arial" w:cs="Arial"/>
                <w:color w:val="FF0000"/>
                <w:sz w:val="18"/>
                <w:szCs w:val="18"/>
              </w:rPr>
            </w:pPr>
            <w:r w:rsidRPr="009C59DB">
              <w:rPr>
                <w:rFonts w:ascii="Arial" w:hAnsi="Arial" w:cs="Arial"/>
                <w:sz w:val="18"/>
                <w:szCs w:val="18"/>
              </w:rPr>
              <w:t>52.1</w:t>
            </w:r>
          </w:p>
        </w:tc>
        <w:tc>
          <w:tcPr>
            <w:tcW w:w="1128" w:type="dxa"/>
            <w:shd w:val="clear" w:color="auto" w:fill="E6E6E6"/>
          </w:tcPr>
          <w:p w:rsidR="00B23F69" w:rsidRPr="009C59DB" w:rsidRDefault="00B23F69" w:rsidP="00425648">
            <w:pPr>
              <w:pStyle w:val="TableTextRight"/>
              <w:rPr>
                <w:rFonts w:ascii="Arial" w:hAnsi="Arial" w:cs="Arial"/>
                <w:color w:val="FF0000"/>
                <w:sz w:val="18"/>
                <w:szCs w:val="18"/>
              </w:rPr>
            </w:pPr>
            <w:r w:rsidRPr="009C59DB">
              <w:rPr>
                <w:rFonts w:ascii="Arial" w:hAnsi="Arial" w:cs="Arial"/>
                <w:sz w:val="18"/>
                <w:szCs w:val="18"/>
              </w:rPr>
              <w:t>89.9</w:t>
            </w:r>
          </w:p>
        </w:tc>
        <w:tc>
          <w:tcPr>
            <w:tcW w:w="3981" w:type="dxa"/>
            <w:tcBorders>
              <w:top w:val="single" w:sz="8" w:space="0" w:color="FFFFFF"/>
              <w:left w:val="single" w:sz="8" w:space="0" w:color="FFFFFF"/>
              <w:bottom w:val="single" w:sz="8" w:space="0" w:color="FFFFFF"/>
              <w:right w:val="nil"/>
            </w:tcBorders>
            <w:shd w:val="clear" w:color="auto" w:fill="E6E6E6"/>
            <w:vAlign w:val="center"/>
          </w:tcPr>
          <w:p w:rsidR="00B23F69" w:rsidRPr="009C59DB" w:rsidRDefault="00B23F69" w:rsidP="00425648">
            <w:pPr>
              <w:pStyle w:val="TableTextLeft"/>
              <w:rPr>
                <w:rFonts w:ascii="Arial" w:hAnsi="Arial" w:cs="Arial"/>
                <w:sz w:val="18"/>
                <w:szCs w:val="18"/>
              </w:rPr>
            </w:pPr>
            <w:r w:rsidRPr="009C59DB">
              <w:rPr>
                <w:rFonts w:ascii="Arial" w:hAnsi="Arial" w:cs="Arial"/>
                <w:sz w:val="18"/>
                <w:szCs w:val="18"/>
              </w:rPr>
              <w:t>Assumed that no treatment is received over the whole year</w:t>
            </w:r>
          </w:p>
        </w:tc>
        <w:tc>
          <w:tcPr>
            <w:tcW w:w="3119" w:type="dxa"/>
            <w:tcBorders>
              <w:top w:val="single" w:sz="8" w:space="0" w:color="FFFFFF"/>
              <w:left w:val="single" w:sz="8" w:space="0" w:color="FFFFFF"/>
              <w:bottom w:val="single" w:sz="8" w:space="0" w:color="FFFFFF"/>
              <w:right w:val="nil"/>
            </w:tcBorders>
            <w:shd w:val="clear" w:color="auto" w:fill="E6E6E6"/>
          </w:tcPr>
          <w:p w:rsidR="00B23F69" w:rsidRPr="009C59DB" w:rsidRDefault="00B23F69" w:rsidP="00425648">
            <w:pPr>
              <w:pStyle w:val="TableTextLeft"/>
              <w:rPr>
                <w:rFonts w:ascii="Arial" w:hAnsi="Arial" w:cs="Arial"/>
                <w:sz w:val="18"/>
                <w:szCs w:val="18"/>
              </w:rPr>
            </w:pPr>
            <w:r w:rsidRPr="009C59DB">
              <w:rPr>
                <w:rFonts w:ascii="Arial" w:hAnsi="Arial" w:cs="Arial"/>
                <w:sz w:val="18"/>
                <w:szCs w:val="18"/>
              </w:rPr>
              <w:t>Not relevant</w:t>
            </w:r>
          </w:p>
        </w:tc>
        <w:tc>
          <w:tcPr>
            <w:tcW w:w="993" w:type="dxa"/>
            <w:tcBorders>
              <w:top w:val="single" w:sz="8" w:space="0" w:color="FFFFFF"/>
              <w:left w:val="single" w:sz="8" w:space="0" w:color="FFFFFF"/>
              <w:bottom w:val="single" w:sz="8" w:space="0" w:color="FFFFFF"/>
              <w:right w:val="nil"/>
            </w:tcBorders>
            <w:shd w:val="clear" w:color="auto" w:fill="E6E6E6"/>
          </w:tcPr>
          <w:p w:rsidR="00B23F69" w:rsidRPr="009C59DB" w:rsidRDefault="00B23F69" w:rsidP="00425648">
            <w:pPr>
              <w:pStyle w:val="TableTextRight"/>
              <w:rPr>
                <w:rFonts w:ascii="Arial" w:hAnsi="Arial" w:cs="Arial"/>
                <w:sz w:val="18"/>
                <w:szCs w:val="18"/>
              </w:rPr>
            </w:pPr>
            <w:r w:rsidRPr="009C59DB">
              <w:rPr>
                <w:rFonts w:ascii="Arial" w:hAnsi="Arial" w:cs="Arial"/>
                <w:sz w:val="18"/>
                <w:szCs w:val="18"/>
              </w:rPr>
              <w:t>£0.0</w:t>
            </w:r>
          </w:p>
        </w:tc>
        <w:tc>
          <w:tcPr>
            <w:tcW w:w="850" w:type="dxa"/>
            <w:tcBorders>
              <w:top w:val="single" w:sz="8" w:space="0" w:color="FFFFFF"/>
              <w:left w:val="single" w:sz="8" w:space="0" w:color="FFFFFF"/>
              <w:bottom w:val="single" w:sz="8" w:space="0" w:color="FFFFFF"/>
              <w:right w:val="nil"/>
            </w:tcBorders>
            <w:shd w:val="clear" w:color="auto" w:fill="E6E6E6"/>
          </w:tcPr>
          <w:p w:rsidR="00B23F69" w:rsidRPr="009C59DB" w:rsidRDefault="00B23F69" w:rsidP="00425648">
            <w:pPr>
              <w:pStyle w:val="TableTextRight"/>
              <w:rPr>
                <w:rFonts w:ascii="Arial" w:hAnsi="Arial" w:cs="Arial"/>
                <w:sz w:val="18"/>
                <w:szCs w:val="18"/>
              </w:rPr>
            </w:pPr>
            <w:r w:rsidRPr="009C59DB">
              <w:rPr>
                <w:rFonts w:ascii="Arial" w:hAnsi="Arial" w:cs="Arial"/>
                <w:sz w:val="18"/>
                <w:szCs w:val="18"/>
              </w:rPr>
              <w:t>£0.0</w:t>
            </w:r>
          </w:p>
        </w:tc>
      </w:tr>
      <w:tr w:rsidR="00B23F69" w:rsidRPr="009C59DB" w:rsidTr="00425648">
        <w:trPr>
          <w:trHeight w:val="2088"/>
        </w:trPr>
        <w:tc>
          <w:tcPr>
            <w:tcW w:w="2977" w:type="dxa"/>
            <w:shd w:val="clear" w:color="auto" w:fill="E6E6E6"/>
          </w:tcPr>
          <w:p w:rsidR="00B23F69" w:rsidRPr="009C59DB" w:rsidRDefault="00B23F69" w:rsidP="00425648">
            <w:pPr>
              <w:pStyle w:val="TableTextLeft"/>
              <w:rPr>
                <w:rFonts w:ascii="Arial" w:hAnsi="Arial" w:cs="Arial"/>
                <w:color w:val="FF0000"/>
                <w:sz w:val="18"/>
                <w:szCs w:val="18"/>
              </w:rPr>
            </w:pPr>
            <w:r w:rsidRPr="009C59DB">
              <w:rPr>
                <w:rFonts w:ascii="Arial" w:hAnsi="Arial" w:cs="Arial"/>
                <w:sz w:val="18"/>
                <w:szCs w:val="18"/>
              </w:rPr>
              <w:t>Psychotropic medication</w:t>
            </w:r>
          </w:p>
        </w:tc>
        <w:tc>
          <w:tcPr>
            <w:tcW w:w="1128" w:type="dxa"/>
            <w:shd w:val="clear" w:color="auto" w:fill="E6E6E6"/>
          </w:tcPr>
          <w:p w:rsidR="00B23F69" w:rsidRPr="009C59DB" w:rsidRDefault="00B23F69" w:rsidP="00425648">
            <w:pPr>
              <w:pStyle w:val="TableTextRight"/>
              <w:rPr>
                <w:rFonts w:ascii="Arial" w:hAnsi="Arial" w:cs="Arial"/>
                <w:color w:val="FF0000"/>
                <w:sz w:val="18"/>
                <w:szCs w:val="18"/>
              </w:rPr>
            </w:pPr>
            <w:r w:rsidRPr="009C59DB">
              <w:rPr>
                <w:rFonts w:ascii="Arial" w:hAnsi="Arial" w:cs="Arial"/>
                <w:sz w:val="18"/>
                <w:szCs w:val="18"/>
              </w:rPr>
              <w:t>38.9</w:t>
            </w:r>
          </w:p>
        </w:tc>
        <w:tc>
          <w:tcPr>
            <w:tcW w:w="1128" w:type="dxa"/>
            <w:shd w:val="clear" w:color="auto" w:fill="E6E6E6"/>
          </w:tcPr>
          <w:p w:rsidR="00B23F69" w:rsidRPr="009C59DB" w:rsidRDefault="00B23F69" w:rsidP="00425648">
            <w:pPr>
              <w:pStyle w:val="TableTextRight"/>
              <w:rPr>
                <w:rFonts w:ascii="Arial" w:hAnsi="Arial" w:cs="Arial"/>
                <w:color w:val="FF0000"/>
                <w:sz w:val="18"/>
                <w:szCs w:val="18"/>
              </w:rPr>
            </w:pPr>
            <w:r w:rsidRPr="009C59DB">
              <w:rPr>
                <w:rFonts w:ascii="Arial" w:hAnsi="Arial" w:cs="Arial"/>
                <w:sz w:val="18"/>
                <w:szCs w:val="18"/>
              </w:rPr>
              <w:t>8.8</w:t>
            </w:r>
          </w:p>
        </w:tc>
        <w:tc>
          <w:tcPr>
            <w:tcW w:w="3981" w:type="dxa"/>
            <w:tcBorders>
              <w:top w:val="single" w:sz="8" w:space="0" w:color="FFFFFF"/>
              <w:left w:val="single" w:sz="8" w:space="0" w:color="FFFFFF"/>
              <w:bottom w:val="single" w:sz="8" w:space="0" w:color="FFFFFF"/>
              <w:right w:val="nil"/>
            </w:tcBorders>
            <w:shd w:val="clear" w:color="auto" w:fill="E6E6E6"/>
          </w:tcPr>
          <w:p w:rsidR="00B23F69" w:rsidRPr="009C59DB" w:rsidRDefault="00B23F69" w:rsidP="00425648">
            <w:pPr>
              <w:pStyle w:val="TableTextLeft"/>
              <w:rPr>
                <w:rFonts w:ascii="Arial" w:hAnsi="Arial" w:cs="Arial"/>
                <w:sz w:val="18"/>
                <w:szCs w:val="18"/>
              </w:rPr>
            </w:pPr>
            <w:r w:rsidRPr="009C59DB">
              <w:rPr>
                <w:rFonts w:ascii="Arial" w:hAnsi="Arial" w:cs="Arial"/>
                <w:sz w:val="18"/>
                <w:szCs w:val="18"/>
              </w:rPr>
              <w:t>Reported reasons for medication: sleep problems, anxiety, depression, ADHD, psychosis, BD</w:t>
            </w:r>
            <w:r w:rsidR="007B478D">
              <w:rPr>
                <w:rFonts w:ascii="Arial" w:hAnsi="Arial" w:cs="Arial"/>
                <w:sz w:val="18"/>
                <w:szCs w:val="18"/>
              </w:rPr>
              <w:t xml:space="preserve"> [1]</w:t>
            </w:r>
            <w:r w:rsidRPr="009C59DB">
              <w:rPr>
                <w:rFonts w:ascii="Arial" w:hAnsi="Arial" w:cs="Arial"/>
                <w:sz w:val="18"/>
                <w:szCs w:val="18"/>
              </w:rPr>
              <w:t>.</w:t>
            </w:r>
          </w:p>
          <w:p w:rsidR="00B23F69" w:rsidRPr="009C59DB" w:rsidRDefault="00B23F69" w:rsidP="00425648">
            <w:pPr>
              <w:pStyle w:val="TableTextLeft"/>
              <w:rPr>
                <w:rFonts w:ascii="Arial" w:hAnsi="Arial" w:cs="Arial"/>
                <w:sz w:val="18"/>
                <w:szCs w:val="18"/>
              </w:rPr>
            </w:pPr>
            <w:r w:rsidRPr="009C59DB">
              <w:rPr>
                <w:rFonts w:ascii="Arial" w:hAnsi="Arial" w:cs="Arial"/>
                <w:sz w:val="18"/>
                <w:szCs w:val="18"/>
              </w:rPr>
              <w:t>Assumed that medication is received over 12 months.</w:t>
            </w:r>
          </w:p>
        </w:tc>
        <w:tc>
          <w:tcPr>
            <w:tcW w:w="3119" w:type="dxa"/>
            <w:vMerge w:val="restart"/>
            <w:tcBorders>
              <w:top w:val="single" w:sz="8" w:space="0" w:color="FFFFFF"/>
              <w:left w:val="single" w:sz="8" w:space="0" w:color="FFFFFF"/>
              <w:right w:val="nil"/>
            </w:tcBorders>
            <w:shd w:val="clear" w:color="auto" w:fill="E6E6E6"/>
          </w:tcPr>
          <w:p w:rsidR="00B23F69" w:rsidRPr="009C59DB" w:rsidRDefault="00B23F69" w:rsidP="007B478D">
            <w:pPr>
              <w:pStyle w:val="TableTextLeft"/>
              <w:rPr>
                <w:rFonts w:ascii="Arial" w:hAnsi="Arial" w:cs="Arial"/>
                <w:sz w:val="18"/>
                <w:szCs w:val="18"/>
              </w:rPr>
            </w:pPr>
            <w:r w:rsidRPr="009C59DB">
              <w:rPr>
                <w:rFonts w:ascii="Arial" w:hAnsi="Arial" w:cs="Arial"/>
                <w:sz w:val="18"/>
                <w:szCs w:val="18"/>
              </w:rPr>
              <w:t>Drug acquisition cost assumed to be £5/month for each type of medication, to account for some people receiving non-generic drugs or combinations of drugs; moreover, some medication requires monitoring testing (e.g. testing of glucose blood levels), which incurs extra costs. For reference, the monthly cost of citalopram 10, 20 or 40mg/day is approximately £1.5</w:t>
            </w:r>
            <w:r>
              <w:rPr>
                <w:rFonts w:ascii="Arial" w:hAnsi="Arial" w:cs="Arial"/>
                <w:sz w:val="18"/>
                <w:szCs w:val="18"/>
              </w:rPr>
              <w:t>/</w:t>
            </w:r>
            <w:r w:rsidRPr="009C59DB">
              <w:rPr>
                <w:rFonts w:ascii="Arial" w:hAnsi="Arial" w:cs="Arial"/>
                <w:sz w:val="18"/>
                <w:szCs w:val="18"/>
              </w:rPr>
              <w:t>month</w:t>
            </w:r>
            <w:r w:rsidR="0034437B">
              <w:rPr>
                <w:rFonts w:ascii="Arial" w:hAnsi="Arial" w:cs="Arial"/>
                <w:sz w:val="18"/>
                <w:szCs w:val="18"/>
              </w:rPr>
              <w:t xml:space="preserve"> </w:t>
            </w:r>
            <w:r w:rsidR="007B478D">
              <w:rPr>
                <w:rFonts w:ascii="Arial" w:hAnsi="Arial" w:cs="Arial"/>
                <w:sz w:val="18"/>
                <w:szCs w:val="18"/>
              </w:rPr>
              <w:t>[7]</w:t>
            </w:r>
          </w:p>
        </w:tc>
        <w:tc>
          <w:tcPr>
            <w:tcW w:w="993" w:type="dxa"/>
            <w:tcBorders>
              <w:top w:val="single" w:sz="8" w:space="0" w:color="FFFFFF"/>
              <w:left w:val="single" w:sz="8" w:space="0" w:color="FFFFFF"/>
              <w:bottom w:val="single" w:sz="8" w:space="0" w:color="FFFFFF"/>
              <w:right w:val="nil"/>
            </w:tcBorders>
            <w:shd w:val="clear" w:color="auto" w:fill="E6E6E6"/>
          </w:tcPr>
          <w:p w:rsidR="00B23F69" w:rsidRPr="009C59DB" w:rsidRDefault="00B23F69" w:rsidP="00425648">
            <w:pPr>
              <w:pStyle w:val="TableTextRight"/>
              <w:rPr>
                <w:rFonts w:ascii="Arial" w:hAnsi="Arial" w:cs="Arial"/>
                <w:color w:val="FF0000"/>
                <w:sz w:val="18"/>
                <w:szCs w:val="18"/>
              </w:rPr>
            </w:pPr>
            <w:r w:rsidRPr="009C59DB">
              <w:rPr>
                <w:rFonts w:ascii="Arial" w:hAnsi="Arial" w:cs="Arial"/>
                <w:sz w:val="18"/>
                <w:szCs w:val="18"/>
              </w:rPr>
              <w:t>£23.4</w:t>
            </w:r>
          </w:p>
        </w:tc>
        <w:tc>
          <w:tcPr>
            <w:tcW w:w="850" w:type="dxa"/>
            <w:tcBorders>
              <w:top w:val="single" w:sz="8" w:space="0" w:color="FFFFFF"/>
              <w:left w:val="single" w:sz="8" w:space="0" w:color="FFFFFF"/>
              <w:bottom w:val="single" w:sz="8" w:space="0" w:color="FFFFFF"/>
              <w:right w:val="nil"/>
            </w:tcBorders>
            <w:shd w:val="clear" w:color="auto" w:fill="E6E6E6"/>
          </w:tcPr>
          <w:p w:rsidR="00B23F69" w:rsidRPr="009C59DB" w:rsidRDefault="00B23F69" w:rsidP="00425648">
            <w:pPr>
              <w:pStyle w:val="TableTextRight"/>
              <w:rPr>
                <w:rFonts w:ascii="Arial" w:hAnsi="Arial" w:cs="Arial"/>
                <w:color w:val="FF0000"/>
                <w:sz w:val="18"/>
                <w:szCs w:val="18"/>
              </w:rPr>
            </w:pPr>
            <w:r w:rsidRPr="009C59DB">
              <w:rPr>
                <w:rFonts w:ascii="Arial" w:hAnsi="Arial" w:cs="Arial"/>
                <w:sz w:val="18"/>
                <w:szCs w:val="18"/>
              </w:rPr>
              <w:t>£5.3</w:t>
            </w:r>
          </w:p>
        </w:tc>
      </w:tr>
      <w:tr w:rsidR="00B23F69" w:rsidRPr="009C59DB" w:rsidTr="00425648">
        <w:tc>
          <w:tcPr>
            <w:tcW w:w="2977" w:type="dxa"/>
            <w:shd w:val="clear" w:color="auto" w:fill="E6E6E6"/>
          </w:tcPr>
          <w:p w:rsidR="00B23F69" w:rsidRPr="009C59DB" w:rsidRDefault="00B23F69" w:rsidP="00425648">
            <w:pPr>
              <w:pStyle w:val="TableTextLeft"/>
              <w:rPr>
                <w:rFonts w:ascii="Arial" w:hAnsi="Arial" w:cs="Arial"/>
                <w:sz w:val="18"/>
                <w:szCs w:val="18"/>
              </w:rPr>
            </w:pPr>
            <w:r w:rsidRPr="009C59DB">
              <w:rPr>
                <w:rFonts w:ascii="Arial" w:hAnsi="Arial" w:cs="Arial"/>
                <w:sz w:val="18"/>
                <w:szCs w:val="18"/>
              </w:rPr>
              <w:t>Substance use medication</w:t>
            </w:r>
          </w:p>
        </w:tc>
        <w:tc>
          <w:tcPr>
            <w:tcW w:w="1128" w:type="dxa"/>
            <w:shd w:val="clear" w:color="auto" w:fill="E6E6E6"/>
          </w:tcPr>
          <w:p w:rsidR="00B23F69" w:rsidRPr="009C59DB" w:rsidRDefault="00B23F69" w:rsidP="00425648">
            <w:pPr>
              <w:pStyle w:val="TableTextRight"/>
              <w:rPr>
                <w:rFonts w:ascii="Arial" w:hAnsi="Arial" w:cs="Arial"/>
                <w:color w:val="FF0000"/>
                <w:sz w:val="18"/>
                <w:szCs w:val="18"/>
              </w:rPr>
            </w:pPr>
            <w:r w:rsidRPr="009C59DB">
              <w:rPr>
                <w:rFonts w:ascii="Arial" w:hAnsi="Arial" w:cs="Arial"/>
                <w:sz w:val="18"/>
                <w:szCs w:val="18"/>
              </w:rPr>
              <w:t>8.7</w:t>
            </w:r>
          </w:p>
        </w:tc>
        <w:tc>
          <w:tcPr>
            <w:tcW w:w="1128" w:type="dxa"/>
            <w:shd w:val="clear" w:color="auto" w:fill="E6E6E6"/>
          </w:tcPr>
          <w:p w:rsidR="00B23F69" w:rsidRPr="009C59DB" w:rsidRDefault="00B23F69" w:rsidP="00425648">
            <w:pPr>
              <w:pStyle w:val="TableTextRight"/>
              <w:rPr>
                <w:rFonts w:ascii="Arial" w:hAnsi="Arial" w:cs="Arial"/>
                <w:color w:val="FF0000"/>
                <w:sz w:val="18"/>
                <w:szCs w:val="18"/>
              </w:rPr>
            </w:pPr>
            <w:r w:rsidRPr="009C59DB">
              <w:rPr>
                <w:rFonts w:ascii="Arial" w:hAnsi="Arial" w:cs="Arial"/>
                <w:sz w:val="18"/>
                <w:szCs w:val="18"/>
              </w:rPr>
              <w:t>0.7</w:t>
            </w:r>
          </w:p>
        </w:tc>
        <w:tc>
          <w:tcPr>
            <w:tcW w:w="3981" w:type="dxa"/>
            <w:tcBorders>
              <w:top w:val="single" w:sz="8" w:space="0" w:color="FFFFFF"/>
              <w:left w:val="single" w:sz="8" w:space="0" w:color="FFFFFF"/>
              <w:bottom w:val="single" w:sz="8" w:space="0" w:color="FFFFFF"/>
              <w:right w:val="nil"/>
            </w:tcBorders>
            <w:shd w:val="clear" w:color="auto" w:fill="E6E6E6"/>
          </w:tcPr>
          <w:p w:rsidR="00B23F69" w:rsidRPr="009C59DB" w:rsidRDefault="00B23F69" w:rsidP="00425648">
            <w:pPr>
              <w:pStyle w:val="TableTextLeft"/>
              <w:rPr>
                <w:rFonts w:ascii="Arial" w:hAnsi="Arial" w:cs="Arial"/>
                <w:sz w:val="18"/>
                <w:szCs w:val="18"/>
              </w:rPr>
            </w:pPr>
            <w:r w:rsidRPr="009C59DB">
              <w:rPr>
                <w:rFonts w:ascii="Arial" w:hAnsi="Arial" w:cs="Arial"/>
                <w:sz w:val="18"/>
                <w:szCs w:val="18"/>
              </w:rPr>
              <w:t>Assumed that medication is received over 12 months.</w:t>
            </w:r>
          </w:p>
        </w:tc>
        <w:tc>
          <w:tcPr>
            <w:tcW w:w="3119" w:type="dxa"/>
            <w:vMerge/>
            <w:tcBorders>
              <w:left w:val="single" w:sz="8" w:space="0" w:color="FFFFFF"/>
              <w:bottom w:val="single" w:sz="8" w:space="0" w:color="FFFFFF"/>
              <w:right w:val="nil"/>
            </w:tcBorders>
            <w:shd w:val="clear" w:color="auto" w:fill="E6E6E6"/>
          </w:tcPr>
          <w:p w:rsidR="00B23F69" w:rsidRPr="009C59DB" w:rsidRDefault="00B23F69" w:rsidP="00425648">
            <w:pPr>
              <w:pStyle w:val="TableTextRight"/>
              <w:ind w:right="550"/>
              <w:rPr>
                <w:rFonts w:ascii="Arial" w:hAnsi="Arial" w:cs="Arial"/>
                <w:color w:val="FF0000"/>
                <w:sz w:val="18"/>
                <w:szCs w:val="18"/>
              </w:rPr>
            </w:pPr>
          </w:p>
        </w:tc>
        <w:tc>
          <w:tcPr>
            <w:tcW w:w="993" w:type="dxa"/>
            <w:tcBorders>
              <w:top w:val="single" w:sz="8" w:space="0" w:color="FFFFFF"/>
              <w:left w:val="single" w:sz="8" w:space="0" w:color="FFFFFF"/>
              <w:bottom w:val="single" w:sz="8" w:space="0" w:color="FFFFFF"/>
              <w:right w:val="nil"/>
            </w:tcBorders>
            <w:shd w:val="clear" w:color="auto" w:fill="E6E6E6"/>
          </w:tcPr>
          <w:p w:rsidR="00B23F69" w:rsidRPr="009C59DB" w:rsidRDefault="00B23F69" w:rsidP="00425648">
            <w:pPr>
              <w:pStyle w:val="TableTextRight"/>
              <w:rPr>
                <w:rFonts w:ascii="Arial" w:hAnsi="Arial" w:cs="Arial"/>
                <w:sz w:val="18"/>
                <w:szCs w:val="18"/>
              </w:rPr>
            </w:pPr>
            <w:r w:rsidRPr="009C59DB">
              <w:rPr>
                <w:rFonts w:ascii="Arial" w:hAnsi="Arial" w:cs="Arial"/>
                <w:sz w:val="18"/>
                <w:szCs w:val="18"/>
              </w:rPr>
              <w:t>£5.2</w:t>
            </w:r>
          </w:p>
        </w:tc>
        <w:tc>
          <w:tcPr>
            <w:tcW w:w="850" w:type="dxa"/>
            <w:tcBorders>
              <w:top w:val="single" w:sz="8" w:space="0" w:color="FFFFFF"/>
              <w:left w:val="single" w:sz="8" w:space="0" w:color="FFFFFF"/>
              <w:bottom w:val="single" w:sz="8" w:space="0" w:color="FFFFFF"/>
              <w:right w:val="nil"/>
            </w:tcBorders>
            <w:shd w:val="clear" w:color="auto" w:fill="E6E6E6"/>
          </w:tcPr>
          <w:p w:rsidR="00B23F69" w:rsidRPr="009C59DB" w:rsidRDefault="00B23F69" w:rsidP="00425648">
            <w:pPr>
              <w:pStyle w:val="TableTextRight"/>
              <w:rPr>
                <w:rFonts w:ascii="Arial" w:hAnsi="Arial" w:cs="Arial"/>
                <w:sz w:val="18"/>
                <w:szCs w:val="18"/>
              </w:rPr>
            </w:pPr>
            <w:r w:rsidRPr="009C59DB">
              <w:rPr>
                <w:rFonts w:ascii="Arial" w:hAnsi="Arial" w:cs="Arial"/>
                <w:sz w:val="18"/>
                <w:szCs w:val="18"/>
              </w:rPr>
              <w:t>£0.4</w:t>
            </w:r>
          </w:p>
        </w:tc>
      </w:tr>
      <w:tr w:rsidR="00B23F69" w:rsidRPr="009C59DB" w:rsidTr="00425648">
        <w:tc>
          <w:tcPr>
            <w:tcW w:w="2977" w:type="dxa"/>
            <w:shd w:val="clear" w:color="auto" w:fill="E6E6E6"/>
          </w:tcPr>
          <w:p w:rsidR="00B23F69" w:rsidRPr="009C59DB" w:rsidRDefault="00B23F69" w:rsidP="00425648">
            <w:pPr>
              <w:pStyle w:val="TableTextLeft"/>
              <w:rPr>
                <w:rFonts w:ascii="Arial" w:hAnsi="Arial" w:cs="Arial"/>
                <w:sz w:val="18"/>
                <w:szCs w:val="18"/>
              </w:rPr>
            </w:pPr>
            <w:r w:rsidRPr="009C59DB">
              <w:rPr>
                <w:rFonts w:ascii="Arial" w:hAnsi="Arial" w:cs="Arial"/>
                <w:sz w:val="18"/>
                <w:szCs w:val="18"/>
              </w:rPr>
              <w:t>Psychological treatment</w:t>
            </w:r>
          </w:p>
        </w:tc>
        <w:tc>
          <w:tcPr>
            <w:tcW w:w="1128" w:type="dxa"/>
            <w:shd w:val="clear" w:color="auto" w:fill="E6E6E6"/>
          </w:tcPr>
          <w:p w:rsidR="00B23F69" w:rsidRPr="009C59DB" w:rsidRDefault="00B23F69" w:rsidP="00425648">
            <w:pPr>
              <w:pStyle w:val="TableTextRight"/>
              <w:rPr>
                <w:rFonts w:ascii="Arial" w:hAnsi="Arial" w:cs="Arial"/>
                <w:color w:val="FF0000"/>
                <w:sz w:val="18"/>
                <w:szCs w:val="18"/>
              </w:rPr>
            </w:pPr>
            <w:r w:rsidRPr="009C59DB">
              <w:rPr>
                <w:rFonts w:ascii="Arial" w:hAnsi="Arial" w:cs="Arial"/>
                <w:sz w:val="18"/>
                <w:szCs w:val="18"/>
              </w:rPr>
              <w:t>24.0</w:t>
            </w:r>
          </w:p>
        </w:tc>
        <w:tc>
          <w:tcPr>
            <w:tcW w:w="1128" w:type="dxa"/>
            <w:shd w:val="clear" w:color="auto" w:fill="E6E6E6"/>
          </w:tcPr>
          <w:p w:rsidR="00B23F69" w:rsidRPr="009C59DB" w:rsidRDefault="00B23F69" w:rsidP="00425648">
            <w:pPr>
              <w:pStyle w:val="TableTextRight"/>
              <w:rPr>
                <w:rFonts w:ascii="Arial" w:hAnsi="Arial" w:cs="Arial"/>
                <w:color w:val="FF0000"/>
                <w:sz w:val="18"/>
                <w:szCs w:val="18"/>
              </w:rPr>
            </w:pPr>
            <w:r w:rsidRPr="009C59DB">
              <w:rPr>
                <w:rFonts w:ascii="Arial" w:hAnsi="Arial" w:cs="Arial"/>
                <w:sz w:val="18"/>
                <w:szCs w:val="18"/>
              </w:rPr>
              <w:t>1.9</w:t>
            </w:r>
          </w:p>
        </w:tc>
        <w:tc>
          <w:tcPr>
            <w:tcW w:w="3981" w:type="dxa"/>
            <w:tcBorders>
              <w:top w:val="single" w:sz="8" w:space="0" w:color="FFFFFF"/>
              <w:left w:val="single" w:sz="8" w:space="0" w:color="FFFFFF"/>
              <w:bottom w:val="single" w:sz="8" w:space="0" w:color="FFFFFF"/>
              <w:right w:val="nil"/>
            </w:tcBorders>
            <w:shd w:val="clear" w:color="auto" w:fill="E6E6E6"/>
            <w:vAlign w:val="center"/>
          </w:tcPr>
          <w:p w:rsidR="00B23F69" w:rsidRPr="009C59DB" w:rsidRDefault="00B23F69" w:rsidP="00425648">
            <w:pPr>
              <w:pStyle w:val="TableTextLeft"/>
              <w:rPr>
                <w:rFonts w:ascii="Arial" w:hAnsi="Arial" w:cs="Arial"/>
                <w:sz w:val="18"/>
                <w:szCs w:val="18"/>
              </w:rPr>
            </w:pPr>
            <w:r w:rsidRPr="009C59DB">
              <w:rPr>
                <w:rFonts w:ascii="Arial" w:hAnsi="Arial" w:cs="Arial"/>
                <w:sz w:val="18"/>
                <w:szCs w:val="18"/>
              </w:rPr>
              <w:t>Reported types of treatment: psychotherapy / psychoanalysis; CBT; art, music or drama therapy; social skills training; couple or family therapy; sex therapy; mindfulness; alcohol or drug counselli</w:t>
            </w:r>
            <w:r w:rsidR="00FE5941">
              <w:rPr>
                <w:rFonts w:ascii="Arial" w:hAnsi="Arial" w:cs="Arial"/>
                <w:sz w:val="18"/>
                <w:szCs w:val="18"/>
              </w:rPr>
              <w:t>ng; counselling; other therapy</w:t>
            </w:r>
            <w:r w:rsidR="007B478D">
              <w:rPr>
                <w:rFonts w:ascii="Arial" w:hAnsi="Arial" w:cs="Arial"/>
                <w:sz w:val="18"/>
                <w:szCs w:val="18"/>
              </w:rPr>
              <w:t xml:space="preserve"> [1]</w:t>
            </w:r>
            <w:r>
              <w:rPr>
                <w:rFonts w:ascii="Arial" w:hAnsi="Arial" w:cs="Arial"/>
                <w:sz w:val="18"/>
                <w:szCs w:val="18"/>
              </w:rPr>
              <w:t>.</w:t>
            </w:r>
          </w:p>
          <w:p w:rsidR="00B23F69" w:rsidRPr="009C59DB" w:rsidRDefault="00B23F69" w:rsidP="007B478D">
            <w:pPr>
              <w:pStyle w:val="TableTextLeft"/>
              <w:rPr>
                <w:rFonts w:ascii="Arial" w:hAnsi="Arial" w:cs="Arial"/>
                <w:sz w:val="18"/>
                <w:szCs w:val="18"/>
              </w:rPr>
            </w:pPr>
            <w:r w:rsidRPr="009C59DB">
              <w:rPr>
                <w:rFonts w:ascii="Arial" w:hAnsi="Arial" w:cs="Arial"/>
                <w:sz w:val="18"/>
                <w:szCs w:val="18"/>
              </w:rPr>
              <w:t>Mean number of sessions for people with PTSD 7, based on the range of number of sessions for high-intensity therapies in IAPT services (2.8 to 8.6, with CBT 7.1 and EMDR 6.5), taking into account that “people with PTSD would be expected to receive high intensity therapies from the start of their treatment”</w:t>
            </w:r>
            <w:r w:rsidR="007B478D">
              <w:rPr>
                <w:rFonts w:ascii="Arial" w:hAnsi="Arial" w:cs="Arial"/>
                <w:sz w:val="18"/>
                <w:szCs w:val="18"/>
              </w:rPr>
              <w:t xml:space="preserve"> [2]</w:t>
            </w:r>
            <w:r>
              <w:rPr>
                <w:rFonts w:ascii="Arial" w:hAnsi="Arial" w:cs="Arial"/>
                <w:sz w:val="18"/>
                <w:szCs w:val="18"/>
              </w:rPr>
              <w:t xml:space="preserve">. </w:t>
            </w:r>
            <w:r w:rsidRPr="009C59DB">
              <w:rPr>
                <w:rFonts w:ascii="Arial" w:hAnsi="Arial" w:cs="Arial"/>
                <w:sz w:val="18"/>
                <w:szCs w:val="18"/>
              </w:rPr>
              <w:t>Same mean number of sessions conservatively assumed for people without PTSD. Duration of eac</w:t>
            </w:r>
            <w:r>
              <w:rPr>
                <w:rFonts w:ascii="Arial" w:hAnsi="Arial" w:cs="Arial"/>
                <w:sz w:val="18"/>
                <w:szCs w:val="18"/>
              </w:rPr>
              <w:t>h session 1.5 hour (</w:t>
            </w:r>
            <w:r w:rsidRPr="009C59DB">
              <w:rPr>
                <w:rFonts w:ascii="Arial" w:hAnsi="Arial" w:cs="Arial"/>
                <w:sz w:val="18"/>
                <w:szCs w:val="18"/>
              </w:rPr>
              <w:t xml:space="preserve">expert advice). Therapy delivered by NHS </w:t>
            </w:r>
            <w:proofErr w:type="spellStart"/>
            <w:r w:rsidRPr="009C59DB">
              <w:rPr>
                <w:rFonts w:ascii="Arial" w:hAnsi="Arial" w:cs="Arial"/>
                <w:sz w:val="18"/>
                <w:szCs w:val="18"/>
              </w:rPr>
              <w:t>AfC</w:t>
            </w:r>
            <w:proofErr w:type="spellEnd"/>
            <w:r w:rsidRPr="009C59DB">
              <w:rPr>
                <w:rFonts w:ascii="Arial" w:hAnsi="Arial" w:cs="Arial"/>
                <w:sz w:val="18"/>
                <w:szCs w:val="18"/>
              </w:rPr>
              <w:t xml:space="preserve"> Band 7 </w:t>
            </w:r>
            <w:r w:rsidR="007162CF">
              <w:rPr>
                <w:rFonts w:ascii="Arial" w:hAnsi="Arial" w:cs="Arial"/>
                <w:sz w:val="18"/>
                <w:szCs w:val="18"/>
              </w:rPr>
              <w:t>psychological therapists</w:t>
            </w:r>
            <w:r w:rsidRPr="009C59DB">
              <w:rPr>
                <w:rFonts w:ascii="Arial" w:hAnsi="Arial" w:cs="Arial"/>
                <w:sz w:val="18"/>
                <w:szCs w:val="18"/>
              </w:rPr>
              <w:t xml:space="preserve"> (expert advice).</w:t>
            </w:r>
          </w:p>
        </w:tc>
        <w:tc>
          <w:tcPr>
            <w:tcW w:w="3119" w:type="dxa"/>
            <w:tcBorders>
              <w:top w:val="single" w:sz="8" w:space="0" w:color="FFFFFF"/>
              <w:left w:val="single" w:sz="8" w:space="0" w:color="FFFFFF"/>
              <w:bottom w:val="single" w:sz="8" w:space="0" w:color="FFFFFF"/>
              <w:right w:val="nil"/>
            </w:tcBorders>
            <w:shd w:val="clear" w:color="auto" w:fill="E6E6E6"/>
          </w:tcPr>
          <w:p w:rsidR="00B23F69" w:rsidRPr="009C59DB" w:rsidRDefault="00B23F69" w:rsidP="007162CF">
            <w:pPr>
              <w:pStyle w:val="TableTextLeft"/>
              <w:rPr>
                <w:rFonts w:ascii="Arial" w:hAnsi="Arial" w:cs="Arial"/>
                <w:sz w:val="18"/>
                <w:szCs w:val="18"/>
              </w:rPr>
            </w:pPr>
            <w:r w:rsidRPr="009C59DB">
              <w:rPr>
                <w:rFonts w:ascii="Arial" w:hAnsi="Arial" w:cs="Arial"/>
                <w:sz w:val="18"/>
                <w:szCs w:val="18"/>
              </w:rPr>
              <w:t xml:space="preserve">Unit cost of NHS </w:t>
            </w:r>
            <w:proofErr w:type="spellStart"/>
            <w:r w:rsidRPr="009C59DB">
              <w:rPr>
                <w:rFonts w:ascii="Arial" w:hAnsi="Arial" w:cs="Arial"/>
                <w:sz w:val="18"/>
                <w:szCs w:val="18"/>
              </w:rPr>
              <w:t>AfC</w:t>
            </w:r>
            <w:proofErr w:type="spellEnd"/>
            <w:r w:rsidRPr="009C59DB">
              <w:rPr>
                <w:rFonts w:ascii="Arial" w:hAnsi="Arial" w:cs="Arial"/>
                <w:sz w:val="18"/>
                <w:szCs w:val="18"/>
              </w:rPr>
              <w:t xml:space="preserve"> Band 7 </w:t>
            </w:r>
            <w:r w:rsidR="007162CF">
              <w:rPr>
                <w:rFonts w:ascii="Arial" w:hAnsi="Arial" w:cs="Arial"/>
                <w:sz w:val="18"/>
                <w:szCs w:val="18"/>
              </w:rPr>
              <w:t>psychological therapist</w:t>
            </w:r>
            <w:r w:rsidRPr="009C59DB">
              <w:rPr>
                <w:rFonts w:ascii="Arial" w:hAnsi="Arial" w:cs="Arial"/>
                <w:sz w:val="18"/>
                <w:szCs w:val="18"/>
              </w:rPr>
              <w:t xml:space="preserve"> £101 per hour of p</w:t>
            </w:r>
            <w:r>
              <w:rPr>
                <w:rFonts w:ascii="Arial" w:hAnsi="Arial" w:cs="Arial"/>
                <w:sz w:val="18"/>
                <w:szCs w:val="18"/>
              </w:rPr>
              <w:t>atient contact, as estimated in Appendix 3.</w:t>
            </w:r>
            <w:r w:rsidRPr="009C59DB">
              <w:rPr>
                <w:rFonts w:ascii="Arial" w:hAnsi="Arial" w:cs="Arial"/>
                <w:sz w:val="18"/>
                <w:szCs w:val="18"/>
              </w:rPr>
              <w:fldChar w:fldCharType="begin"/>
            </w:r>
            <w:r w:rsidRPr="009C59DB">
              <w:rPr>
                <w:rFonts w:ascii="Arial" w:hAnsi="Arial" w:cs="Arial"/>
                <w:sz w:val="18"/>
                <w:szCs w:val="18"/>
              </w:rPr>
              <w:instrText xml:space="preserve"> REF _Ref463891916 \h  \* MERGEFORMAT </w:instrText>
            </w:r>
            <w:r w:rsidRPr="009C59DB">
              <w:rPr>
                <w:rFonts w:ascii="Arial" w:hAnsi="Arial" w:cs="Arial"/>
                <w:sz w:val="18"/>
                <w:szCs w:val="18"/>
              </w:rPr>
            </w:r>
            <w:r w:rsidRPr="009C59DB">
              <w:rPr>
                <w:rFonts w:ascii="Arial" w:hAnsi="Arial" w:cs="Arial"/>
                <w:sz w:val="18"/>
                <w:szCs w:val="18"/>
              </w:rPr>
              <w:fldChar w:fldCharType="end"/>
            </w:r>
          </w:p>
        </w:tc>
        <w:tc>
          <w:tcPr>
            <w:tcW w:w="993" w:type="dxa"/>
            <w:tcBorders>
              <w:top w:val="single" w:sz="8" w:space="0" w:color="FFFFFF"/>
              <w:left w:val="single" w:sz="8" w:space="0" w:color="FFFFFF"/>
              <w:bottom w:val="single" w:sz="8" w:space="0" w:color="FFFFFF"/>
              <w:right w:val="nil"/>
            </w:tcBorders>
            <w:shd w:val="clear" w:color="auto" w:fill="E6E6E6"/>
          </w:tcPr>
          <w:p w:rsidR="00B23F69" w:rsidRPr="009C59DB" w:rsidRDefault="00B23F69" w:rsidP="00425648">
            <w:pPr>
              <w:pStyle w:val="TableTextRight"/>
              <w:rPr>
                <w:rFonts w:ascii="Arial" w:hAnsi="Arial" w:cs="Arial"/>
                <w:sz w:val="18"/>
                <w:szCs w:val="18"/>
              </w:rPr>
            </w:pPr>
            <w:r w:rsidRPr="009C59DB">
              <w:rPr>
                <w:rFonts w:ascii="Arial" w:hAnsi="Arial" w:cs="Arial"/>
                <w:sz w:val="18"/>
                <w:szCs w:val="18"/>
              </w:rPr>
              <w:t>£255.4</w:t>
            </w:r>
          </w:p>
        </w:tc>
        <w:tc>
          <w:tcPr>
            <w:tcW w:w="850" w:type="dxa"/>
            <w:tcBorders>
              <w:top w:val="single" w:sz="8" w:space="0" w:color="FFFFFF"/>
              <w:left w:val="single" w:sz="8" w:space="0" w:color="FFFFFF"/>
              <w:bottom w:val="single" w:sz="8" w:space="0" w:color="FFFFFF"/>
              <w:right w:val="nil"/>
            </w:tcBorders>
            <w:shd w:val="clear" w:color="auto" w:fill="E6E6E6"/>
          </w:tcPr>
          <w:p w:rsidR="00B23F69" w:rsidRPr="009C59DB" w:rsidRDefault="00B23F69" w:rsidP="00425648">
            <w:pPr>
              <w:pStyle w:val="TableTextRight"/>
              <w:rPr>
                <w:rFonts w:ascii="Arial" w:hAnsi="Arial" w:cs="Arial"/>
                <w:sz w:val="18"/>
                <w:szCs w:val="18"/>
              </w:rPr>
            </w:pPr>
            <w:r w:rsidRPr="009C59DB">
              <w:rPr>
                <w:rFonts w:ascii="Arial" w:hAnsi="Arial" w:cs="Arial"/>
                <w:sz w:val="18"/>
                <w:szCs w:val="18"/>
              </w:rPr>
              <w:t>20.5</w:t>
            </w:r>
          </w:p>
        </w:tc>
      </w:tr>
      <w:tr w:rsidR="00B23F69" w:rsidRPr="009C59DB" w:rsidTr="00425648">
        <w:tc>
          <w:tcPr>
            <w:tcW w:w="14176" w:type="dxa"/>
            <w:gridSpan w:val="7"/>
            <w:shd w:val="clear" w:color="auto" w:fill="E6E6E6"/>
            <w:vAlign w:val="center"/>
          </w:tcPr>
          <w:p w:rsidR="00B23F69" w:rsidRPr="00F15255" w:rsidRDefault="00B23F69" w:rsidP="00425648">
            <w:pPr>
              <w:pStyle w:val="TableHeadingLeft"/>
              <w:rPr>
                <w:rFonts w:ascii="Arial" w:hAnsi="Arial" w:cs="Arial"/>
                <w:sz w:val="18"/>
                <w:szCs w:val="18"/>
                <w:vertAlign w:val="superscript"/>
              </w:rPr>
            </w:pPr>
            <w:r w:rsidRPr="009C59DB">
              <w:rPr>
                <w:rFonts w:ascii="Arial" w:hAnsi="Arial" w:cs="Arial"/>
                <w:sz w:val="18"/>
                <w:szCs w:val="18"/>
              </w:rPr>
              <w:lastRenderedPageBreak/>
              <w:t>Other healthcare service</w:t>
            </w:r>
            <w:r w:rsidRPr="009C59DB">
              <w:rPr>
                <w:rFonts w:ascii="Arial" w:hAnsi="Arial" w:cs="Arial"/>
                <w:sz w:val="18"/>
                <w:szCs w:val="18"/>
                <w:vertAlign w:val="superscript"/>
              </w:rPr>
              <w:t>1</w:t>
            </w:r>
          </w:p>
        </w:tc>
      </w:tr>
      <w:tr w:rsidR="00B23F69" w:rsidRPr="009C59DB" w:rsidTr="00425648">
        <w:tc>
          <w:tcPr>
            <w:tcW w:w="2977" w:type="dxa"/>
            <w:shd w:val="clear" w:color="auto" w:fill="E6E6E6"/>
          </w:tcPr>
          <w:p w:rsidR="00B23F69" w:rsidRPr="009C59DB" w:rsidRDefault="00B23F69" w:rsidP="00425648">
            <w:pPr>
              <w:pStyle w:val="TableTextLeft"/>
              <w:rPr>
                <w:rFonts w:ascii="Arial" w:hAnsi="Arial" w:cs="Arial"/>
                <w:sz w:val="18"/>
                <w:szCs w:val="18"/>
              </w:rPr>
            </w:pPr>
            <w:r w:rsidRPr="009C59DB">
              <w:rPr>
                <w:rFonts w:ascii="Arial" w:hAnsi="Arial" w:cs="Arial"/>
                <w:sz w:val="18"/>
                <w:szCs w:val="18"/>
              </w:rPr>
              <w:t>Inpatient stay in past quarter</w:t>
            </w:r>
          </w:p>
        </w:tc>
        <w:tc>
          <w:tcPr>
            <w:tcW w:w="1128" w:type="dxa"/>
            <w:shd w:val="clear" w:color="auto" w:fill="E6E6E6"/>
          </w:tcPr>
          <w:p w:rsidR="00B23F69" w:rsidRPr="009C59DB" w:rsidRDefault="00B23F69" w:rsidP="00425648">
            <w:pPr>
              <w:pStyle w:val="TableTextRight"/>
              <w:rPr>
                <w:rFonts w:ascii="Arial" w:hAnsi="Arial" w:cs="Arial"/>
                <w:sz w:val="18"/>
                <w:szCs w:val="18"/>
              </w:rPr>
            </w:pPr>
            <w:r w:rsidRPr="009C59DB">
              <w:rPr>
                <w:rFonts w:ascii="Arial" w:hAnsi="Arial" w:cs="Arial"/>
                <w:sz w:val="18"/>
                <w:szCs w:val="18"/>
              </w:rPr>
              <w:t>1.7</w:t>
            </w:r>
          </w:p>
        </w:tc>
        <w:tc>
          <w:tcPr>
            <w:tcW w:w="1128" w:type="dxa"/>
            <w:shd w:val="clear" w:color="auto" w:fill="E6E6E6"/>
          </w:tcPr>
          <w:p w:rsidR="00B23F69" w:rsidRPr="009C59DB" w:rsidRDefault="00B23F69" w:rsidP="00425648">
            <w:pPr>
              <w:pStyle w:val="TableTextRight"/>
              <w:rPr>
                <w:rFonts w:ascii="Arial" w:hAnsi="Arial" w:cs="Arial"/>
                <w:sz w:val="18"/>
                <w:szCs w:val="18"/>
              </w:rPr>
            </w:pPr>
            <w:r w:rsidRPr="009C59DB">
              <w:rPr>
                <w:rFonts w:ascii="Arial" w:hAnsi="Arial" w:cs="Arial"/>
                <w:sz w:val="18"/>
                <w:szCs w:val="18"/>
              </w:rPr>
              <w:t>0.1</w:t>
            </w:r>
          </w:p>
        </w:tc>
        <w:tc>
          <w:tcPr>
            <w:tcW w:w="3981" w:type="dxa"/>
            <w:tcBorders>
              <w:top w:val="single" w:sz="8" w:space="0" w:color="FFFFFF"/>
              <w:left w:val="single" w:sz="8" w:space="0" w:color="FFFFFF"/>
              <w:bottom w:val="single" w:sz="8" w:space="0" w:color="FFFFFF"/>
              <w:right w:val="nil"/>
            </w:tcBorders>
            <w:shd w:val="clear" w:color="auto" w:fill="E6E6E6"/>
            <w:vAlign w:val="center"/>
          </w:tcPr>
          <w:p w:rsidR="00B23F69" w:rsidRPr="009C59DB" w:rsidRDefault="00B23F69" w:rsidP="00425648">
            <w:pPr>
              <w:pStyle w:val="TableTextLeft"/>
              <w:rPr>
                <w:rFonts w:ascii="Arial" w:hAnsi="Arial" w:cs="Arial"/>
                <w:sz w:val="18"/>
                <w:szCs w:val="18"/>
              </w:rPr>
            </w:pPr>
            <w:r w:rsidRPr="009C59DB">
              <w:rPr>
                <w:rFonts w:ascii="Arial" w:hAnsi="Arial" w:cs="Arial"/>
                <w:sz w:val="18"/>
                <w:szCs w:val="18"/>
              </w:rPr>
              <w:t>Percentages conservatively multiplied x 2 to reflect more accurately annual resource use (considering that some people may have been hospitalised earlier in the year, and others may have had multiple admissions).</w:t>
            </w:r>
          </w:p>
          <w:p w:rsidR="00B23F69" w:rsidRPr="009C59DB" w:rsidRDefault="00B23F69" w:rsidP="007B478D">
            <w:pPr>
              <w:pStyle w:val="TableTextLeft"/>
              <w:rPr>
                <w:rFonts w:ascii="Arial" w:hAnsi="Arial" w:cs="Arial"/>
                <w:sz w:val="18"/>
                <w:szCs w:val="18"/>
              </w:rPr>
            </w:pPr>
            <w:r w:rsidRPr="009C59DB">
              <w:rPr>
                <w:rFonts w:ascii="Arial" w:hAnsi="Arial" w:cs="Arial"/>
                <w:sz w:val="18"/>
                <w:szCs w:val="18"/>
              </w:rPr>
              <w:t>Mean LOS 29 days, based on the weighted mean LOS for F30-F39 (Mood [affective] disorders) and F40-F69 (Neurotic, behavioural &amp; personality disorders); mean LOS for PTSD 31 days</w:t>
            </w:r>
            <w:r w:rsidR="007B478D">
              <w:rPr>
                <w:rFonts w:ascii="Arial" w:hAnsi="Arial" w:cs="Arial"/>
                <w:sz w:val="18"/>
                <w:szCs w:val="18"/>
              </w:rPr>
              <w:t xml:space="preserve"> [3]</w:t>
            </w:r>
            <w:r>
              <w:rPr>
                <w:rFonts w:ascii="Arial" w:hAnsi="Arial" w:cs="Arial"/>
                <w:sz w:val="18"/>
                <w:szCs w:val="18"/>
              </w:rPr>
              <w:t>.</w:t>
            </w:r>
          </w:p>
        </w:tc>
        <w:tc>
          <w:tcPr>
            <w:tcW w:w="3119" w:type="dxa"/>
            <w:tcBorders>
              <w:top w:val="single" w:sz="8" w:space="0" w:color="FFFFFF"/>
              <w:left w:val="single" w:sz="8" w:space="0" w:color="FFFFFF"/>
              <w:bottom w:val="single" w:sz="8" w:space="0" w:color="FFFFFF"/>
              <w:right w:val="nil"/>
            </w:tcBorders>
            <w:shd w:val="clear" w:color="auto" w:fill="E6E6E6"/>
          </w:tcPr>
          <w:p w:rsidR="00B23F69" w:rsidRPr="009C59DB" w:rsidRDefault="00B23F69" w:rsidP="009035E3">
            <w:pPr>
              <w:pStyle w:val="TableTextLeft"/>
              <w:rPr>
                <w:rFonts w:ascii="Arial" w:hAnsi="Arial" w:cs="Arial"/>
                <w:sz w:val="18"/>
                <w:szCs w:val="18"/>
              </w:rPr>
            </w:pPr>
            <w:r w:rsidRPr="009C59DB">
              <w:rPr>
                <w:rFonts w:ascii="Arial" w:hAnsi="Arial" w:cs="Arial"/>
                <w:sz w:val="18"/>
                <w:szCs w:val="18"/>
              </w:rPr>
              <w:t>Cost per bed-day £404, based on the weighted mental health care cluster per bed-day</w:t>
            </w:r>
            <w:r w:rsidR="009035E3">
              <w:rPr>
                <w:rFonts w:ascii="Arial" w:hAnsi="Arial" w:cs="Arial"/>
                <w:sz w:val="18"/>
                <w:szCs w:val="18"/>
              </w:rPr>
              <w:t xml:space="preserve"> [6]</w:t>
            </w:r>
            <w:r w:rsidRPr="009C59DB">
              <w:rPr>
                <w:rFonts w:ascii="Arial" w:hAnsi="Arial" w:cs="Arial"/>
                <w:sz w:val="18"/>
                <w:szCs w:val="18"/>
              </w:rPr>
              <w:t>.</w:t>
            </w:r>
          </w:p>
        </w:tc>
        <w:tc>
          <w:tcPr>
            <w:tcW w:w="993" w:type="dxa"/>
            <w:tcBorders>
              <w:top w:val="single" w:sz="8" w:space="0" w:color="FFFFFF"/>
              <w:left w:val="single" w:sz="8" w:space="0" w:color="FFFFFF"/>
              <w:bottom w:val="single" w:sz="8" w:space="0" w:color="FFFFFF"/>
              <w:right w:val="nil"/>
            </w:tcBorders>
            <w:shd w:val="clear" w:color="auto" w:fill="E6E6E6"/>
          </w:tcPr>
          <w:p w:rsidR="00B23F69" w:rsidRPr="009C59DB" w:rsidRDefault="00B23F69" w:rsidP="00425648">
            <w:pPr>
              <w:pStyle w:val="TableTextRight"/>
              <w:rPr>
                <w:rFonts w:ascii="Arial" w:hAnsi="Arial" w:cs="Arial"/>
                <w:sz w:val="18"/>
                <w:szCs w:val="18"/>
              </w:rPr>
            </w:pPr>
            <w:r w:rsidRPr="009C59DB">
              <w:rPr>
                <w:rFonts w:ascii="Arial" w:hAnsi="Arial" w:cs="Arial"/>
                <w:sz w:val="18"/>
                <w:szCs w:val="18"/>
              </w:rPr>
              <w:t>£389.5</w:t>
            </w:r>
          </w:p>
        </w:tc>
        <w:tc>
          <w:tcPr>
            <w:tcW w:w="850" w:type="dxa"/>
            <w:tcBorders>
              <w:top w:val="single" w:sz="8" w:space="0" w:color="FFFFFF"/>
              <w:left w:val="single" w:sz="8" w:space="0" w:color="FFFFFF"/>
              <w:bottom w:val="single" w:sz="8" w:space="0" w:color="FFFFFF"/>
              <w:right w:val="nil"/>
            </w:tcBorders>
            <w:shd w:val="clear" w:color="auto" w:fill="E6E6E6"/>
          </w:tcPr>
          <w:p w:rsidR="00B23F69" w:rsidRPr="009C59DB" w:rsidRDefault="00B23F69" w:rsidP="00425648">
            <w:pPr>
              <w:pStyle w:val="TableTextRight"/>
              <w:rPr>
                <w:rFonts w:ascii="Arial" w:hAnsi="Arial" w:cs="Arial"/>
                <w:sz w:val="18"/>
                <w:szCs w:val="18"/>
              </w:rPr>
            </w:pPr>
            <w:r w:rsidRPr="009C59DB">
              <w:rPr>
                <w:rFonts w:ascii="Arial" w:hAnsi="Arial" w:cs="Arial"/>
                <w:sz w:val="18"/>
                <w:szCs w:val="18"/>
              </w:rPr>
              <w:t>£14.9</w:t>
            </w:r>
          </w:p>
        </w:tc>
      </w:tr>
      <w:tr w:rsidR="00B23F69" w:rsidRPr="009C59DB" w:rsidTr="00425648">
        <w:tc>
          <w:tcPr>
            <w:tcW w:w="2977" w:type="dxa"/>
            <w:shd w:val="clear" w:color="auto" w:fill="E6E6E6"/>
          </w:tcPr>
          <w:p w:rsidR="00B23F69" w:rsidRPr="009C59DB" w:rsidRDefault="00B23F69" w:rsidP="00425648">
            <w:pPr>
              <w:pStyle w:val="TableTextLeft"/>
              <w:rPr>
                <w:rFonts w:ascii="Arial" w:hAnsi="Arial" w:cs="Arial"/>
                <w:sz w:val="18"/>
                <w:szCs w:val="18"/>
              </w:rPr>
            </w:pPr>
            <w:r w:rsidRPr="009C59DB">
              <w:rPr>
                <w:rFonts w:ascii="Arial" w:hAnsi="Arial" w:cs="Arial"/>
                <w:sz w:val="18"/>
                <w:szCs w:val="18"/>
              </w:rPr>
              <w:t>Outpatient visit in past quarter</w:t>
            </w:r>
          </w:p>
        </w:tc>
        <w:tc>
          <w:tcPr>
            <w:tcW w:w="1128" w:type="dxa"/>
            <w:shd w:val="clear" w:color="auto" w:fill="E6E6E6"/>
          </w:tcPr>
          <w:p w:rsidR="00B23F69" w:rsidRPr="009C59DB" w:rsidRDefault="00B23F69" w:rsidP="00425648">
            <w:pPr>
              <w:pStyle w:val="TableTextRight"/>
              <w:rPr>
                <w:rFonts w:ascii="Arial" w:hAnsi="Arial" w:cs="Arial"/>
                <w:sz w:val="18"/>
                <w:szCs w:val="18"/>
              </w:rPr>
            </w:pPr>
            <w:r w:rsidRPr="009C59DB">
              <w:rPr>
                <w:rFonts w:ascii="Arial" w:hAnsi="Arial" w:cs="Arial"/>
                <w:sz w:val="18"/>
                <w:szCs w:val="18"/>
              </w:rPr>
              <w:t>6.2</w:t>
            </w:r>
          </w:p>
        </w:tc>
        <w:tc>
          <w:tcPr>
            <w:tcW w:w="1128" w:type="dxa"/>
            <w:shd w:val="clear" w:color="auto" w:fill="E6E6E6"/>
          </w:tcPr>
          <w:p w:rsidR="00B23F69" w:rsidRPr="009C59DB" w:rsidRDefault="00B23F69" w:rsidP="00425648">
            <w:pPr>
              <w:pStyle w:val="TableTextRight"/>
              <w:rPr>
                <w:rFonts w:ascii="Arial" w:hAnsi="Arial" w:cs="Arial"/>
                <w:sz w:val="18"/>
                <w:szCs w:val="18"/>
              </w:rPr>
            </w:pPr>
            <w:r w:rsidRPr="009C59DB">
              <w:rPr>
                <w:rFonts w:ascii="Arial" w:hAnsi="Arial" w:cs="Arial"/>
                <w:sz w:val="18"/>
                <w:szCs w:val="18"/>
              </w:rPr>
              <w:t>0.4</w:t>
            </w:r>
          </w:p>
        </w:tc>
        <w:tc>
          <w:tcPr>
            <w:tcW w:w="3981" w:type="dxa"/>
            <w:tcBorders>
              <w:top w:val="single" w:sz="8" w:space="0" w:color="FFFFFF"/>
              <w:left w:val="single" w:sz="8" w:space="0" w:color="FFFFFF"/>
              <w:bottom w:val="single" w:sz="8" w:space="0" w:color="FFFFFF"/>
              <w:right w:val="nil"/>
            </w:tcBorders>
            <w:shd w:val="clear" w:color="auto" w:fill="E6E6E6"/>
            <w:vAlign w:val="center"/>
          </w:tcPr>
          <w:p w:rsidR="00B23F69" w:rsidRPr="009C59DB" w:rsidRDefault="00B23F69" w:rsidP="00425648">
            <w:pPr>
              <w:pStyle w:val="TableTextLeft"/>
              <w:rPr>
                <w:rFonts w:ascii="Arial" w:hAnsi="Arial" w:cs="Arial"/>
                <w:sz w:val="18"/>
                <w:szCs w:val="18"/>
              </w:rPr>
            </w:pPr>
            <w:r w:rsidRPr="009C59DB">
              <w:rPr>
                <w:rFonts w:ascii="Arial" w:hAnsi="Arial" w:cs="Arial"/>
                <w:sz w:val="18"/>
                <w:szCs w:val="18"/>
              </w:rPr>
              <w:t>Percentages conservatively multiplied x 2 to reflect more accurately annual resource use (considering that some people may have had one or more outpati</w:t>
            </w:r>
            <w:r>
              <w:rPr>
                <w:rFonts w:ascii="Arial" w:hAnsi="Arial" w:cs="Arial"/>
                <w:sz w:val="18"/>
                <w:szCs w:val="18"/>
              </w:rPr>
              <w:t>ent visits earlier in the year); e</w:t>
            </w:r>
            <w:r w:rsidRPr="009C59DB">
              <w:rPr>
                <w:rFonts w:ascii="Arial" w:hAnsi="Arial" w:cs="Arial"/>
                <w:sz w:val="18"/>
                <w:szCs w:val="18"/>
              </w:rPr>
              <w:t>stimated number of outpatient</w:t>
            </w:r>
            <w:r>
              <w:rPr>
                <w:rFonts w:ascii="Arial" w:hAnsi="Arial" w:cs="Arial"/>
                <w:sz w:val="18"/>
                <w:szCs w:val="18"/>
              </w:rPr>
              <w:t xml:space="preserve"> visits per year 3 (</w:t>
            </w:r>
            <w:r w:rsidRPr="009C59DB">
              <w:rPr>
                <w:rFonts w:ascii="Arial" w:hAnsi="Arial" w:cs="Arial"/>
                <w:sz w:val="18"/>
                <w:szCs w:val="18"/>
              </w:rPr>
              <w:t>expert opinion).</w:t>
            </w:r>
          </w:p>
        </w:tc>
        <w:tc>
          <w:tcPr>
            <w:tcW w:w="3119" w:type="dxa"/>
            <w:tcBorders>
              <w:top w:val="single" w:sz="8" w:space="0" w:color="FFFFFF"/>
              <w:left w:val="single" w:sz="8" w:space="0" w:color="FFFFFF"/>
              <w:bottom w:val="single" w:sz="8" w:space="0" w:color="FFFFFF"/>
              <w:right w:val="nil"/>
            </w:tcBorders>
            <w:shd w:val="clear" w:color="auto" w:fill="E6E6E6"/>
          </w:tcPr>
          <w:p w:rsidR="00B23F69" w:rsidRPr="009C59DB" w:rsidRDefault="00B23F69" w:rsidP="007B478D">
            <w:pPr>
              <w:pStyle w:val="TableTextLeft"/>
              <w:rPr>
                <w:rFonts w:ascii="Arial" w:hAnsi="Arial" w:cs="Arial"/>
                <w:sz w:val="18"/>
                <w:szCs w:val="18"/>
              </w:rPr>
            </w:pPr>
            <w:r w:rsidRPr="009C59DB">
              <w:rPr>
                <w:rFonts w:ascii="Arial" w:hAnsi="Arial" w:cs="Arial"/>
                <w:sz w:val="18"/>
                <w:szCs w:val="18"/>
              </w:rPr>
              <w:t>Unit cost per outpatient visit £141 (</w:t>
            </w:r>
            <w:r w:rsidR="007B478D">
              <w:rPr>
                <w:rFonts w:ascii="Arial" w:hAnsi="Arial" w:cs="Arial"/>
                <w:sz w:val="18"/>
                <w:szCs w:val="18"/>
              </w:rPr>
              <w:t>[6]</w:t>
            </w:r>
            <w:r w:rsidR="007162CF">
              <w:rPr>
                <w:rFonts w:ascii="Arial" w:hAnsi="Arial" w:cs="Arial"/>
                <w:noProof/>
                <w:sz w:val="18"/>
                <w:szCs w:val="18"/>
              </w:rPr>
              <w:t>;</w:t>
            </w:r>
            <w:r w:rsidRPr="009C59DB">
              <w:rPr>
                <w:rFonts w:ascii="Arial" w:hAnsi="Arial" w:cs="Arial"/>
                <w:sz w:val="18"/>
                <w:szCs w:val="18"/>
              </w:rPr>
              <w:t xml:space="preserve"> “Other Mental Health Specialist Teams, Adult and Elderly”)</w:t>
            </w:r>
          </w:p>
        </w:tc>
        <w:tc>
          <w:tcPr>
            <w:tcW w:w="993" w:type="dxa"/>
            <w:tcBorders>
              <w:top w:val="single" w:sz="8" w:space="0" w:color="FFFFFF"/>
              <w:left w:val="single" w:sz="8" w:space="0" w:color="FFFFFF"/>
              <w:bottom w:val="single" w:sz="8" w:space="0" w:color="FFFFFF"/>
              <w:right w:val="nil"/>
            </w:tcBorders>
            <w:shd w:val="clear" w:color="auto" w:fill="E6E6E6"/>
          </w:tcPr>
          <w:p w:rsidR="00B23F69" w:rsidRPr="009C59DB" w:rsidRDefault="00B23F69" w:rsidP="00425648">
            <w:pPr>
              <w:pStyle w:val="TableTextRight"/>
              <w:rPr>
                <w:rFonts w:ascii="Arial" w:hAnsi="Arial" w:cs="Arial"/>
                <w:sz w:val="18"/>
                <w:szCs w:val="18"/>
              </w:rPr>
            </w:pPr>
            <w:r w:rsidRPr="009C59DB">
              <w:rPr>
                <w:rFonts w:ascii="Arial" w:hAnsi="Arial" w:cs="Arial"/>
                <w:sz w:val="18"/>
                <w:szCs w:val="18"/>
              </w:rPr>
              <w:t>£52.2</w:t>
            </w:r>
          </w:p>
        </w:tc>
        <w:tc>
          <w:tcPr>
            <w:tcW w:w="850" w:type="dxa"/>
            <w:tcBorders>
              <w:top w:val="single" w:sz="8" w:space="0" w:color="FFFFFF"/>
              <w:left w:val="single" w:sz="8" w:space="0" w:color="FFFFFF"/>
              <w:bottom w:val="single" w:sz="8" w:space="0" w:color="FFFFFF"/>
              <w:right w:val="nil"/>
            </w:tcBorders>
            <w:shd w:val="clear" w:color="auto" w:fill="E6E6E6"/>
          </w:tcPr>
          <w:p w:rsidR="00B23F69" w:rsidRPr="009C59DB" w:rsidRDefault="00B23F69" w:rsidP="00425648">
            <w:pPr>
              <w:pStyle w:val="TableTextRight"/>
              <w:rPr>
                <w:rFonts w:ascii="Arial" w:hAnsi="Arial" w:cs="Arial"/>
                <w:sz w:val="18"/>
                <w:szCs w:val="18"/>
              </w:rPr>
            </w:pPr>
            <w:r w:rsidRPr="009C59DB">
              <w:rPr>
                <w:rFonts w:ascii="Arial" w:hAnsi="Arial" w:cs="Arial"/>
                <w:sz w:val="18"/>
                <w:szCs w:val="18"/>
              </w:rPr>
              <w:t>£3.5</w:t>
            </w:r>
          </w:p>
        </w:tc>
      </w:tr>
      <w:tr w:rsidR="00B23F69" w:rsidRPr="009C59DB" w:rsidTr="00425648">
        <w:tc>
          <w:tcPr>
            <w:tcW w:w="2977" w:type="dxa"/>
            <w:shd w:val="clear" w:color="auto" w:fill="E6E6E6"/>
          </w:tcPr>
          <w:p w:rsidR="00B23F69" w:rsidRPr="009C59DB" w:rsidRDefault="00B23F69" w:rsidP="00425648">
            <w:pPr>
              <w:pStyle w:val="TableTextLeft"/>
              <w:rPr>
                <w:rFonts w:ascii="Arial" w:hAnsi="Arial" w:cs="Arial"/>
                <w:sz w:val="18"/>
                <w:szCs w:val="18"/>
              </w:rPr>
            </w:pPr>
            <w:r w:rsidRPr="009C59DB">
              <w:rPr>
                <w:rFonts w:ascii="Arial" w:hAnsi="Arial" w:cs="Arial"/>
                <w:sz w:val="18"/>
                <w:szCs w:val="18"/>
              </w:rPr>
              <w:t>Spoken with GP in past year</w:t>
            </w:r>
          </w:p>
        </w:tc>
        <w:tc>
          <w:tcPr>
            <w:tcW w:w="1128" w:type="dxa"/>
            <w:shd w:val="clear" w:color="auto" w:fill="E6E6E6"/>
          </w:tcPr>
          <w:p w:rsidR="00B23F69" w:rsidRPr="009C59DB" w:rsidRDefault="00B23F69" w:rsidP="00425648">
            <w:pPr>
              <w:pStyle w:val="TableTextRight"/>
              <w:rPr>
                <w:rFonts w:ascii="Arial" w:hAnsi="Arial" w:cs="Arial"/>
                <w:sz w:val="18"/>
                <w:szCs w:val="18"/>
              </w:rPr>
            </w:pPr>
            <w:r w:rsidRPr="009C59DB">
              <w:rPr>
                <w:rFonts w:ascii="Arial" w:hAnsi="Arial" w:cs="Arial"/>
                <w:sz w:val="18"/>
                <w:szCs w:val="18"/>
              </w:rPr>
              <w:t>60.2</w:t>
            </w:r>
          </w:p>
        </w:tc>
        <w:tc>
          <w:tcPr>
            <w:tcW w:w="1128" w:type="dxa"/>
            <w:shd w:val="clear" w:color="auto" w:fill="E6E6E6"/>
          </w:tcPr>
          <w:p w:rsidR="00B23F69" w:rsidRPr="009C59DB" w:rsidRDefault="00B23F69" w:rsidP="00425648">
            <w:pPr>
              <w:pStyle w:val="TableTextRight"/>
              <w:rPr>
                <w:rFonts w:ascii="Arial" w:hAnsi="Arial" w:cs="Arial"/>
                <w:sz w:val="18"/>
                <w:szCs w:val="18"/>
              </w:rPr>
            </w:pPr>
            <w:r w:rsidRPr="009C59DB">
              <w:rPr>
                <w:rFonts w:ascii="Arial" w:hAnsi="Arial" w:cs="Arial"/>
                <w:sz w:val="18"/>
                <w:szCs w:val="18"/>
              </w:rPr>
              <w:t>10.3</w:t>
            </w:r>
          </w:p>
        </w:tc>
        <w:tc>
          <w:tcPr>
            <w:tcW w:w="3981" w:type="dxa"/>
            <w:tcBorders>
              <w:top w:val="single" w:sz="8" w:space="0" w:color="FFFFFF"/>
              <w:left w:val="single" w:sz="8" w:space="0" w:color="FFFFFF"/>
              <w:bottom w:val="single" w:sz="8" w:space="0" w:color="FFFFFF"/>
              <w:right w:val="nil"/>
            </w:tcBorders>
            <w:shd w:val="clear" w:color="auto" w:fill="E6E6E6"/>
          </w:tcPr>
          <w:p w:rsidR="00B23F69" w:rsidRPr="009C59DB" w:rsidRDefault="00B23F69" w:rsidP="007B478D">
            <w:pPr>
              <w:pStyle w:val="TableTextLeft"/>
              <w:rPr>
                <w:rFonts w:ascii="Arial" w:hAnsi="Arial" w:cs="Arial"/>
                <w:sz w:val="18"/>
                <w:szCs w:val="18"/>
              </w:rPr>
            </w:pPr>
            <w:r w:rsidRPr="009C59DB">
              <w:rPr>
                <w:rFonts w:ascii="Arial" w:hAnsi="Arial" w:cs="Arial"/>
                <w:sz w:val="18"/>
                <w:szCs w:val="18"/>
              </w:rPr>
              <w:t>9 visits per year based on expert opinion and supported by evidence that the annual number of GP visits per person are 11 for people with SMI and 5 for people without SMI</w:t>
            </w:r>
            <w:r w:rsidR="007B478D">
              <w:rPr>
                <w:rFonts w:ascii="Arial" w:hAnsi="Arial" w:cs="Arial"/>
                <w:sz w:val="18"/>
                <w:szCs w:val="18"/>
              </w:rPr>
              <w:t xml:space="preserve"> [4]</w:t>
            </w:r>
            <w:r w:rsidRPr="009C59DB">
              <w:rPr>
                <w:rFonts w:ascii="Arial" w:hAnsi="Arial" w:cs="Arial"/>
                <w:sz w:val="18"/>
                <w:szCs w:val="18"/>
              </w:rPr>
              <w:t xml:space="preserve">. </w:t>
            </w:r>
            <w:r>
              <w:rPr>
                <w:rFonts w:ascii="Arial" w:hAnsi="Arial" w:cs="Arial"/>
                <w:sz w:val="18"/>
                <w:szCs w:val="18"/>
              </w:rPr>
              <w:t xml:space="preserve">According to expert advice, </w:t>
            </w:r>
            <w:r w:rsidRPr="009C59DB">
              <w:rPr>
                <w:rFonts w:ascii="Arial" w:hAnsi="Arial" w:cs="Arial"/>
                <w:sz w:val="18"/>
                <w:szCs w:val="18"/>
              </w:rPr>
              <w:t>the number of visits for people with PTSD are more likely to approximate those for people with SMI; conservatively, this number was al</w:t>
            </w:r>
            <w:r>
              <w:rPr>
                <w:rFonts w:ascii="Arial" w:hAnsi="Arial" w:cs="Arial"/>
                <w:sz w:val="18"/>
                <w:szCs w:val="18"/>
              </w:rPr>
              <w:t>so used for people without PTSD.</w:t>
            </w:r>
          </w:p>
        </w:tc>
        <w:tc>
          <w:tcPr>
            <w:tcW w:w="3119" w:type="dxa"/>
            <w:tcBorders>
              <w:top w:val="single" w:sz="8" w:space="0" w:color="FFFFFF"/>
              <w:left w:val="single" w:sz="8" w:space="0" w:color="FFFFFF"/>
              <w:bottom w:val="single" w:sz="8" w:space="0" w:color="FFFFFF"/>
              <w:right w:val="nil"/>
            </w:tcBorders>
            <w:shd w:val="clear" w:color="auto" w:fill="E6E6E6"/>
          </w:tcPr>
          <w:p w:rsidR="00B23F69" w:rsidRPr="009C59DB" w:rsidRDefault="00B23F69" w:rsidP="007B478D">
            <w:pPr>
              <w:pStyle w:val="TableTextLeft"/>
              <w:rPr>
                <w:rFonts w:ascii="Arial" w:hAnsi="Arial" w:cs="Arial"/>
                <w:sz w:val="18"/>
                <w:szCs w:val="18"/>
              </w:rPr>
            </w:pPr>
            <w:r w:rsidRPr="009C59DB">
              <w:rPr>
                <w:rFonts w:ascii="Arial" w:hAnsi="Arial" w:cs="Arial"/>
                <w:sz w:val="18"/>
                <w:szCs w:val="18"/>
              </w:rPr>
              <w:t>Unit cost per GP visit £37, including direct care</w:t>
            </w:r>
            <w:r>
              <w:rPr>
                <w:rFonts w:ascii="Arial" w:hAnsi="Arial" w:cs="Arial"/>
                <w:sz w:val="18"/>
                <w:szCs w:val="18"/>
              </w:rPr>
              <w:t xml:space="preserve"> staff and qualification costs</w:t>
            </w:r>
            <w:r w:rsidR="00D32968">
              <w:rPr>
                <w:rFonts w:ascii="Arial" w:hAnsi="Arial" w:cs="Arial"/>
                <w:sz w:val="18"/>
                <w:szCs w:val="18"/>
              </w:rPr>
              <w:t xml:space="preserve"> </w:t>
            </w:r>
            <w:r w:rsidR="007B478D">
              <w:rPr>
                <w:rFonts w:ascii="Arial" w:hAnsi="Arial" w:cs="Arial"/>
                <w:sz w:val="18"/>
                <w:szCs w:val="18"/>
              </w:rPr>
              <w:t>[5]</w:t>
            </w:r>
          </w:p>
        </w:tc>
        <w:tc>
          <w:tcPr>
            <w:tcW w:w="993" w:type="dxa"/>
            <w:tcBorders>
              <w:top w:val="single" w:sz="8" w:space="0" w:color="FFFFFF"/>
              <w:left w:val="single" w:sz="8" w:space="0" w:color="FFFFFF"/>
              <w:bottom w:val="single" w:sz="8" w:space="0" w:color="FFFFFF"/>
              <w:right w:val="nil"/>
            </w:tcBorders>
            <w:shd w:val="clear" w:color="auto" w:fill="E6E6E6"/>
          </w:tcPr>
          <w:p w:rsidR="00B23F69" w:rsidRPr="009C59DB" w:rsidRDefault="00B23F69" w:rsidP="00425648">
            <w:pPr>
              <w:pStyle w:val="TableTextRight"/>
              <w:rPr>
                <w:rFonts w:ascii="Arial" w:hAnsi="Arial" w:cs="Arial"/>
                <w:sz w:val="18"/>
                <w:szCs w:val="18"/>
              </w:rPr>
            </w:pPr>
            <w:r w:rsidRPr="009C59DB">
              <w:rPr>
                <w:rFonts w:ascii="Arial" w:hAnsi="Arial" w:cs="Arial"/>
                <w:sz w:val="18"/>
                <w:szCs w:val="18"/>
              </w:rPr>
              <w:t>£200.5</w:t>
            </w:r>
          </w:p>
        </w:tc>
        <w:tc>
          <w:tcPr>
            <w:tcW w:w="850" w:type="dxa"/>
            <w:tcBorders>
              <w:top w:val="single" w:sz="8" w:space="0" w:color="FFFFFF"/>
              <w:left w:val="single" w:sz="8" w:space="0" w:color="FFFFFF"/>
              <w:bottom w:val="single" w:sz="8" w:space="0" w:color="FFFFFF"/>
              <w:right w:val="nil"/>
            </w:tcBorders>
            <w:shd w:val="clear" w:color="auto" w:fill="E6E6E6"/>
          </w:tcPr>
          <w:p w:rsidR="00B23F69" w:rsidRPr="009C59DB" w:rsidRDefault="00B23F69" w:rsidP="00425648">
            <w:pPr>
              <w:pStyle w:val="TableTextRight"/>
              <w:rPr>
                <w:rFonts w:ascii="Arial" w:hAnsi="Arial" w:cs="Arial"/>
                <w:sz w:val="18"/>
                <w:szCs w:val="18"/>
              </w:rPr>
            </w:pPr>
            <w:r w:rsidRPr="009C59DB">
              <w:rPr>
                <w:rFonts w:ascii="Arial" w:hAnsi="Arial" w:cs="Arial"/>
                <w:sz w:val="18"/>
                <w:szCs w:val="18"/>
              </w:rPr>
              <w:t>£34.2</w:t>
            </w:r>
          </w:p>
        </w:tc>
      </w:tr>
      <w:tr w:rsidR="00B23F69" w:rsidRPr="009C59DB" w:rsidTr="00425648">
        <w:tc>
          <w:tcPr>
            <w:tcW w:w="14176" w:type="dxa"/>
            <w:gridSpan w:val="7"/>
            <w:shd w:val="clear" w:color="auto" w:fill="E6E6E6"/>
          </w:tcPr>
          <w:p w:rsidR="00B23F69" w:rsidRPr="009C59DB" w:rsidRDefault="00B23F69" w:rsidP="00425648">
            <w:pPr>
              <w:pStyle w:val="TableHeadingLeft"/>
              <w:rPr>
                <w:rFonts w:ascii="Arial" w:hAnsi="Arial" w:cs="Arial"/>
                <w:color w:val="FF0000"/>
                <w:sz w:val="18"/>
                <w:szCs w:val="18"/>
              </w:rPr>
            </w:pPr>
            <w:r w:rsidRPr="009C59DB">
              <w:rPr>
                <w:rFonts w:ascii="Arial" w:hAnsi="Arial" w:cs="Arial"/>
                <w:sz w:val="18"/>
                <w:szCs w:val="18"/>
              </w:rPr>
              <w:t>Community care - past year</w:t>
            </w:r>
            <w:r w:rsidRPr="009C59DB">
              <w:rPr>
                <w:rFonts w:ascii="Arial" w:hAnsi="Arial" w:cs="Arial"/>
                <w:sz w:val="18"/>
                <w:szCs w:val="18"/>
                <w:vertAlign w:val="superscript"/>
              </w:rPr>
              <w:t>1</w:t>
            </w:r>
          </w:p>
        </w:tc>
      </w:tr>
      <w:tr w:rsidR="00B23F69" w:rsidRPr="009C59DB" w:rsidTr="00425648">
        <w:tc>
          <w:tcPr>
            <w:tcW w:w="2977" w:type="dxa"/>
            <w:shd w:val="clear" w:color="auto" w:fill="E6E6E6"/>
          </w:tcPr>
          <w:p w:rsidR="00B23F69" w:rsidRPr="009C59DB" w:rsidRDefault="00B23F69" w:rsidP="00425648">
            <w:pPr>
              <w:pStyle w:val="TableTextLeft"/>
              <w:rPr>
                <w:rFonts w:ascii="Arial" w:hAnsi="Arial" w:cs="Arial"/>
                <w:sz w:val="18"/>
                <w:szCs w:val="18"/>
              </w:rPr>
            </w:pPr>
            <w:r w:rsidRPr="009C59DB">
              <w:rPr>
                <w:rFonts w:ascii="Arial" w:hAnsi="Arial" w:cs="Arial"/>
                <w:sz w:val="18"/>
                <w:szCs w:val="18"/>
              </w:rPr>
              <w:t>Psychiatrist</w:t>
            </w:r>
          </w:p>
        </w:tc>
        <w:tc>
          <w:tcPr>
            <w:tcW w:w="1128" w:type="dxa"/>
            <w:shd w:val="clear" w:color="auto" w:fill="E6E6E6"/>
          </w:tcPr>
          <w:p w:rsidR="00B23F69" w:rsidRPr="009C59DB" w:rsidRDefault="00B23F69" w:rsidP="00425648">
            <w:pPr>
              <w:pStyle w:val="TableTextRight"/>
              <w:rPr>
                <w:rFonts w:ascii="Arial" w:hAnsi="Arial" w:cs="Arial"/>
                <w:sz w:val="18"/>
                <w:szCs w:val="18"/>
              </w:rPr>
            </w:pPr>
            <w:r w:rsidRPr="009C59DB">
              <w:rPr>
                <w:rFonts w:ascii="Arial" w:hAnsi="Arial" w:cs="Arial"/>
                <w:sz w:val="18"/>
                <w:szCs w:val="18"/>
              </w:rPr>
              <w:t>10.5</w:t>
            </w:r>
          </w:p>
        </w:tc>
        <w:tc>
          <w:tcPr>
            <w:tcW w:w="1128" w:type="dxa"/>
            <w:shd w:val="clear" w:color="auto" w:fill="E6E6E6"/>
          </w:tcPr>
          <w:p w:rsidR="00B23F69" w:rsidRPr="009C59DB" w:rsidRDefault="00B23F69" w:rsidP="00425648">
            <w:pPr>
              <w:pStyle w:val="TableTextRight"/>
              <w:rPr>
                <w:rFonts w:ascii="Arial" w:hAnsi="Arial" w:cs="Arial"/>
                <w:sz w:val="18"/>
                <w:szCs w:val="18"/>
              </w:rPr>
            </w:pPr>
            <w:r w:rsidRPr="009C59DB">
              <w:rPr>
                <w:rFonts w:ascii="Arial" w:hAnsi="Arial" w:cs="Arial"/>
                <w:sz w:val="18"/>
                <w:szCs w:val="18"/>
              </w:rPr>
              <w:t>0.6</w:t>
            </w:r>
          </w:p>
        </w:tc>
        <w:tc>
          <w:tcPr>
            <w:tcW w:w="3981" w:type="dxa"/>
            <w:tcBorders>
              <w:top w:val="single" w:sz="8" w:space="0" w:color="FFFFFF"/>
              <w:left w:val="single" w:sz="8" w:space="0" w:color="FFFFFF"/>
              <w:bottom w:val="single" w:sz="8" w:space="0" w:color="FFFFFF"/>
              <w:right w:val="nil"/>
            </w:tcBorders>
            <w:shd w:val="clear" w:color="auto" w:fill="E6E6E6"/>
          </w:tcPr>
          <w:p w:rsidR="00B23F69" w:rsidRPr="009C59DB" w:rsidRDefault="00B23F69" w:rsidP="00425648">
            <w:pPr>
              <w:pStyle w:val="TableTextLeft"/>
              <w:rPr>
                <w:rFonts w:ascii="Arial" w:hAnsi="Arial" w:cs="Arial"/>
                <w:sz w:val="18"/>
                <w:szCs w:val="18"/>
              </w:rPr>
            </w:pPr>
            <w:r w:rsidRPr="009C59DB">
              <w:rPr>
                <w:rFonts w:ascii="Arial" w:hAnsi="Arial" w:cs="Arial"/>
                <w:sz w:val="18"/>
                <w:szCs w:val="18"/>
              </w:rPr>
              <w:t>1 consultant psychiatrist visit per y</w:t>
            </w:r>
            <w:r>
              <w:rPr>
                <w:rFonts w:ascii="Arial" w:hAnsi="Arial" w:cs="Arial"/>
                <w:sz w:val="18"/>
                <w:szCs w:val="18"/>
              </w:rPr>
              <w:t>ear lasting 1 hour (</w:t>
            </w:r>
            <w:r w:rsidRPr="009C59DB">
              <w:rPr>
                <w:rFonts w:ascii="Arial" w:hAnsi="Arial" w:cs="Arial"/>
                <w:sz w:val="18"/>
                <w:szCs w:val="18"/>
              </w:rPr>
              <w:t>expert opinion)</w:t>
            </w:r>
          </w:p>
        </w:tc>
        <w:tc>
          <w:tcPr>
            <w:tcW w:w="3119" w:type="dxa"/>
            <w:tcBorders>
              <w:top w:val="single" w:sz="8" w:space="0" w:color="FFFFFF"/>
              <w:left w:val="single" w:sz="8" w:space="0" w:color="FFFFFF"/>
              <w:bottom w:val="single" w:sz="8" w:space="0" w:color="FFFFFF"/>
              <w:right w:val="nil"/>
            </w:tcBorders>
            <w:shd w:val="clear" w:color="auto" w:fill="E6E6E6"/>
          </w:tcPr>
          <w:p w:rsidR="00B23F69" w:rsidRPr="009C59DB" w:rsidRDefault="00B23F69" w:rsidP="007B478D">
            <w:pPr>
              <w:pStyle w:val="TableTextLeft"/>
              <w:rPr>
                <w:rFonts w:ascii="Arial" w:hAnsi="Arial" w:cs="Arial"/>
                <w:sz w:val="18"/>
                <w:szCs w:val="18"/>
              </w:rPr>
            </w:pPr>
            <w:r w:rsidRPr="009C59DB">
              <w:rPr>
                <w:rFonts w:ascii="Arial" w:hAnsi="Arial" w:cs="Arial"/>
                <w:sz w:val="18"/>
                <w:szCs w:val="18"/>
              </w:rPr>
              <w:t xml:space="preserve">Unit cost of consultant psychiatrist £361 per hour of patient contact, using </w:t>
            </w:r>
            <w:r w:rsidR="00D32968">
              <w:rPr>
                <w:rFonts w:ascii="Arial" w:hAnsi="Arial" w:cs="Arial"/>
                <w:sz w:val="18"/>
                <w:szCs w:val="18"/>
              </w:rPr>
              <w:t xml:space="preserve">national </w:t>
            </w:r>
            <w:r w:rsidRPr="009C59DB">
              <w:rPr>
                <w:rFonts w:ascii="Arial" w:hAnsi="Arial" w:cs="Arial"/>
                <w:sz w:val="18"/>
                <w:szCs w:val="18"/>
              </w:rPr>
              <w:t>unit cost data</w:t>
            </w:r>
            <w:r w:rsidR="00D32968">
              <w:rPr>
                <w:rFonts w:ascii="Arial" w:hAnsi="Arial" w:cs="Arial"/>
                <w:sz w:val="18"/>
                <w:szCs w:val="18"/>
              </w:rPr>
              <w:t xml:space="preserve"> </w:t>
            </w:r>
            <w:r w:rsidR="007B478D">
              <w:rPr>
                <w:rFonts w:ascii="Arial" w:hAnsi="Arial" w:cs="Arial"/>
                <w:sz w:val="18"/>
                <w:szCs w:val="18"/>
              </w:rPr>
              <w:t>[5]</w:t>
            </w:r>
            <w:r w:rsidRPr="009C59DB">
              <w:rPr>
                <w:rFonts w:ascii="Arial" w:hAnsi="Arial" w:cs="Arial"/>
                <w:sz w:val="18"/>
                <w:szCs w:val="18"/>
              </w:rPr>
              <w:t xml:space="preserve"> and a ratio of direct: indirect time of 1:1.58.</w:t>
            </w:r>
          </w:p>
        </w:tc>
        <w:tc>
          <w:tcPr>
            <w:tcW w:w="993" w:type="dxa"/>
            <w:tcBorders>
              <w:top w:val="single" w:sz="8" w:space="0" w:color="FFFFFF"/>
              <w:left w:val="single" w:sz="8" w:space="0" w:color="FFFFFF"/>
              <w:bottom w:val="single" w:sz="8" w:space="0" w:color="FFFFFF"/>
              <w:right w:val="nil"/>
            </w:tcBorders>
            <w:shd w:val="clear" w:color="auto" w:fill="E6E6E6"/>
          </w:tcPr>
          <w:p w:rsidR="00B23F69" w:rsidRPr="009C59DB" w:rsidRDefault="00B23F69" w:rsidP="00425648">
            <w:pPr>
              <w:pStyle w:val="TableTextRight"/>
              <w:rPr>
                <w:rFonts w:ascii="Arial" w:hAnsi="Arial" w:cs="Arial"/>
                <w:sz w:val="18"/>
                <w:szCs w:val="18"/>
              </w:rPr>
            </w:pPr>
            <w:r w:rsidRPr="009C59DB">
              <w:rPr>
                <w:rFonts w:ascii="Arial" w:hAnsi="Arial" w:cs="Arial"/>
                <w:sz w:val="18"/>
                <w:szCs w:val="18"/>
              </w:rPr>
              <w:t>£38.0</w:t>
            </w:r>
          </w:p>
        </w:tc>
        <w:tc>
          <w:tcPr>
            <w:tcW w:w="850" w:type="dxa"/>
            <w:tcBorders>
              <w:top w:val="single" w:sz="8" w:space="0" w:color="FFFFFF"/>
              <w:left w:val="single" w:sz="8" w:space="0" w:color="FFFFFF"/>
              <w:bottom w:val="single" w:sz="8" w:space="0" w:color="FFFFFF"/>
              <w:right w:val="nil"/>
            </w:tcBorders>
            <w:shd w:val="clear" w:color="auto" w:fill="E6E6E6"/>
          </w:tcPr>
          <w:p w:rsidR="00B23F69" w:rsidRPr="009C59DB" w:rsidRDefault="00B23F69" w:rsidP="00425648">
            <w:pPr>
              <w:pStyle w:val="TableTextRight"/>
              <w:rPr>
                <w:rFonts w:ascii="Arial" w:hAnsi="Arial" w:cs="Arial"/>
                <w:sz w:val="18"/>
                <w:szCs w:val="18"/>
              </w:rPr>
            </w:pPr>
            <w:r w:rsidRPr="009C59DB">
              <w:rPr>
                <w:rFonts w:ascii="Arial" w:hAnsi="Arial" w:cs="Arial"/>
                <w:sz w:val="18"/>
                <w:szCs w:val="18"/>
              </w:rPr>
              <w:t>£2.3</w:t>
            </w:r>
          </w:p>
        </w:tc>
      </w:tr>
      <w:tr w:rsidR="00B23F69" w:rsidRPr="009C59DB" w:rsidTr="00425648">
        <w:tc>
          <w:tcPr>
            <w:tcW w:w="2977" w:type="dxa"/>
            <w:shd w:val="clear" w:color="auto" w:fill="E6E6E6"/>
          </w:tcPr>
          <w:p w:rsidR="00B23F69" w:rsidRPr="009C59DB" w:rsidRDefault="00B23F69" w:rsidP="00425648">
            <w:pPr>
              <w:pStyle w:val="TableTextLeft"/>
              <w:rPr>
                <w:rFonts w:ascii="Arial" w:hAnsi="Arial" w:cs="Arial"/>
                <w:sz w:val="18"/>
                <w:szCs w:val="18"/>
              </w:rPr>
            </w:pPr>
            <w:r w:rsidRPr="009C59DB">
              <w:rPr>
                <w:rFonts w:ascii="Arial" w:hAnsi="Arial" w:cs="Arial"/>
                <w:sz w:val="18"/>
                <w:szCs w:val="18"/>
              </w:rPr>
              <w:t>Psychologist</w:t>
            </w:r>
          </w:p>
        </w:tc>
        <w:tc>
          <w:tcPr>
            <w:tcW w:w="1128" w:type="dxa"/>
            <w:shd w:val="clear" w:color="auto" w:fill="E6E6E6"/>
          </w:tcPr>
          <w:p w:rsidR="00B23F69" w:rsidRPr="009C59DB" w:rsidRDefault="00B23F69" w:rsidP="00425648">
            <w:pPr>
              <w:pStyle w:val="TableTextRight"/>
              <w:rPr>
                <w:rFonts w:ascii="Arial" w:hAnsi="Arial" w:cs="Arial"/>
                <w:sz w:val="18"/>
                <w:szCs w:val="18"/>
              </w:rPr>
            </w:pPr>
            <w:r w:rsidRPr="009C59DB">
              <w:rPr>
                <w:rFonts w:ascii="Arial" w:hAnsi="Arial" w:cs="Arial"/>
                <w:sz w:val="18"/>
                <w:szCs w:val="18"/>
              </w:rPr>
              <w:t>6.4</w:t>
            </w:r>
          </w:p>
        </w:tc>
        <w:tc>
          <w:tcPr>
            <w:tcW w:w="1128" w:type="dxa"/>
            <w:shd w:val="clear" w:color="auto" w:fill="E6E6E6"/>
          </w:tcPr>
          <w:p w:rsidR="00B23F69" w:rsidRPr="009C59DB" w:rsidRDefault="00B23F69" w:rsidP="00425648">
            <w:pPr>
              <w:pStyle w:val="TableTextRight"/>
              <w:rPr>
                <w:rFonts w:ascii="Arial" w:hAnsi="Arial" w:cs="Arial"/>
                <w:sz w:val="18"/>
                <w:szCs w:val="18"/>
              </w:rPr>
            </w:pPr>
            <w:r w:rsidRPr="009C59DB">
              <w:rPr>
                <w:rFonts w:ascii="Arial" w:hAnsi="Arial" w:cs="Arial"/>
                <w:sz w:val="18"/>
                <w:szCs w:val="18"/>
              </w:rPr>
              <w:t>0.6</w:t>
            </w:r>
          </w:p>
        </w:tc>
        <w:tc>
          <w:tcPr>
            <w:tcW w:w="3981" w:type="dxa"/>
            <w:tcBorders>
              <w:top w:val="single" w:sz="8" w:space="0" w:color="FFFFFF"/>
              <w:left w:val="single" w:sz="8" w:space="0" w:color="FFFFFF"/>
              <w:bottom w:val="single" w:sz="8" w:space="0" w:color="FFFFFF"/>
              <w:right w:val="nil"/>
            </w:tcBorders>
            <w:shd w:val="clear" w:color="auto" w:fill="E6E6E6"/>
          </w:tcPr>
          <w:p w:rsidR="00B23F69" w:rsidRPr="009C59DB" w:rsidRDefault="00B23F69" w:rsidP="007162CF">
            <w:pPr>
              <w:pStyle w:val="TableTextLeft"/>
              <w:rPr>
                <w:rFonts w:ascii="Arial" w:hAnsi="Arial" w:cs="Arial"/>
                <w:sz w:val="18"/>
                <w:szCs w:val="18"/>
              </w:rPr>
            </w:pPr>
            <w:r w:rsidRPr="009C59DB">
              <w:rPr>
                <w:rFonts w:ascii="Arial" w:hAnsi="Arial" w:cs="Arial"/>
                <w:sz w:val="18"/>
                <w:szCs w:val="18"/>
              </w:rPr>
              <w:t xml:space="preserve">1 Band 7 </w:t>
            </w:r>
            <w:r w:rsidR="007162CF">
              <w:rPr>
                <w:rFonts w:ascii="Arial" w:hAnsi="Arial" w:cs="Arial"/>
                <w:sz w:val="18"/>
                <w:szCs w:val="18"/>
              </w:rPr>
              <w:t>psychological therapist</w:t>
            </w:r>
            <w:r w:rsidRPr="009C59DB">
              <w:rPr>
                <w:rFonts w:ascii="Arial" w:hAnsi="Arial" w:cs="Arial"/>
                <w:sz w:val="18"/>
                <w:szCs w:val="18"/>
              </w:rPr>
              <w:t xml:space="preserve"> visit per y</w:t>
            </w:r>
            <w:r>
              <w:rPr>
                <w:rFonts w:ascii="Arial" w:hAnsi="Arial" w:cs="Arial"/>
                <w:sz w:val="18"/>
                <w:szCs w:val="18"/>
              </w:rPr>
              <w:t>ear lasting 1 hour (</w:t>
            </w:r>
            <w:r w:rsidRPr="009C59DB">
              <w:rPr>
                <w:rFonts w:ascii="Arial" w:hAnsi="Arial" w:cs="Arial"/>
                <w:sz w:val="18"/>
                <w:szCs w:val="18"/>
              </w:rPr>
              <w:t>expert opinion)</w:t>
            </w:r>
          </w:p>
        </w:tc>
        <w:tc>
          <w:tcPr>
            <w:tcW w:w="3119" w:type="dxa"/>
            <w:tcBorders>
              <w:top w:val="single" w:sz="8" w:space="0" w:color="FFFFFF"/>
              <w:left w:val="single" w:sz="8" w:space="0" w:color="FFFFFF"/>
              <w:bottom w:val="single" w:sz="8" w:space="0" w:color="FFFFFF"/>
              <w:right w:val="nil"/>
            </w:tcBorders>
            <w:shd w:val="clear" w:color="auto" w:fill="E6E6E6"/>
          </w:tcPr>
          <w:p w:rsidR="00B23F69" w:rsidRPr="009C59DB" w:rsidRDefault="00B23F69" w:rsidP="007162CF">
            <w:pPr>
              <w:pStyle w:val="TableTextLeft"/>
              <w:rPr>
                <w:rFonts w:ascii="Arial" w:hAnsi="Arial" w:cs="Arial"/>
                <w:color w:val="FF0000"/>
                <w:sz w:val="18"/>
                <w:szCs w:val="18"/>
              </w:rPr>
            </w:pPr>
            <w:r w:rsidRPr="009C59DB">
              <w:rPr>
                <w:rFonts w:ascii="Arial" w:hAnsi="Arial" w:cs="Arial"/>
                <w:sz w:val="18"/>
                <w:szCs w:val="18"/>
              </w:rPr>
              <w:t xml:space="preserve">Unit cost of NHS </w:t>
            </w:r>
            <w:proofErr w:type="spellStart"/>
            <w:r w:rsidRPr="009C59DB">
              <w:rPr>
                <w:rFonts w:ascii="Arial" w:hAnsi="Arial" w:cs="Arial"/>
                <w:sz w:val="18"/>
                <w:szCs w:val="18"/>
              </w:rPr>
              <w:t>AfC</w:t>
            </w:r>
            <w:proofErr w:type="spellEnd"/>
            <w:r w:rsidRPr="009C59DB">
              <w:rPr>
                <w:rFonts w:ascii="Arial" w:hAnsi="Arial" w:cs="Arial"/>
                <w:sz w:val="18"/>
                <w:szCs w:val="18"/>
              </w:rPr>
              <w:t xml:space="preserve"> Band 7 </w:t>
            </w:r>
            <w:r w:rsidR="007162CF">
              <w:rPr>
                <w:rFonts w:ascii="Arial" w:hAnsi="Arial" w:cs="Arial"/>
                <w:sz w:val="18"/>
                <w:szCs w:val="18"/>
              </w:rPr>
              <w:t>therapist</w:t>
            </w:r>
            <w:r w:rsidRPr="009C59DB">
              <w:rPr>
                <w:rFonts w:ascii="Arial" w:hAnsi="Arial" w:cs="Arial"/>
                <w:sz w:val="18"/>
                <w:szCs w:val="18"/>
              </w:rPr>
              <w:t xml:space="preserve"> £101 per hour of patient c</w:t>
            </w:r>
            <w:r>
              <w:rPr>
                <w:rFonts w:ascii="Arial" w:hAnsi="Arial" w:cs="Arial"/>
                <w:sz w:val="18"/>
                <w:szCs w:val="18"/>
              </w:rPr>
              <w:t>ontact, as estimated in Appendix 3.</w:t>
            </w:r>
          </w:p>
        </w:tc>
        <w:tc>
          <w:tcPr>
            <w:tcW w:w="993" w:type="dxa"/>
            <w:tcBorders>
              <w:top w:val="single" w:sz="8" w:space="0" w:color="FFFFFF"/>
              <w:left w:val="single" w:sz="8" w:space="0" w:color="FFFFFF"/>
              <w:bottom w:val="single" w:sz="8" w:space="0" w:color="FFFFFF"/>
              <w:right w:val="nil"/>
            </w:tcBorders>
            <w:shd w:val="clear" w:color="auto" w:fill="E6E6E6"/>
          </w:tcPr>
          <w:p w:rsidR="00B23F69" w:rsidRPr="009C59DB" w:rsidRDefault="00B23F69" w:rsidP="00425648">
            <w:pPr>
              <w:pStyle w:val="TableTextRight"/>
              <w:rPr>
                <w:rFonts w:ascii="Arial" w:hAnsi="Arial" w:cs="Arial"/>
                <w:sz w:val="18"/>
                <w:szCs w:val="18"/>
              </w:rPr>
            </w:pPr>
            <w:r w:rsidRPr="009C59DB">
              <w:rPr>
                <w:rFonts w:ascii="Arial" w:hAnsi="Arial" w:cs="Arial"/>
                <w:sz w:val="18"/>
                <w:szCs w:val="18"/>
              </w:rPr>
              <w:t>£6.5</w:t>
            </w:r>
          </w:p>
        </w:tc>
        <w:tc>
          <w:tcPr>
            <w:tcW w:w="850" w:type="dxa"/>
            <w:tcBorders>
              <w:top w:val="single" w:sz="8" w:space="0" w:color="FFFFFF"/>
              <w:left w:val="single" w:sz="8" w:space="0" w:color="FFFFFF"/>
              <w:bottom w:val="single" w:sz="8" w:space="0" w:color="FFFFFF"/>
              <w:right w:val="nil"/>
            </w:tcBorders>
            <w:shd w:val="clear" w:color="auto" w:fill="E6E6E6"/>
          </w:tcPr>
          <w:p w:rsidR="00B23F69" w:rsidRPr="009C59DB" w:rsidRDefault="00B23F69" w:rsidP="00425648">
            <w:pPr>
              <w:pStyle w:val="TableTextRight"/>
              <w:rPr>
                <w:rFonts w:ascii="Arial" w:hAnsi="Arial" w:cs="Arial"/>
                <w:sz w:val="18"/>
                <w:szCs w:val="18"/>
              </w:rPr>
            </w:pPr>
            <w:r w:rsidRPr="009C59DB">
              <w:rPr>
                <w:rFonts w:ascii="Arial" w:hAnsi="Arial" w:cs="Arial"/>
                <w:sz w:val="18"/>
                <w:szCs w:val="18"/>
              </w:rPr>
              <w:t>£0.6</w:t>
            </w:r>
          </w:p>
        </w:tc>
      </w:tr>
      <w:tr w:rsidR="00B23F69" w:rsidRPr="009C59DB" w:rsidTr="00425648">
        <w:tc>
          <w:tcPr>
            <w:tcW w:w="2977" w:type="dxa"/>
            <w:shd w:val="clear" w:color="auto" w:fill="E6E6E6"/>
          </w:tcPr>
          <w:p w:rsidR="00B23F69" w:rsidRPr="009C59DB" w:rsidRDefault="00B23F69" w:rsidP="00425648">
            <w:pPr>
              <w:pStyle w:val="TableTextLeft"/>
              <w:rPr>
                <w:rFonts w:ascii="Arial" w:hAnsi="Arial" w:cs="Arial"/>
                <w:sz w:val="18"/>
                <w:szCs w:val="18"/>
              </w:rPr>
            </w:pPr>
            <w:r w:rsidRPr="009C59DB">
              <w:rPr>
                <w:rFonts w:ascii="Arial" w:hAnsi="Arial" w:cs="Arial"/>
                <w:sz w:val="18"/>
                <w:szCs w:val="18"/>
              </w:rPr>
              <w:lastRenderedPageBreak/>
              <w:t xml:space="preserve">Community Psychiatric Nurse </w:t>
            </w:r>
          </w:p>
        </w:tc>
        <w:tc>
          <w:tcPr>
            <w:tcW w:w="1128" w:type="dxa"/>
            <w:shd w:val="clear" w:color="auto" w:fill="E6E6E6"/>
          </w:tcPr>
          <w:p w:rsidR="00B23F69" w:rsidRPr="009C59DB" w:rsidRDefault="00B23F69" w:rsidP="00425648">
            <w:pPr>
              <w:pStyle w:val="TableTextRight"/>
              <w:rPr>
                <w:rFonts w:ascii="Arial" w:hAnsi="Arial" w:cs="Arial"/>
                <w:sz w:val="18"/>
                <w:szCs w:val="18"/>
              </w:rPr>
            </w:pPr>
            <w:r w:rsidRPr="009C59DB">
              <w:rPr>
                <w:rFonts w:ascii="Arial" w:hAnsi="Arial" w:cs="Arial"/>
                <w:sz w:val="18"/>
                <w:szCs w:val="18"/>
              </w:rPr>
              <w:t>7.8</w:t>
            </w:r>
          </w:p>
        </w:tc>
        <w:tc>
          <w:tcPr>
            <w:tcW w:w="1128" w:type="dxa"/>
            <w:shd w:val="clear" w:color="auto" w:fill="E6E6E6"/>
          </w:tcPr>
          <w:p w:rsidR="00B23F69" w:rsidRPr="009C59DB" w:rsidRDefault="00B23F69" w:rsidP="00425648">
            <w:pPr>
              <w:pStyle w:val="TableTextRight"/>
              <w:rPr>
                <w:rFonts w:ascii="Arial" w:hAnsi="Arial" w:cs="Arial"/>
                <w:sz w:val="18"/>
                <w:szCs w:val="18"/>
              </w:rPr>
            </w:pPr>
            <w:r w:rsidRPr="009C59DB">
              <w:rPr>
                <w:rFonts w:ascii="Arial" w:hAnsi="Arial" w:cs="Arial"/>
                <w:sz w:val="18"/>
                <w:szCs w:val="18"/>
              </w:rPr>
              <w:t>0.4</w:t>
            </w:r>
          </w:p>
        </w:tc>
        <w:tc>
          <w:tcPr>
            <w:tcW w:w="3981" w:type="dxa"/>
            <w:tcBorders>
              <w:top w:val="single" w:sz="8" w:space="0" w:color="FFFFFF"/>
              <w:left w:val="single" w:sz="8" w:space="0" w:color="FFFFFF"/>
              <w:bottom w:val="single" w:sz="8" w:space="0" w:color="FFFFFF"/>
              <w:right w:val="nil"/>
            </w:tcBorders>
            <w:shd w:val="clear" w:color="auto" w:fill="E6E6E6"/>
          </w:tcPr>
          <w:p w:rsidR="00B23F69" w:rsidRPr="009C59DB" w:rsidRDefault="00B23F69" w:rsidP="00425648">
            <w:pPr>
              <w:pStyle w:val="TableTextLeft"/>
              <w:rPr>
                <w:rFonts w:ascii="Arial" w:hAnsi="Arial" w:cs="Arial"/>
                <w:sz w:val="18"/>
                <w:szCs w:val="18"/>
              </w:rPr>
            </w:pPr>
            <w:r w:rsidRPr="009C59DB">
              <w:rPr>
                <w:rFonts w:ascii="Arial" w:hAnsi="Arial" w:cs="Arial"/>
                <w:sz w:val="18"/>
                <w:szCs w:val="18"/>
              </w:rPr>
              <w:t>Estimated to reflect care co-ordination; 12 Band 6 nurse visits per year,</w:t>
            </w:r>
            <w:r>
              <w:rPr>
                <w:rFonts w:ascii="Arial" w:hAnsi="Arial" w:cs="Arial"/>
                <w:sz w:val="18"/>
                <w:szCs w:val="18"/>
              </w:rPr>
              <w:t xml:space="preserve"> lasting 45 min each (</w:t>
            </w:r>
            <w:r w:rsidRPr="009C59DB">
              <w:rPr>
                <w:rFonts w:ascii="Arial" w:hAnsi="Arial" w:cs="Arial"/>
                <w:sz w:val="18"/>
                <w:szCs w:val="18"/>
              </w:rPr>
              <w:t>expert opinion).</w:t>
            </w:r>
          </w:p>
        </w:tc>
        <w:tc>
          <w:tcPr>
            <w:tcW w:w="3119" w:type="dxa"/>
            <w:tcBorders>
              <w:top w:val="single" w:sz="8" w:space="0" w:color="FFFFFF"/>
              <w:left w:val="single" w:sz="8" w:space="0" w:color="FFFFFF"/>
              <w:bottom w:val="single" w:sz="8" w:space="0" w:color="FFFFFF"/>
              <w:right w:val="nil"/>
            </w:tcBorders>
            <w:shd w:val="clear" w:color="auto" w:fill="E6E6E6"/>
          </w:tcPr>
          <w:p w:rsidR="00B23F69" w:rsidRPr="009C59DB" w:rsidRDefault="00B23F69" w:rsidP="00010CA4">
            <w:pPr>
              <w:pStyle w:val="TableTextLeft"/>
              <w:rPr>
                <w:rFonts w:ascii="Arial" w:hAnsi="Arial" w:cs="Arial"/>
                <w:sz w:val="18"/>
                <w:szCs w:val="18"/>
              </w:rPr>
            </w:pPr>
            <w:r w:rsidRPr="009C59DB">
              <w:rPr>
                <w:rFonts w:ascii="Arial" w:hAnsi="Arial" w:cs="Arial"/>
                <w:sz w:val="18"/>
                <w:szCs w:val="18"/>
              </w:rPr>
              <w:t xml:space="preserve">Unit cost of Band 6 nurse £85 per hour of patient contact, using </w:t>
            </w:r>
            <w:r w:rsidR="00D32968">
              <w:rPr>
                <w:rFonts w:ascii="Arial" w:hAnsi="Arial" w:cs="Arial"/>
                <w:sz w:val="18"/>
                <w:szCs w:val="18"/>
              </w:rPr>
              <w:t xml:space="preserve">national </w:t>
            </w:r>
            <w:r w:rsidRPr="009C59DB">
              <w:rPr>
                <w:rFonts w:ascii="Arial" w:hAnsi="Arial" w:cs="Arial"/>
                <w:sz w:val="18"/>
                <w:szCs w:val="18"/>
              </w:rPr>
              <w:t>unit cost data</w:t>
            </w:r>
            <w:r w:rsidR="00D32968">
              <w:rPr>
                <w:rFonts w:ascii="Arial" w:hAnsi="Arial" w:cs="Arial"/>
                <w:sz w:val="18"/>
                <w:szCs w:val="18"/>
              </w:rPr>
              <w:t xml:space="preserve"> </w:t>
            </w:r>
            <w:r w:rsidR="00010CA4">
              <w:rPr>
                <w:rFonts w:ascii="Arial" w:hAnsi="Arial" w:cs="Arial"/>
                <w:sz w:val="18"/>
                <w:szCs w:val="18"/>
              </w:rPr>
              <w:t>[5]</w:t>
            </w:r>
            <w:r w:rsidRPr="009C59DB">
              <w:rPr>
                <w:rFonts w:ascii="Arial" w:hAnsi="Arial" w:cs="Arial"/>
                <w:sz w:val="18"/>
                <w:szCs w:val="18"/>
              </w:rPr>
              <w:t xml:space="preserve"> and a ratio of direct: indirect time of 60:40.</w:t>
            </w:r>
          </w:p>
        </w:tc>
        <w:tc>
          <w:tcPr>
            <w:tcW w:w="993" w:type="dxa"/>
            <w:tcBorders>
              <w:top w:val="single" w:sz="8" w:space="0" w:color="FFFFFF"/>
              <w:left w:val="single" w:sz="8" w:space="0" w:color="FFFFFF"/>
              <w:bottom w:val="single" w:sz="8" w:space="0" w:color="FFFFFF"/>
              <w:right w:val="nil"/>
            </w:tcBorders>
            <w:shd w:val="clear" w:color="auto" w:fill="E6E6E6"/>
          </w:tcPr>
          <w:p w:rsidR="00B23F69" w:rsidRPr="009C59DB" w:rsidRDefault="00B23F69" w:rsidP="00425648">
            <w:pPr>
              <w:pStyle w:val="TableTextRight"/>
              <w:rPr>
                <w:rFonts w:ascii="Arial" w:hAnsi="Arial" w:cs="Arial"/>
                <w:sz w:val="18"/>
                <w:szCs w:val="18"/>
              </w:rPr>
            </w:pPr>
            <w:r w:rsidRPr="009C59DB">
              <w:rPr>
                <w:rFonts w:ascii="Arial" w:hAnsi="Arial" w:cs="Arial"/>
                <w:sz w:val="18"/>
                <w:szCs w:val="18"/>
              </w:rPr>
              <w:t>£59.7</w:t>
            </w:r>
          </w:p>
        </w:tc>
        <w:tc>
          <w:tcPr>
            <w:tcW w:w="850" w:type="dxa"/>
            <w:tcBorders>
              <w:top w:val="single" w:sz="8" w:space="0" w:color="FFFFFF"/>
              <w:left w:val="single" w:sz="8" w:space="0" w:color="FFFFFF"/>
              <w:bottom w:val="single" w:sz="8" w:space="0" w:color="FFFFFF"/>
              <w:right w:val="nil"/>
            </w:tcBorders>
            <w:shd w:val="clear" w:color="auto" w:fill="E6E6E6"/>
          </w:tcPr>
          <w:p w:rsidR="00B23F69" w:rsidRPr="009C59DB" w:rsidRDefault="00B23F69" w:rsidP="00425648">
            <w:pPr>
              <w:pStyle w:val="TableTextRight"/>
              <w:rPr>
                <w:rFonts w:ascii="Arial" w:hAnsi="Arial" w:cs="Arial"/>
                <w:sz w:val="18"/>
                <w:szCs w:val="18"/>
              </w:rPr>
            </w:pPr>
            <w:r w:rsidRPr="009C59DB">
              <w:rPr>
                <w:rFonts w:ascii="Arial" w:hAnsi="Arial" w:cs="Arial"/>
                <w:sz w:val="18"/>
                <w:szCs w:val="18"/>
              </w:rPr>
              <w:t>£3.0</w:t>
            </w:r>
          </w:p>
        </w:tc>
      </w:tr>
      <w:tr w:rsidR="00B23F69" w:rsidRPr="009C59DB" w:rsidTr="00425648">
        <w:tc>
          <w:tcPr>
            <w:tcW w:w="2977" w:type="dxa"/>
            <w:shd w:val="clear" w:color="auto" w:fill="E6E6E6"/>
          </w:tcPr>
          <w:p w:rsidR="00B23F69" w:rsidRPr="009C59DB" w:rsidRDefault="00B23F69" w:rsidP="00425648">
            <w:pPr>
              <w:pStyle w:val="TableTextLeft"/>
              <w:rPr>
                <w:rFonts w:ascii="Arial" w:hAnsi="Arial" w:cs="Arial"/>
                <w:sz w:val="18"/>
                <w:szCs w:val="18"/>
              </w:rPr>
            </w:pPr>
            <w:r w:rsidRPr="009C59DB">
              <w:rPr>
                <w:rFonts w:ascii="Arial" w:hAnsi="Arial" w:cs="Arial"/>
                <w:sz w:val="18"/>
                <w:szCs w:val="18"/>
              </w:rPr>
              <w:t>Community Learning Disability nurse</w:t>
            </w:r>
          </w:p>
        </w:tc>
        <w:tc>
          <w:tcPr>
            <w:tcW w:w="1128" w:type="dxa"/>
            <w:shd w:val="clear" w:color="auto" w:fill="E6E6E6"/>
          </w:tcPr>
          <w:p w:rsidR="00B23F69" w:rsidRPr="009C59DB" w:rsidRDefault="00B23F69" w:rsidP="00425648">
            <w:pPr>
              <w:pStyle w:val="TableTextRight"/>
              <w:rPr>
                <w:rFonts w:ascii="Arial" w:hAnsi="Arial" w:cs="Arial"/>
                <w:sz w:val="18"/>
                <w:szCs w:val="18"/>
              </w:rPr>
            </w:pPr>
            <w:r w:rsidRPr="009C59DB">
              <w:rPr>
                <w:rFonts w:ascii="Arial" w:hAnsi="Arial" w:cs="Arial"/>
                <w:sz w:val="18"/>
                <w:szCs w:val="18"/>
              </w:rPr>
              <w:t>-</w:t>
            </w:r>
          </w:p>
        </w:tc>
        <w:tc>
          <w:tcPr>
            <w:tcW w:w="1128" w:type="dxa"/>
            <w:shd w:val="clear" w:color="auto" w:fill="E6E6E6"/>
          </w:tcPr>
          <w:p w:rsidR="00B23F69" w:rsidRPr="009C59DB" w:rsidRDefault="00B23F69" w:rsidP="00425648">
            <w:pPr>
              <w:pStyle w:val="TableTextRight"/>
              <w:rPr>
                <w:rFonts w:ascii="Arial" w:hAnsi="Arial" w:cs="Arial"/>
                <w:sz w:val="18"/>
                <w:szCs w:val="18"/>
              </w:rPr>
            </w:pPr>
            <w:r w:rsidRPr="009C59DB">
              <w:rPr>
                <w:rFonts w:ascii="Arial" w:hAnsi="Arial" w:cs="Arial"/>
                <w:sz w:val="18"/>
                <w:szCs w:val="18"/>
              </w:rPr>
              <w:t>0.0</w:t>
            </w:r>
          </w:p>
        </w:tc>
        <w:tc>
          <w:tcPr>
            <w:tcW w:w="3981" w:type="dxa"/>
            <w:tcBorders>
              <w:top w:val="single" w:sz="8" w:space="0" w:color="FFFFFF"/>
              <w:left w:val="single" w:sz="8" w:space="0" w:color="FFFFFF"/>
              <w:bottom w:val="single" w:sz="8" w:space="0" w:color="FFFFFF"/>
              <w:right w:val="nil"/>
            </w:tcBorders>
            <w:shd w:val="clear" w:color="auto" w:fill="E6E6E6"/>
          </w:tcPr>
          <w:p w:rsidR="00B23F69" w:rsidRPr="009C59DB" w:rsidRDefault="00B23F69" w:rsidP="00425648">
            <w:pPr>
              <w:pStyle w:val="TableTextLeft"/>
              <w:rPr>
                <w:rFonts w:ascii="Arial" w:hAnsi="Arial" w:cs="Arial"/>
                <w:sz w:val="18"/>
                <w:szCs w:val="18"/>
              </w:rPr>
            </w:pPr>
            <w:r w:rsidRPr="009C59DB">
              <w:rPr>
                <w:rFonts w:ascii="Arial" w:hAnsi="Arial" w:cs="Arial"/>
                <w:sz w:val="18"/>
                <w:szCs w:val="18"/>
              </w:rPr>
              <w:t>2 Band 5 nurse visits per year, l</w:t>
            </w:r>
            <w:r>
              <w:rPr>
                <w:rFonts w:ascii="Arial" w:hAnsi="Arial" w:cs="Arial"/>
                <w:sz w:val="18"/>
                <w:szCs w:val="18"/>
              </w:rPr>
              <w:t>asting 30 min each (</w:t>
            </w:r>
            <w:r w:rsidRPr="009C59DB">
              <w:rPr>
                <w:rFonts w:ascii="Arial" w:hAnsi="Arial" w:cs="Arial"/>
                <w:sz w:val="18"/>
                <w:szCs w:val="18"/>
              </w:rPr>
              <w:t>expert opinion)</w:t>
            </w:r>
          </w:p>
        </w:tc>
        <w:tc>
          <w:tcPr>
            <w:tcW w:w="3119" w:type="dxa"/>
            <w:tcBorders>
              <w:top w:val="single" w:sz="8" w:space="0" w:color="FFFFFF"/>
              <w:left w:val="single" w:sz="8" w:space="0" w:color="FFFFFF"/>
              <w:bottom w:val="single" w:sz="8" w:space="0" w:color="FFFFFF"/>
              <w:right w:val="nil"/>
            </w:tcBorders>
            <w:shd w:val="clear" w:color="auto" w:fill="E6E6E6"/>
          </w:tcPr>
          <w:p w:rsidR="00B23F69" w:rsidRPr="009C59DB" w:rsidRDefault="00B23F69" w:rsidP="00010CA4">
            <w:pPr>
              <w:pStyle w:val="TableTextLeft"/>
              <w:rPr>
                <w:rFonts w:ascii="Arial" w:hAnsi="Arial" w:cs="Arial"/>
                <w:color w:val="FF0000"/>
                <w:sz w:val="18"/>
                <w:szCs w:val="18"/>
              </w:rPr>
            </w:pPr>
            <w:r w:rsidRPr="009C59DB">
              <w:rPr>
                <w:rFonts w:ascii="Arial" w:hAnsi="Arial" w:cs="Arial"/>
                <w:sz w:val="18"/>
                <w:szCs w:val="18"/>
              </w:rPr>
              <w:t xml:space="preserve">Unit cost of Band 5 nurse £71 per hour of patient contact, using </w:t>
            </w:r>
            <w:r w:rsidR="00D32968">
              <w:rPr>
                <w:rFonts w:ascii="Arial" w:hAnsi="Arial" w:cs="Arial"/>
                <w:sz w:val="18"/>
                <w:szCs w:val="18"/>
              </w:rPr>
              <w:t xml:space="preserve">national </w:t>
            </w:r>
            <w:r w:rsidRPr="009C59DB">
              <w:rPr>
                <w:rFonts w:ascii="Arial" w:hAnsi="Arial" w:cs="Arial"/>
                <w:sz w:val="18"/>
                <w:szCs w:val="18"/>
              </w:rPr>
              <w:t>unit cost data</w:t>
            </w:r>
            <w:r w:rsidR="00D32968">
              <w:rPr>
                <w:rFonts w:ascii="Arial" w:hAnsi="Arial" w:cs="Arial"/>
                <w:sz w:val="18"/>
                <w:szCs w:val="18"/>
              </w:rPr>
              <w:t xml:space="preserve"> </w:t>
            </w:r>
            <w:r w:rsidR="00010CA4">
              <w:rPr>
                <w:rFonts w:ascii="Arial" w:hAnsi="Arial" w:cs="Arial"/>
                <w:sz w:val="18"/>
                <w:szCs w:val="18"/>
              </w:rPr>
              <w:t>[5]</w:t>
            </w:r>
            <w:r w:rsidRPr="009C59DB">
              <w:rPr>
                <w:rFonts w:ascii="Arial" w:hAnsi="Arial" w:cs="Arial"/>
                <w:sz w:val="18"/>
                <w:szCs w:val="18"/>
              </w:rPr>
              <w:t xml:space="preserve"> and a ratio of direct: indirect time of 60:40.</w:t>
            </w:r>
          </w:p>
        </w:tc>
        <w:tc>
          <w:tcPr>
            <w:tcW w:w="993" w:type="dxa"/>
            <w:tcBorders>
              <w:top w:val="single" w:sz="8" w:space="0" w:color="FFFFFF"/>
              <w:left w:val="single" w:sz="8" w:space="0" w:color="FFFFFF"/>
              <w:bottom w:val="single" w:sz="8" w:space="0" w:color="FFFFFF"/>
              <w:right w:val="nil"/>
            </w:tcBorders>
            <w:shd w:val="clear" w:color="auto" w:fill="E6E6E6"/>
          </w:tcPr>
          <w:p w:rsidR="00B23F69" w:rsidRPr="009C59DB" w:rsidRDefault="00B23F69" w:rsidP="00425648">
            <w:pPr>
              <w:pStyle w:val="TableTextRight"/>
              <w:rPr>
                <w:rFonts w:ascii="Arial" w:hAnsi="Arial" w:cs="Arial"/>
                <w:sz w:val="18"/>
                <w:szCs w:val="18"/>
              </w:rPr>
            </w:pPr>
            <w:r w:rsidRPr="009C59DB">
              <w:rPr>
                <w:rFonts w:ascii="Arial" w:hAnsi="Arial" w:cs="Arial"/>
                <w:sz w:val="18"/>
                <w:szCs w:val="18"/>
              </w:rPr>
              <w:t>£0.0</w:t>
            </w:r>
          </w:p>
        </w:tc>
        <w:tc>
          <w:tcPr>
            <w:tcW w:w="850" w:type="dxa"/>
            <w:tcBorders>
              <w:top w:val="single" w:sz="8" w:space="0" w:color="FFFFFF"/>
              <w:left w:val="single" w:sz="8" w:space="0" w:color="FFFFFF"/>
              <w:bottom w:val="single" w:sz="8" w:space="0" w:color="FFFFFF"/>
              <w:right w:val="nil"/>
            </w:tcBorders>
            <w:shd w:val="clear" w:color="auto" w:fill="E6E6E6"/>
          </w:tcPr>
          <w:p w:rsidR="00B23F69" w:rsidRPr="009C59DB" w:rsidRDefault="00B23F69" w:rsidP="00425648">
            <w:pPr>
              <w:pStyle w:val="TableTextRight"/>
              <w:rPr>
                <w:rFonts w:ascii="Arial" w:hAnsi="Arial" w:cs="Arial"/>
                <w:sz w:val="18"/>
                <w:szCs w:val="18"/>
              </w:rPr>
            </w:pPr>
            <w:r w:rsidRPr="009C59DB">
              <w:rPr>
                <w:rFonts w:ascii="Arial" w:hAnsi="Arial" w:cs="Arial"/>
                <w:sz w:val="18"/>
                <w:szCs w:val="18"/>
              </w:rPr>
              <w:t>£0.0</w:t>
            </w:r>
          </w:p>
        </w:tc>
      </w:tr>
      <w:tr w:rsidR="00B23F69" w:rsidRPr="009C59DB" w:rsidTr="00425648">
        <w:tc>
          <w:tcPr>
            <w:tcW w:w="2977" w:type="dxa"/>
            <w:shd w:val="clear" w:color="auto" w:fill="E6E6E6"/>
          </w:tcPr>
          <w:p w:rsidR="00B23F69" w:rsidRPr="009C59DB" w:rsidRDefault="00B23F69" w:rsidP="00425648">
            <w:pPr>
              <w:pStyle w:val="TableTextLeft"/>
              <w:rPr>
                <w:rFonts w:ascii="Arial" w:hAnsi="Arial" w:cs="Arial"/>
                <w:sz w:val="18"/>
                <w:szCs w:val="18"/>
              </w:rPr>
            </w:pPr>
            <w:r w:rsidRPr="009C59DB">
              <w:rPr>
                <w:rFonts w:ascii="Arial" w:hAnsi="Arial" w:cs="Arial"/>
                <w:sz w:val="18"/>
                <w:szCs w:val="18"/>
              </w:rPr>
              <w:t>Other nursing services</w:t>
            </w:r>
          </w:p>
        </w:tc>
        <w:tc>
          <w:tcPr>
            <w:tcW w:w="1128" w:type="dxa"/>
            <w:shd w:val="clear" w:color="auto" w:fill="E6E6E6"/>
          </w:tcPr>
          <w:p w:rsidR="00B23F69" w:rsidRPr="009C59DB" w:rsidRDefault="00B23F69" w:rsidP="00425648">
            <w:pPr>
              <w:pStyle w:val="TableTextRight"/>
              <w:rPr>
                <w:rFonts w:ascii="Arial" w:hAnsi="Arial" w:cs="Arial"/>
                <w:sz w:val="18"/>
                <w:szCs w:val="18"/>
              </w:rPr>
            </w:pPr>
            <w:r w:rsidRPr="009C59DB">
              <w:rPr>
                <w:rFonts w:ascii="Arial" w:hAnsi="Arial" w:cs="Arial"/>
                <w:sz w:val="18"/>
                <w:szCs w:val="18"/>
              </w:rPr>
              <w:t>2.4</w:t>
            </w:r>
          </w:p>
        </w:tc>
        <w:tc>
          <w:tcPr>
            <w:tcW w:w="1128" w:type="dxa"/>
            <w:shd w:val="clear" w:color="auto" w:fill="E6E6E6"/>
          </w:tcPr>
          <w:p w:rsidR="00B23F69" w:rsidRPr="009C59DB" w:rsidRDefault="00B23F69" w:rsidP="00425648">
            <w:pPr>
              <w:pStyle w:val="TableTextRight"/>
              <w:rPr>
                <w:rFonts w:ascii="Arial" w:hAnsi="Arial" w:cs="Arial"/>
                <w:sz w:val="18"/>
                <w:szCs w:val="18"/>
              </w:rPr>
            </w:pPr>
            <w:r w:rsidRPr="009C59DB">
              <w:rPr>
                <w:rFonts w:ascii="Arial" w:hAnsi="Arial" w:cs="Arial"/>
                <w:sz w:val="18"/>
                <w:szCs w:val="18"/>
              </w:rPr>
              <w:t>2.5</w:t>
            </w:r>
          </w:p>
        </w:tc>
        <w:tc>
          <w:tcPr>
            <w:tcW w:w="3981" w:type="dxa"/>
            <w:tcBorders>
              <w:top w:val="single" w:sz="8" w:space="0" w:color="FFFFFF"/>
              <w:left w:val="single" w:sz="8" w:space="0" w:color="FFFFFF"/>
              <w:bottom w:val="single" w:sz="8" w:space="0" w:color="FFFFFF"/>
              <w:right w:val="nil"/>
            </w:tcBorders>
            <w:shd w:val="clear" w:color="auto" w:fill="E6E6E6"/>
          </w:tcPr>
          <w:p w:rsidR="00B23F69" w:rsidRPr="009C59DB" w:rsidRDefault="00B23F69" w:rsidP="00425648">
            <w:pPr>
              <w:pStyle w:val="TableTextLeft"/>
              <w:rPr>
                <w:rFonts w:ascii="Arial" w:hAnsi="Arial" w:cs="Arial"/>
                <w:color w:val="FF0000"/>
                <w:sz w:val="18"/>
                <w:szCs w:val="18"/>
              </w:rPr>
            </w:pPr>
            <w:r w:rsidRPr="009C59DB">
              <w:rPr>
                <w:rFonts w:ascii="Arial" w:hAnsi="Arial" w:cs="Arial"/>
                <w:sz w:val="18"/>
                <w:szCs w:val="18"/>
              </w:rPr>
              <w:t>2 Band 5 nurse visits per year, l</w:t>
            </w:r>
            <w:r>
              <w:rPr>
                <w:rFonts w:ascii="Arial" w:hAnsi="Arial" w:cs="Arial"/>
                <w:sz w:val="18"/>
                <w:szCs w:val="18"/>
              </w:rPr>
              <w:t>asting 30 min each (</w:t>
            </w:r>
            <w:r w:rsidRPr="009C59DB">
              <w:rPr>
                <w:rFonts w:ascii="Arial" w:hAnsi="Arial" w:cs="Arial"/>
                <w:sz w:val="18"/>
                <w:szCs w:val="18"/>
              </w:rPr>
              <w:t>expert opinion)</w:t>
            </w:r>
          </w:p>
        </w:tc>
        <w:tc>
          <w:tcPr>
            <w:tcW w:w="3119" w:type="dxa"/>
            <w:tcBorders>
              <w:top w:val="single" w:sz="8" w:space="0" w:color="FFFFFF"/>
              <w:left w:val="single" w:sz="8" w:space="0" w:color="FFFFFF"/>
              <w:bottom w:val="single" w:sz="8" w:space="0" w:color="FFFFFF"/>
              <w:right w:val="nil"/>
            </w:tcBorders>
            <w:shd w:val="clear" w:color="auto" w:fill="E6E6E6"/>
          </w:tcPr>
          <w:p w:rsidR="00B23F69" w:rsidRPr="009C59DB" w:rsidRDefault="00B23F69" w:rsidP="00010CA4">
            <w:pPr>
              <w:pStyle w:val="TableTextLeft"/>
              <w:rPr>
                <w:rFonts w:ascii="Arial" w:hAnsi="Arial" w:cs="Arial"/>
                <w:sz w:val="18"/>
                <w:szCs w:val="18"/>
              </w:rPr>
            </w:pPr>
            <w:r w:rsidRPr="009C59DB">
              <w:rPr>
                <w:rFonts w:ascii="Arial" w:hAnsi="Arial" w:cs="Arial"/>
                <w:sz w:val="18"/>
                <w:szCs w:val="18"/>
              </w:rPr>
              <w:t xml:space="preserve">Unit cost of Band 5 nurse £71 per hour of patient contact, using </w:t>
            </w:r>
            <w:r w:rsidR="00D32968">
              <w:rPr>
                <w:rFonts w:ascii="Arial" w:hAnsi="Arial" w:cs="Arial"/>
                <w:sz w:val="18"/>
                <w:szCs w:val="18"/>
              </w:rPr>
              <w:t xml:space="preserve">national </w:t>
            </w:r>
            <w:r w:rsidRPr="009C59DB">
              <w:rPr>
                <w:rFonts w:ascii="Arial" w:hAnsi="Arial" w:cs="Arial"/>
                <w:sz w:val="18"/>
                <w:szCs w:val="18"/>
              </w:rPr>
              <w:t xml:space="preserve">unit cost data </w:t>
            </w:r>
            <w:r w:rsidR="00010CA4">
              <w:rPr>
                <w:rFonts w:ascii="Arial" w:hAnsi="Arial" w:cs="Arial"/>
                <w:sz w:val="18"/>
                <w:szCs w:val="18"/>
              </w:rPr>
              <w:t>[5]</w:t>
            </w:r>
            <w:r w:rsidRPr="009C59DB">
              <w:rPr>
                <w:rFonts w:ascii="Arial" w:hAnsi="Arial" w:cs="Arial"/>
                <w:sz w:val="18"/>
                <w:szCs w:val="18"/>
              </w:rPr>
              <w:t xml:space="preserve"> and a ratio of direct: indirect time of 60:40.</w:t>
            </w:r>
          </w:p>
        </w:tc>
        <w:tc>
          <w:tcPr>
            <w:tcW w:w="993" w:type="dxa"/>
            <w:tcBorders>
              <w:top w:val="single" w:sz="8" w:space="0" w:color="FFFFFF"/>
              <w:left w:val="single" w:sz="8" w:space="0" w:color="FFFFFF"/>
              <w:bottom w:val="single" w:sz="8" w:space="0" w:color="FFFFFF"/>
              <w:right w:val="nil"/>
            </w:tcBorders>
            <w:shd w:val="clear" w:color="auto" w:fill="E6E6E6"/>
          </w:tcPr>
          <w:p w:rsidR="00B23F69" w:rsidRPr="009C59DB" w:rsidRDefault="00B23F69" w:rsidP="00425648">
            <w:pPr>
              <w:pStyle w:val="TableTextRight"/>
              <w:rPr>
                <w:rFonts w:ascii="Arial" w:hAnsi="Arial" w:cs="Arial"/>
                <w:sz w:val="18"/>
                <w:szCs w:val="18"/>
              </w:rPr>
            </w:pPr>
            <w:r w:rsidRPr="009C59DB">
              <w:rPr>
                <w:rFonts w:ascii="Arial" w:hAnsi="Arial" w:cs="Arial"/>
                <w:sz w:val="18"/>
                <w:szCs w:val="18"/>
              </w:rPr>
              <w:t>£1.7</w:t>
            </w:r>
          </w:p>
        </w:tc>
        <w:tc>
          <w:tcPr>
            <w:tcW w:w="850" w:type="dxa"/>
            <w:tcBorders>
              <w:top w:val="single" w:sz="8" w:space="0" w:color="FFFFFF"/>
              <w:left w:val="single" w:sz="8" w:space="0" w:color="FFFFFF"/>
              <w:bottom w:val="single" w:sz="8" w:space="0" w:color="FFFFFF"/>
              <w:right w:val="nil"/>
            </w:tcBorders>
            <w:shd w:val="clear" w:color="auto" w:fill="E6E6E6"/>
          </w:tcPr>
          <w:p w:rsidR="00B23F69" w:rsidRPr="009C59DB" w:rsidRDefault="00B23F69" w:rsidP="00425648">
            <w:pPr>
              <w:pStyle w:val="TableTextRight"/>
              <w:rPr>
                <w:rFonts w:ascii="Arial" w:hAnsi="Arial" w:cs="Arial"/>
                <w:sz w:val="18"/>
                <w:szCs w:val="18"/>
              </w:rPr>
            </w:pPr>
            <w:r w:rsidRPr="009C59DB">
              <w:rPr>
                <w:rFonts w:ascii="Arial" w:hAnsi="Arial" w:cs="Arial"/>
                <w:sz w:val="18"/>
                <w:szCs w:val="18"/>
              </w:rPr>
              <w:t>£1.7</w:t>
            </w:r>
          </w:p>
        </w:tc>
      </w:tr>
      <w:tr w:rsidR="00B23F69" w:rsidRPr="009C59DB" w:rsidTr="00425648">
        <w:tc>
          <w:tcPr>
            <w:tcW w:w="2977" w:type="dxa"/>
            <w:shd w:val="clear" w:color="auto" w:fill="E6E6E6"/>
          </w:tcPr>
          <w:p w:rsidR="00B23F69" w:rsidRPr="009C59DB" w:rsidRDefault="00B23F69" w:rsidP="00425648">
            <w:pPr>
              <w:pStyle w:val="TableTextLeft"/>
              <w:rPr>
                <w:rFonts w:ascii="Arial" w:hAnsi="Arial" w:cs="Arial"/>
                <w:sz w:val="18"/>
                <w:szCs w:val="18"/>
              </w:rPr>
            </w:pPr>
            <w:r w:rsidRPr="009C59DB">
              <w:rPr>
                <w:rFonts w:ascii="Arial" w:hAnsi="Arial" w:cs="Arial"/>
                <w:sz w:val="18"/>
                <w:szCs w:val="18"/>
              </w:rPr>
              <w:t>Social worker</w:t>
            </w:r>
          </w:p>
        </w:tc>
        <w:tc>
          <w:tcPr>
            <w:tcW w:w="1128" w:type="dxa"/>
            <w:shd w:val="clear" w:color="auto" w:fill="E6E6E6"/>
          </w:tcPr>
          <w:p w:rsidR="00B23F69" w:rsidRPr="009C59DB" w:rsidRDefault="00B23F69" w:rsidP="00425648">
            <w:pPr>
              <w:pStyle w:val="TableTextRight"/>
              <w:rPr>
                <w:rFonts w:ascii="Arial" w:hAnsi="Arial" w:cs="Arial"/>
                <w:sz w:val="18"/>
                <w:szCs w:val="18"/>
              </w:rPr>
            </w:pPr>
            <w:r w:rsidRPr="009C59DB">
              <w:rPr>
                <w:rFonts w:ascii="Arial" w:hAnsi="Arial" w:cs="Arial"/>
                <w:sz w:val="18"/>
                <w:szCs w:val="18"/>
              </w:rPr>
              <w:t>5.3</w:t>
            </w:r>
          </w:p>
        </w:tc>
        <w:tc>
          <w:tcPr>
            <w:tcW w:w="1128" w:type="dxa"/>
            <w:shd w:val="clear" w:color="auto" w:fill="E6E6E6"/>
          </w:tcPr>
          <w:p w:rsidR="00B23F69" w:rsidRPr="009C59DB" w:rsidRDefault="00B23F69" w:rsidP="00425648">
            <w:pPr>
              <w:pStyle w:val="TableTextRight"/>
              <w:rPr>
                <w:rFonts w:ascii="Arial" w:hAnsi="Arial" w:cs="Arial"/>
                <w:sz w:val="18"/>
                <w:szCs w:val="18"/>
              </w:rPr>
            </w:pPr>
            <w:r w:rsidRPr="009C59DB">
              <w:rPr>
                <w:rFonts w:ascii="Arial" w:hAnsi="Arial" w:cs="Arial"/>
                <w:sz w:val="18"/>
                <w:szCs w:val="18"/>
              </w:rPr>
              <w:t>0.8</w:t>
            </w:r>
          </w:p>
        </w:tc>
        <w:tc>
          <w:tcPr>
            <w:tcW w:w="3981" w:type="dxa"/>
            <w:tcBorders>
              <w:top w:val="single" w:sz="8" w:space="0" w:color="FFFFFF"/>
              <w:left w:val="single" w:sz="8" w:space="0" w:color="FFFFFF"/>
              <w:bottom w:val="single" w:sz="8" w:space="0" w:color="FFFFFF"/>
              <w:right w:val="nil"/>
            </w:tcBorders>
            <w:shd w:val="clear" w:color="auto" w:fill="E6E6E6"/>
          </w:tcPr>
          <w:p w:rsidR="00B23F69" w:rsidRPr="009C59DB" w:rsidRDefault="00B23F69" w:rsidP="00425648">
            <w:pPr>
              <w:pStyle w:val="TableTextLeft"/>
              <w:rPr>
                <w:rFonts w:ascii="Arial" w:hAnsi="Arial" w:cs="Arial"/>
                <w:color w:val="FF0000"/>
                <w:sz w:val="18"/>
                <w:szCs w:val="18"/>
              </w:rPr>
            </w:pPr>
            <w:r w:rsidRPr="009C59DB">
              <w:rPr>
                <w:rFonts w:ascii="Arial" w:hAnsi="Arial" w:cs="Arial"/>
                <w:sz w:val="18"/>
                <w:szCs w:val="18"/>
              </w:rPr>
              <w:t>Estimated to reflect care co-ordination; 12 social worker visits per year, l</w:t>
            </w:r>
            <w:r>
              <w:rPr>
                <w:rFonts w:ascii="Arial" w:hAnsi="Arial" w:cs="Arial"/>
                <w:sz w:val="18"/>
                <w:szCs w:val="18"/>
              </w:rPr>
              <w:t>asting 45 min each (</w:t>
            </w:r>
            <w:r w:rsidRPr="009C59DB">
              <w:rPr>
                <w:rFonts w:ascii="Arial" w:hAnsi="Arial" w:cs="Arial"/>
                <w:sz w:val="18"/>
                <w:szCs w:val="18"/>
              </w:rPr>
              <w:t>expert opinion).</w:t>
            </w:r>
          </w:p>
        </w:tc>
        <w:tc>
          <w:tcPr>
            <w:tcW w:w="3119" w:type="dxa"/>
            <w:tcBorders>
              <w:top w:val="single" w:sz="8" w:space="0" w:color="FFFFFF"/>
              <w:left w:val="single" w:sz="8" w:space="0" w:color="FFFFFF"/>
              <w:bottom w:val="single" w:sz="8" w:space="0" w:color="FFFFFF"/>
              <w:right w:val="nil"/>
            </w:tcBorders>
            <w:shd w:val="clear" w:color="auto" w:fill="E6E6E6"/>
          </w:tcPr>
          <w:p w:rsidR="00B23F69" w:rsidRPr="009C59DB" w:rsidRDefault="00B23F69" w:rsidP="00010CA4">
            <w:pPr>
              <w:pStyle w:val="TableTextLeft"/>
              <w:rPr>
                <w:rFonts w:ascii="Arial" w:hAnsi="Arial" w:cs="Arial"/>
                <w:color w:val="FF0000"/>
                <w:sz w:val="18"/>
                <w:szCs w:val="18"/>
              </w:rPr>
            </w:pPr>
            <w:r w:rsidRPr="009C59DB">
              <w:rPr>
                <w:rFonts w:ascii="Arial" w:hAnsi="Arial" w:cs="Arial"/>
                <w:sz w:val="18"/>
                <w:szCs w:val="18"/>
              </w:rPr>
              <w:t>Unit cost of social worker for adult services £82 per hour of client-related work</w:t>
            </w:r>
            <w:r w:rsidR="00D32968">
              <w:rPr>
                <w:rFonts w:ascii="Arial" w:hAnsi="Arial" w:cs="Arial"/>
                <w:sz w:val="18"/>
                <w:szCs w:val="18"/>
              </w:rPr>
              <w:t xml:space="preserve"> </w:t>
            </w:r>
            <w:r w:rsidR="00010CA4">
              <w:rPr>
                <w:rFonts w:ascii="Arial" w:hAnsi="Arial" w:cs="Arial"/>
                <w:sz w:val="18"/>
                <w:szCs w:val="18"/>
              </w:rPr>
              <w:t>[5]</w:t>
            </w:r>
          </w:p>
        </w:tc>
        <w:tc>
          <w:tcPr>
            <w:tcW w:w="993" w:type="dxa"/>
            <w:tcBorders>
              <w:top w:val="single" w:sz="8" w:space="0" w:color="FFFFFF"/>
              <w:left w:val="single" w:sz="8" w:space="0" w:color="FFFFFF"/>
              <w:bottom w:val="single" w:sz="8" w:space="0" w:color="FFFFFF"/>
              <w:right w:val="nil"/>
            </w:tcBorders>
            <w:shd w:val="clear" w:color="auto" w:fill="E6E6E6"/>
          </w:tcPr>
          <w:p w:rsidR="00B23F69" w:rsidRPr="009C59DB" w:rsidRDefault="00B23F69" w:rsidP="00425648">
            <w:pPr>
              <w:pStyle w:val="TableTextRight"/>
              <w:rPr>
                <w:rFonts w:ascii="Arial" w:hAnsi="Arial" w:cs="Arial"/>
                <w:sz w:val="18"/>
                <w:szCs w:val="18"/>
              </w:rPr>
            </w:pPr>
            <w:r w:rsidRPr="009C59DB">
              <w:rPr>
                <w:rFonts w:ascii="Arial" w:hAnsi="Arial" w:cs="Arial"/>
                <w:sz w:val="18"/>
                <w:szCs w:val="18"/>
              </w:rPr>
              <w:t>£38.8</w:t>
            </w:r>
          </w:p>
        </w:tc>
        <w:tc>
          <w:tcPr>
            <w:tcW w:w="850" w:type="dxa"/>
            <w:tcBorders>
              <w:top w:val="single" w:sz="8" w:space="0" w:color="FFFFFF"/>
              <w:left w:val="single" w:sz="8" w:space="0" w:color="FFFFFF"/>
              <w:bottom w:val="single" w:sz="8" w:space="0" w:color="FFFFFF"/>
              <w:right w:val="nil"/>
            </w:tcBorders>
            <w:shd w:val="clear" w:color="auto" w:fill="E6E6E6"/>
          </w:tcPr>
          <w:p w:rsidR="00B23F69" w:rsidRPr="009C59DB" w:rsidRDefault="00B23F69" w:rsidP="00425648">
            <w:pPr>
              <w:pStyle w:val="TableTextRight"/>
              <w:rPr>
                <w:rFonts w:ascii="Arial" w:hAnsi="Arial" w:cs="Arial"/>
                <w:sz w:val="18"/>
                <w:szCs w:val="18"/>
              </w:rPr>
            </w:pPr>
            <w:r w:rsidRPr="009C59DB">
              <w:rPr>
                <w:rFonts w:ascii="Arial" w:hAnsi="Arial" w:cs="Arial"/>
                <w:sz w:val="18"/>
                <w:szCs w:val="18"/>
              </w:rPr>
              <w:t>£6.0</w:t>
            </w:r>
          </w:p>
        </w:tc>
      </w:tr>
      <w:tr w:rsidR="00B23F69" w:rsidRPr="009C59DB" w:rsidTr="00425648">
        <w:tc>
          <w:tcPr>
            <w:tcW w:w="2977" w:type="dxa"/>
            <w:shd w:val="clear" w:color="auto" w:fill="E6E6E6"/>
          </w:tcPr>
          <w:p w:rsidR="00B23F69" w:rsidRPr="009C59DB" w:rsidRDefault="00B23F69" w:rsidP="00425648">
            <w:pPr>
              <w:pStyle w:val="TableTextLeft"/>
              <w:rPr>
                <w:rFonts w:ascii="Arial" w:hAnsi="Arial" w:cs="Arial"/>
                <w:color w:val="FF0000"/>
                <w:sz w:val="18"/>
                <w:szCs w:val="18"/>
              </w:rPr>
            </w:pPr>
            <w:r w:rsidRPr="009C59DB">
              <w:rPr>
                <w:rFonts w:ascii="Arial" w:hAnsi="Arial" w:cs="Arial"/>
                <w:sz w:val="18"/>
                <w:szCs w:val="18"/>
              </w:rPr>
              <w:t>Self-help/support group</w:t>
            </w:r>
          </w:p>
        </w:tc>
        <w:tc>
          <w:tcPr>
            <w:tcW w:w="1128" w:type="dxa"/>
            <w:shd w:val="clear" w:color="auto" w:fill="E6E6E6"/>
          </w:tcPr>
          <w:p w:rsidR="00B23F69" w:rsidRPr="009C59DB" w:rsidRDefault="00B23F69" w:rsidP="00425648">
            <w:pPr>
              <w:pStyle w:val="TableTextRight"/>
              <w:rPr>
                <w:rFonts w:ascii="Arial" w:hAnsi="Arial" w:cs="Arial"/>
                <w:sz w:val="18"/>
                <w:szCs w:val="18"/>
              </w:rPr>
            </w:pPr>
            <w:r w:rsidRPr="009C59DB">
              <w:rPr>
                <w:rFonts w:ascii="Arial" w:hAnsi="Arial" w:cs="Arial"/>
                <w:sz w:val="18"/>
                <w:szCs w:val="18"/>
              </w:rPr>
              <w:t>4.5</w:t>
            </w:r>
          </w:p>
        </w:tc>
        <w:tc>
          <w:tcPr>
            <w:tcW w:w="1128" w:type="dxa"/>
            <w:shd w:val="clear" w:color="auto" w:fill="E6E6E6"/>
          </w:tcPr>
          <w:p w:rsidR="00B23F69" w:rsidRPr="009C59DB" w:rsidRDefault="00B23F69" w:rsidP="00425648">
            <w:pPr>
              <w:pStyle w:val="TableTextRight"/>
              <w:rPr>
                <w:rFonts w:ascii="Arial" w:hAnsi="Arial" w:cs="Arial"/>
                <w:sz w:val="18"/>
                <w:szCs w:val="18"/>
              </w:rPr>
            </w:pPr>
            <w:r w:rsidRPr="009C59DB">
              <w:rPr>
                <w:rFonts w:ascii="Arial" w:hAnsi="Arial" w:cs="Arial"/>
                <w:sz w:val="18"/>
                <w:szCs w:val="18"/>
              </w:rPr>
              <w:t>0.8</w:t>
            </w:r>
          </w:p>
        </w:tc>
        <w:tc>
          <w:tcPr>
            <w:tcW w:w="3981" w:type="dxa"/>
            <w:tcBorders>
              <w:top w:val="single" w:sz="8" w:space="0" w:color="FFFFFF"/>
              <w:left w:val="single" w:sz="8" w:space="0" w:color="FFFFFF"/>
              <w:bottom w:val="single" w:sz="8" w:space="0" w:color="FFFFFF"/>
              <w:right w:val="nil"/>
            </w:tcBorders>
            <w:shd w:val="clear" w:color="auto" w:fill="E6E6E6"/>
          </w:tcPr>
          <w:p w:rsidR="00B23F69" w:rsidRPr="009C59DB" w:rsidRDefault="00B23F69" w:rsidP="00425648">
            <w:pPr>
              <w:pStyle w:val="TableTextLeft"/>
              <w:rPr>
                <w:rFonts w:ascii="Arial" w:hAnsi="Arial" w:cs="Arial"/>
                <w:sz w:val="18"/>
                <w:szCs w:val="18"/>
              </w:rPr>
            </w:pPr>
            <w:r w:rsidRPr="009C59DB">
              <w:rPr>
                <w:rFonts w:ascii="Arial" w:hAnsi="Arial" w:cs="Arial"/>
                <w:sz w:val="18"/>
                <w:szCs w:val="18"/>
              </w:rPr>
              <w:t>10 sessions of 2 hours each delivery by a Band 5 PWP, 10 part</w:t>
            </w:r>
            <w:r>
              <w:rPr>
                <w:rFonts w:ascii="Arial" w:hAnsi="Arial" w:cs="Arial"/>
                <w:sz w:val="18"/>
                <w:szCs w:val="18"/>
              </w:rPr>
              <w:t>icipants per group (</w:t>
            </w:r>
            <w:r w:rsidRPr="009C59DB">
              <w:rPr>
                <w:rFonts w:ascii="Arial" w:hAnsi="Arial" w:cs="Arial"/>
                <w:sz w:val="18"/>
                <w:szCs w:val="18"/>
              </w:rPr>
              <w:t>expert opinion)</w:t>
            </w:r>
          </w:p>
        </w:tc>
        <w:tc>
          <w:tcPr>
            <w:tcW w:w="3119" w:type="dxa"/>
            <w:tcBorders>
              <w:top w:val="single" w:sz="8" w:space="0" w:color="FFFFFF"/>
              <w:left w:val="single" w:sz="8" w:space="0" w:color="FFFFFF"/>
              <w:bottom w:val="single" w:sz="8" w:space="0" w:color="FFFFFF"/>
              <w:right w:val="nil"/>
            </w:tcBorders>
            <w:shd w:val="clear" w:color="auto" w:fill="E6E6E6"/>
          </w:tcPr>
          <w:p w:rsidR="00B23F69" w:rsidRPr="009C59DB" w:rsidRDefault="00B23F69" w:rsidP="00D65BD5">
            <w:pPr>
              <w:pStyle w:val="TableTextLeft"/>
              <w:rPr>
                <w:rFonts w:ascii="Arial" w:hAnsi="Arial" w:cs="Arial"/>
                <w:sz w:val="18"/>
                <w:szCs w:val="18"/>
              </w:rPr>
            </w:pPr>
            <w:r w:rsidRPr="009C59DB">
              <w:rPr>
                <w:rFonts w:ascii="Arial" w:hAnsi="Arial" w:cs="Arial"/>
                <w:sz w:val="18"/>
                <w:szCs w:val="18"/>
              </w:rPr>
              <w:t>Unit cost of Band 5 community-based scientific &amp; professional staff</w:t>
            </w:r>
            <w:r w:rsidR="00010CA4">
              <w:rPr>
                <w:rFonts w:ascii="Arial" w:hAnsi="Arial" w:cs="Arial"/>
                <w:sz w:val="18"/>
                <w:szCs w:val="18"/>
              </w:rPr>
              <w:t xml:space="preserve"> [5]</w:t>
            </w:r>
            <w:r w:rsidR="00D32968">
              <w:rPr>
                <w:rFonts w:ascii="Arial" w:hAnsi="Arial" w:cs="Arial"/>
                <w:sz w:val="18"/>
                <w:szCs w:val="18"/>
              </w:rPr>
              <w:t>,</w:t>
            </w:r>
            <w:r w:rsidRPr="009C59DB">
              <w:rPr>
                <w:rFonts w:ascii="Arial" w:hAnsi="Arial" w:cs="Arial"/>
                <w:sz w:val="18"/>
                <w:szCs w:val="18"/>
              </w:rPr>
              <w:t xml:space="preserve"> assuming a ratio of direct: indirect time of 1:0.25 and a £5,000 </w:t>
            </w:r>
            <w:r>
              <w:rPr>
                <w:rFonts w:ascii="Arial" w:hAnsi="Arial" w:cs="Arial"/>
                <w:sz w:val="18"/>
                <w:szCs w:val="18"/>
              </w:rPr>
              <w:t>qualification cost (</w:t>
            </w:r>
            <w:r w:rsidRPr="009C59DB">
              <w:rPr>
                <w:rFonts w:ascii="Arial" w:hAnsi="Arial" w:cs="Arial"/>
                <w:sz w:val="18"/>
                <w:szCs w:val="18"/>
              </w:rPr>
              <w:t xml:space="preserve">expert advice), </w:t>
            </w:r>
            <w:proofErr w:type="spellStart"/>
            <w:r w:rsidRPr="009C59DB">
              <w:rPr>
                <w:rFonts w:ascii="Arial" w:hAnsi="Arial" w:cs="Arial"/>
                <w:sz w:val="18"/>
                <w:szCs w:val="18"/>
              </w:rPr>
              <w:t>annuitised</w:t>
            </w:r>
            <w:proofErr w:type="spellEnd"/>
            <w:r w:rsidRPr="009C59DB">
              <w:rPr>
                <w:rFonts w:ascii="Arial" w:hAnsi="Arial" w:cs="Arial"/>
                <w:sz w:val="18"/>
                <w:szCs w:val="18"/>
              </w:rPr>
              <w:t xml:space="preserve"> using a published formula</w:t>
            </w:r>
            <w:r w:rsidR="00010CA4">
              <w:rPr>
                <w:rFonts w:ascii="Arial" w:hAnsi="Arial" w:cs="Arial"/>
                <w:sz w:val="18"/>
                <w:szCs w:val="18"/>
              </w:rPr>
              <w:t xml:space="preserve"> [8]</w:t>
            </w:r>
            <w:r w:rsidRPr="009C59DB">
              <w:rPr>
                <w:rFonts w:ascii="Arial" w:hAnsi="Arial" w:cs="Arial"/>
                <w:sz w:val="18"/>
                <w:szCs w:val="18"/>
              </w:rPr>
              <w:t xml:space="preserve">, assuming a useful working life of 20 years, a period from obtaining the qualification until retirement of 44 years, and even spread of useful working life over the period of 44 years </w:t>
            </w:r>
          </w:p>
        </w:tc>
        <w:tc>
          <w:tcPr>
            <w:tcW w:w="993" w:type="dxa"/>
            <w:tcBorders>
              <w:top w:val="single" w:sz="8" w:space="0" w:color="FFFFFF"/>
              <w:left w:val="single" w:sz="8" w:space="0" w:color="FFFFFF"/>
              <w:bottom w:val="single" w:sz="8" w:space="0" w:color="FFFFFF"/>
              <w:right w:val="nil"/>
            </w:tcBorders>
            <w:shd w:val="clear" w:color="auto" w:fill="E6E6E6"/>
          </w:tcPr>
          <w:p w:rsidR="00B23F69" w:rsidRPr="009C59DB" w:rsidRDefault="00B23F69" w:rsidP="00425648">
            <w:pPr>
              <w:pStyle w:val="TableTextRight"/>
              <w:rPr>
                <w:rFonts w:ascii="Arial" w:hAnsi="Arial" w:cs="Arial"/>
                <w:sz w:val="18"/>
                <w:szCs w:val="18"/>
              </w:rPr>
            </w:pPr>
            <w:r w:rsidRPr="009C59DB">
              <w:rPr>
                <w:rFonts w:ascii="Arial" w:hAnsi="Arial" w:cs="Arial"/>
                <w:sz w:val="18"/>
                <w:szCs w:val="18"/>
              </w:rPr>
              <w:t>£3.8</w:t>
            </w:r>
          </w:p>
        </w:tc>
        <w:tc>
          <w:tcPr>
            <w:tcW w:w="850" w:type="dxa"/>
            <w:tcBorders>
              <w:top w:val="single" w:sz="8" w:space="0" w:color="FFFFFF"/>
              <w:left w:val="single" w:sz="8" w:space="0" w:color="FFFFFF"/>
              <w:bottom w:val="single" w:sz="8" w:space="0" w:color="FFFFFF"/>
              <w:right w:val="nil"/>
            </w:tcBorders>
            <w:shd w:val="clear" w:color="auto" w:fill="E6E6E6"/>
          </w:tcPr>
          <w:p w:rsidR="00B23F69" w:rsidRPr="009C59DB" w:rsidRDefault="00B23F69" w:rsidP="00425648">
            <w:pPr>
              <w:pStyle w:val="TableTextRight"/>
              <w:rPr>
                <w:rFonts w:ascii="Arial" w:hAnsi="Arial" w:cs="Arial"/>
                <w:sz w:val="18"/>
                <w:szCs w:val="18"/>
              </w:rPr>
            </w:pPr>
            <w:r w:rsidRPr="009C59DB">
              <w:rPr>
                <w:rFonts w:ascii="Arial" w:hAnsi="Arial" w:cs="Arial"/>
                <w:sz w:val="18"/>
                <w:szCs w:val="18"/>
              </w:rPr>
              <w:t>£0.7</w:t>
            </w:r>
          </w:p>
        </w:tc>
      </w:tr>
      <w:tr w:rsidR="00B23F69" w:rsidRPr="009C59DB" w:rsidTr="00425648">
        <w:tc>
          <w:tcPr>
            <w:tcW w:w="2977" w:type="dxa"/>
            <w:shd w:val="clear" w:color="auto" w:fill="E6E6E6"/>
          </w:tcPr>
          <w:p w:rsidR="00B23F69" w:rsidRPr="009C59DB" w:rsidRDefault="00B23F69" w:rsidP="00425648">
            <w:pPr>
              <w:pStyle w:val="TableTextLeft"/>
              <w:rPr>
                <w:rFonts w:ascii="Arial" w:hAnsi="Arial" w:cs="Arial"/>
                <w:color w:val="FF0000"/>
                <w:sz w:val="18"/>
                <w:szCs w:val="18"/>
              </w:rPr>
            </w:pPr>
            <w:r w:rsidRPr="009C59DB">
              <w:rPr>
                <w:rFonts w:ascii="Arial" w:hAnsi="Arial" w:cs="Arial"/>
                <w:sz w:val="18"/>
                <w:szCs w:val="18"/>
              </w:rPr>
              <w:t>Home help/home care</w:t>
            </w:r>
          </w:p>
        </w:tc>
        <w:tc>
          <w:tcPr>
            <w:tcW w:w="1128" w:type="dxa"/>
            <w:shd w:val="clear" w:color="auto" w:fill="E6E6E6"/>
          </w:tcPr>
          <w:p w:rsidR="00B23F69" w:rsidRPr="009C59DB" w:rsidRDefault="00B23F69" w:rsidP="00425648">
            <w:pPr>
              <w:pStyle w:val="TableTextRight"/>
              <w:rPr>
                <w:rFonts w:ascii="Arial" w:hAnsi="Arial" w:cs="Arial"/>
                <w:sz w:val="18"/>
                <w:szCs w:val="18"/>
              </w:rPr>
            </w:pPr>
            <w:r w:rsidRPr="009C59DB">
              <w:rPr>
                <w:rFonts w:ascii="Arial" w:hAnsi="Arial" w:cs="Arial"/>
                <w:sz w:val="18"/>
                <w:szCs w:val="18"/>
              </w:rPr>
              <w:t>1.6</w:t>
            </w:r>
          </w:p>
        </w:tc>
        <w:tc>
          <w:tcPr>
            <w:tcW w:w="1128" w:type="dxa"/>
            <w:shd w:val="clear" w:color="auto" w:fill="E6E6E6"/>
          </w:tcPr>
          <w:p w:rsidR="00B23F69" w:rsidRPr="009C59DB" w:rsidRDefault="00B23F69" w:rsidP="00425648">
            <w:pPr>
              <w:pStyle w:val="TableTextRight"/>
              <w:rPr>
                <w:rFonts w:ascii="Arial" w:hAnsi="Arial" w:cs="Arial"/>
                <w:sz w:val="18"/>
                <w:szCs w:val="18"/>
              </w:rPr>
            </w:pPr>
            <w:r w:rsidRPr="009C59DB">
              <w:rPr>
                <w:rFonts w:ascii="Arial" w:hAnsi="Arial" w:cs="Arial"/>
                <w:sz w:val="18"/>
                <w:szCs w:val="18"/>
              </w:rPr>
              <w:t>0.7</w:t>
            </w:r>
          </w:p>
        </w:tc>
        <w:tc>
          <w:tcPr>
            <w:tcW w:w="3981" w:type="dxa"/>
            <w:tcBorders>
              <w:top w:val="single" w:sz="8" w:space="0" w:color="FFFFFF"/>
              <w:left w:val="single" w:sz="8" w:space="0" w:color="FFFFFF"/>
              <w:bottom w:val="single" w:sz="8" w:space="0" w:color="FFFFFF"/>
              <w:right w:val="nil"/>
            </w:tcBorders>
            <w:shd w:val="clear" w:color="auto" w:fill="E6E6E6"/>
          </w:tcPr>
          <w:p w:rsidR="00B23F69" w:rsidRPr="009C59DB" w:rsidRDefault="00B23F69" w:rsidP="00425648">
            <w:pPr>
              <w:pStyle w:val="TableTextLeft"/>
              <w:rPr>
                <w:rFonts w:ascii="Arial" w:hAnsi="Arial" w:cs="Arial"/>
                <w:color w:val="FF0000"/>
                <w:sz w:val="18"/>
                <w:szCs w:val="18"/>
              </w:rPr>
            </w:pPr>
            <w:r w:rsidRPr="009C59DB">
              <w:rPr>
                <w:rFonts w:ascii="Arial" w:hAnsi="Arial" w:cs="Arial"/>
                <w:sz w:val="18"/>
                <w:szCs w:val="18"/>
              </w:rPr>
              <w:t>Estimated to reflect care co-ordination; 12 Band 5 nurse visits per y</w:t>
            </w:r>
            <w:r>
              <w:rPr>
                <w:rFonts w:ascii="Arial" w:hAnsi="Arial" w:cs="Arial"/>
                <w:sz w:val="18"/>
                <w:szCs w:val="18"/>
              </w:rPr>
              <w:t>ear, lasting 45 min each (</w:t>
            </w:r>
            <w:r w:rsidRPr="009C59DB">
              <w:rPr>
                <w:rFonts w:ascii="Arial" w:hAnsi="Arial" w:cs="Arial"/>
                <w:sz w:val="18"/>
                <w:szCs w:val="18"/>
              </w:rPr>
              <w:t>expert opinion).</w:t>
            </w:r>
          </w:p>
        </w:tc>
        <w:tc>
          <w:tcPr>
            <w:tcW w:w="3119" w:type="dxa"/>
            <w:tcBorders>
              <w:top w:val="single" w:sz="8" w:space="0" w:color="FFFFFF"/>
              <w:left w:val="single" w:sz="8" w:space="0" w:color="FFFFFF"/>
              <w:bottom w:val="single" w:sz="8" w:space="0" w:color="FFFFFF"/>
              <w:right w:val="nil"/>
            </w:tcBorders>
            <w:shd w:val="clear" w:color="auto" w:fill="E6E6E6"/>
          </w:tcPr>
          <w:p w:rsidR="00B23F69" w:rsidRPr="009C59DB" w:rsidRDefault="00B23F69" w:rsidP="00010CA4">
            <w:pPr>
              <w:pStyle w:val="TableTextLeft"/>
              <w:rPr>
                <w:rFonts w:ascii="Arial" w:hAnsi="Arial" w:cs="Arial"/>
                <w:color w:val="FF0000"/>
                <w:sz w:val="18"/>
                <w:szCs w:val="18"/>
              </w:rPr>
            </w:pPr>
            <w:r w:rsidRPr="009C59DB">
              <w:rPr>
                <w:rFonts w:ascii="Arial" w:hAnsi="Arial" w:cs="Arial"/>
                <w:sz w:val="18"/>
                <w:szCs w:val="18"/>
              </w:rPr>
              <w:t xml:space="preserve">Unit cost of Band 5 nurse £71 per hour of patient contact, using </w:t>
            </w:r>
            <w:r w:rsidR="00D32968">
              <w:rPr>
                <w:rFonts w:ascii="Arial" w:hAnsi="Arial" w:cs="Arial"/>
                <w:sz w:val="18"/>
                <w:szCs w:val="18"/>
              </w:rPr>
              <w:t xml:space="preserve">national </w:t>
            </w:r>
            <w:r w:rsidRPr="009C59DB">
              <w:rPr>
                <w:rFonts w:ascii="Arial" w:hAnsi="Arial" w:cs="Arial"/>
                <w:sz w:val="18"/>
                <w:szCs w:val="18"/>
              </w:rPr>
              <w:t>unit cost data</w:t>
            </w:r>
            <w:r w:rsidR="00D32968">
              <w:rPr>
                <w:rFonts w:ascii="Arial" w:hAnsi="Arial" w:cs="Arial"/>
                <w:sz w:val="18"/>
                <w:szCs w:val="18"/>
              </w:rPr>
              <w:t xml:space="preserve"> </w:t>
            </w:r>
            <w:r w:rsidR="00010CA4">
              <w:rPr>
                <w:rFonts w:ascii="Arial" w:hAnsi="Arial" w:cs="Arial"/>
                <w:sz w:val="18"/>
                <w:szCs w:val="18"/>
              </w:rPr>
              <w:t>[5]</w:t>
            </w:r>
            <w:r w:rsidRPr="009C59DB">
              <w:rPr>
                <w:rFonts w:ascii="Arial" w:hAnsi="Arial" w:cs="Arial"/>
                <w:sz w:val="18"/>
                <w:szCs w:val="18"/>
              </w:rPr>
              <w:t xml:space="preserve"> and a ratio of direct: indirect time of 60:40.</w:t>
            </w:r>
          </w:p>
        </w:tc>
        <w:tc>
          <w:tcPr>
            <w:tcW w:w="993" w:type="dxa"/>
            <w:tcBorders>
              <w:top w:val="single" w:sz="8" w:space="0" w:color="FFFFFF"/>
              <w:left w:val="single" w:sz="8" w:space="0" w:color="FFFFFF"/>
              <w:bottom w:val="single" w:sz="8" w:space="0" w:color="FFFFFF"/>
              <w:right w:val="nil"/>
            </w:tcBorders>
            <w:shd w:val="clear" w:color="auto" w:fill="E6E6E6"/>
          </w:tcPr>
          <w:p w:rsidR="00B23F69" w:rsidRPr="009C59DB" w:rsidRDefault="00B23F69" w:rsidP="00425648">
            <w:pPr>
              <w:pStyle w:val="TableTextRight"/>
              <w:rPr>
                <w:rFonts w:ascii="Arial" w:hAnsi="Arial" w:cs="Arial"/>
                <w:sz w:val="18"/>
                <w:szCs w:val="18"/>
              </w:rPr>
            </w:pPr>
            <w:r w:rsidRPr="009C59DB">
              <w:rPr>
                <w:rFonts w:ascii="Arial" w:hAnsi="Arial" w:cs="Arial"/>
                <w:sz w:val="18"/>
                <w:szCs w:val="18"/>
              </w:rPr>
              <w:t>£10.2</w:t>
            </w:r>
          </w:p>
        </w:tc>
        <w:tc>
          <w:tcPr>
            <w:tcW w:w="850" w:type="dxa"/>
            <w:tcBorders>
              <w:top w:val="single" w:sz="8" w:space="0" w:color="FFFFFF"/>
              <w:left w:val="single" w:sz="8" w:space="0" w:color="FFFFFF"/>
              <w:bottom w:val="single" w:sz="8" w:space="0" w:color="FFFFFF"/>
              <w:right w:val="nil"/>
            </w:tcBorders>
            <w:shd w:val="clear" w:color="auto" w:fill="E6E6E6"/>
          </w:tcPr>
          <w:p w:rsidR="00B23F69" w:rsidRPr="009C59DB" w:rsidRDefault="00B23F69" w:rsidP="00425648">
            <w:pPr>
              <w:pStyle w:val="TableTextRight"/>
              <w:rPr>
                <w:rFonts w:ascii="Arial" w:hAnsi="Arial" w:cs="Arial"/>
                <w:sz w:val="18"/>
                <w:szCs w:val="18"/>
              </w:rPr>
            </w:pPr>
            <w:r w:rsidRPr="009C59DB">
              <w:rPr>
                <w:rFonts w:ascii="Arial" w:hAnsi="Arial" w:cs="Arial"/>
                <w:sz w:val="18"/>
                <w:szCs w:val="18"/>
              </w:rPr>
              <w:t>£4.5</w:t>
            </w:r>
          </w:p>
        </w:tc>
      </w:tr>
      <w:tr w:rsidR="00B23F69" w:rsidRPr="009C59DB" w:rsidTr="00425648">
        <w:tc>
          <w:tcPr>
            <w:tcW w:w="2977" w:type="dxa"/>
            <w:shd w:val="clear" w:color="auto" w:fill="E6E6E6"/>
          </w:tcPr>
          <w:p w:rsidR="00B23F69" w:rsidRPr="009C59DB" w:rsidRDefault="00B23F69" w:rsidP="00425648">
            <w:pPr>
              <w:pStyle w:val="TableTextLeft"/>
              <w:rPr>
                <w:rFonts w:ascii="Arial" w:hAnsi="Arial" w:cs="Arial"/>
                <w:color w:val="FF0000"/>
                <w:sz w:val="18"/>
                <w:szCs w:val="18"/>
              </w:rPr>
            </w:pPr>
            <w:r w:rsidRPr="009C59DB">
              <w:rPr>
                <w:rFonts w:ascii="Arial" w:hAnsi="Arial" w:cs="Arial"/>
                <w:sz w:val="18"/>
                <w:szCs w:val="18"/>
              </w:rPr>
              <w:t>Outreach worker/family support</w:t>
            </w:r>
          </w:p>
        </w:tc>
        <w:tc>
          <w:tcPr>
            <w:tcW w:w="1128" w:type="dxa"/>
            <w:shd w:val="clear" w:color="auto" w:fill="E6E6E6"/>
          </w:tcPr>
          <w:p w:rsidR="00B23F69" w:rsidRPr="009C59DB" w:rsidRDefault="00B23F69" w:rsidP="00425648">
            <w:pPr>
              <w:pStyle w:val="TableTextRight"/>
              <w:rPr>
                <w:rFonts w:ascii="Arial" w:hAnsi="Arial" w:cs="Arial"/>
                <w:sz w:val="18"/>
                <w:szCs w:val="18"/>
              </w:rPr>
            </w:pPr>
            <w:r w:rsidRPr="009C59DB">
              <w:rPr>
                <w:rFonts w:ascii="Arial" w:hAnsi="Arial" w:cs="Arial"/>
                <w:sz w:val="18"/>
                <w:szCs w:val="18"/>
              </w:rPr>
              <w:t>6.6</w:t>
            </w:r>
          </w:p>
        </w:tc>
        <w:tc>
          <w:tcPr>
            <w:tcW w:w="1128" w:type="dxa"/>
            <w:shd w:val="clear" w:color="auto" w:fill="E6E6E6"/>
          </w:tcPr>
          <w:p w:rsidR="00B23F69" w:rsidRPr="009C59DB" w:rsidRDefault="00B23F69" w:rsidP="00425648">
            <w:pPr>
              <w:pStyle w:val="TableTextRight"/>
              <w:rPr>
                <w:rFonts w:ascii="Arial" w:hAnsi="Arial" w:cs="Arial"/>
                <w:sz w:val="18"/>
                <w:szCs w:val="18"/>
              </w:rPr>
            </w:pPr>
            <w:r w:rsidRPr="009C59DB">
              <w:rPr>
                <w:rFonts w:ascii="Arial" w:hAnsi="Arial" w:cs="Arial"/>
                <w:sz w:val="18"/>
                <w:szCs w:val="18"/>
              </w:rPr>
              <w:t>0.7</w:t>
            </w:r>
          </w:p>
        </w:tc>
        <w:tc>
          <w:tcPr>
            <w:tcW w:w="3981" w:type="dxa"/>
            <w:tcBorders>
              <w:top w:val="single" w:sz="8" w:space="0" w:color="FFFFFF"/>
              <w:left w:val="single" w:sz="8" w:space="0" w:color="FFFFFF"/>
              <w:bottom w:val="single" w:sz="8" w:space="0" w:color="FFFFFF"/>
              <w:right w:val="nil"/>
            </w:tcBorders>
            <w:shd w:val="clear" w:color="auto" w:fill="E6E6E6"/>
          </w:tcPr>
          <w:p w:rsidR="00B23F69" w:rsidRPr="009C59DB" w:rsidRDefault="00B23F69" w:rsidP="00425648">
            <w:pPr>
              <w:pStyle w:val="TableTextLeft"/>
              <w:rPr>
                <w:rFonts w:ascii="Arial" w:hAnsi="Arial" w:cs="Arial"/>
                <w:color w:val="FF0000"/>
                <w:sz w:val="18"/>
                <w:szCs w:val="18"/>
              </w:rPr>
            </w:pPr>
            <w:r w:rsidRPr="009C59DB">
              <w:rPr>
                <w:rFonts w:ascii="Arial" w:hAnsi="Arial" w:cs="Arial"/>
                <w:sz w:val="18"/>
                <w:szCs w:val="18"/>
              </w:rPr>
              <w:t xml:space="preserve">Estimated to consist of a few visits occurring before outpatient visits or a few visits for support; 5 family support worker visits per year, </w:t>
            </w:r>
            <w:r>
              <w:rPr>
                <w:rFonts w:ascii="Arial" w:hAnsi="Arial" w:cs="Arial"/>
                <w:sz w:val="18"/>
                <w:szCs w:val="18"/>
              </w:rPr>
              <w:t>lasting 1 hour each (</w:t>
            </w:r>
            <w:r w:rsidRPr="009C59DB">
              <w:rPr>
                <w:rFonts w:ascii="Arial" w:hAnsi="Arial" w:cs="Arial"/>
                <w:sz w:val="18"/>
                <w:szCs w:val="18"/>
              </w:rPr>
              <w:t>expert opinion).</w:t>
            </w:r>
          </w:p>
        </w:tc>
        <w:tc>
          <w:tcPr>
            <w:tcW w:w="3119" w:type="dxa"/>
            <w:tcBorders>
              <w:top w:val="single" w:sz="8" w:space="0" w:color="FFFFFF"/>
              <w:left w:val="single" w:sz="8" w:space="0" w:color="FFFFFF"/>
              <w:bottom w:val="single" w:sz="8" w:space="0" w:color="FFFFFF"/>
              <w:right w:val="nil"/>
            </w:tcBorders>
            <w:shd w:val="clear" w:color="auto" w:fill="E6E6E6"/>
          </w:tcPr>
          <w:p w:rsidR="00B23F69" w:rsidRPr="009C59DB" w:rsidRDefault="00B23F69" w:rsidP="00010CA4">
            <w:pPr>
              <w:pStyle w:val="TableTextLeft"/>
              <w:rPr>
                <w:rFonts w:ascii="Arial" w:hAnsi="Arial" w:cs="Arial"/>
                <w:sz w:val="18"/>
                <w:szCs w:val="18"/>
              </w:rPr>
            </w:pPr>
            <w:r w:rsidRPr="009C59DB">
              <w:rPr>
                <w:rFonts w:ascii="Arial" w:hAnsi="Arial" w:cs="Arial"/>
                <w:sz w:val="18"/>
                <w:szCs w:val="18"/>
              </w:rPr>
              <w:t xml:space="preserve">Unit cost of Band 5 nurse £54 per hour of patient contact, using </w:t>
            </w:r>
            <w:r w:rsidR="00D32968">
              <w:rPr>
                <w:rFonts w:ascii="Arial" w:hAnsi="Arial" w:cs="Arial"/>
                <w:sz w:val="18"/>
                <w:szCs w:val="18"/>
              </w:rPr>
              <w:t xml:space="preserve">national </w:t>
            </w:r>
            <w:r w:rsidRPr="009C59DB">
              <w:rPr>
                <w:rFonts w:ascii="Arial" w:hAnsi="Arial" w:cs="Arial"/>
                <w:sz w:val="18"/>
                <w:szCs w:val="18"/>
              </w:rPr>
              <w:t>unit cost data</w:t>
            </w:r>
            <w:r w:rsidR="00010CA4">
              <w:rPr>
                <w:rFonts w:ascii="Arial" w:hAnsi="Arial" w:cs="Arial"/>
                <w:sz w:val="18"/>
                <w:szCs w:val="18"/>
              </w:rPr>
              <w:t xml:space="preserve"> [5]</w:t>
            </w:r>
            <w:r w:rsidRPr="009C59DB">
              <w:rPr>
                <w:rFonts w:ascii="Arial" w:hAnsi="Arial" w:cs="Arial"/>
                <w:sz w:val="18"/>
                <w:szCs w:val="18"/>
              </w:rPr>
              <w:t xml:space="preserve">, a ratio of direct: indirect time of 60:40, and a £5,000 qualification cost </w:t>
            </w:r>
            <w:r w:rsidRPr="009C59DB">
              <w:rPr>
                <w:rFonts w:ascii="Arial" w:hAnsi="Arial" w:cs="Arial"/>
                <w:sz w:val="18"/>
                <w:szCs w:val="18"/>
              </w:rPr>
              <w:lastRenderedPageBreak/>
              <w:t xml:space="preserve">(assumption), </w:t>
            </w:r>
            <w:proofErr w:type="spellStart"/>
            <w:r w:rsidRPr="009C59DB">
              <w:rPr>
                <w:rFonts w:ascii="Arial" w:hAnsi="Arial" w:cs="Arial"/>
                <w:sz w:val="18"/>
                <w:szCs w:val="18"/>
              </w:rPr>
              <w:t>annuitised</w:t>
            </w:r>
            <w:proofErr w:type="spellEnd"/>
            <w:r w:rsidRPr="009C59DB">
              <w:rPr>
                <w:rFonts w:ascii="Arial" w:hAnsi="Arial" w:cs="Arial"/>
                <w:sz w:val="18"/>
                <w:szCs w:val="18"/>
              </w:rPr>
              <w:t xml:space="preserve"> using a published formula</w:t>
            </w:r>
            <w:r w:rsidR="00010CA4">
              <w:rPr>
                <w:rFonts w:ascii="Arial" w:hAnsi="Arial" w:cs="Arial"/>
                <w:sz w:val="18"/>
                <w:szCs w:val="18"/>
              </w:rPr>
              <w:t xml:space="preserve"> [8]</w:t>
            </w:r>
            <w:r w:rsidRPr="009C59DB">
              <w:rPr>
                <w:rFonts w:ascii="Arial" w:hAnsi="Arial" w:cs="Arial"/>
                <w:sz w:val="18"/>
                <w:szCs w:val="18"/>
              </w:rPr>
              <w:t>, assuming a useful working life of 20 years, a period from obtaining the qualification until retirement of 44 years, and even spread of useful working life over the period of 44 years</w:t>
            </w:r>
          </w:p>
        </w:tc>
        <w:tc>
          <w:tcPr>
            <w:tcW w:w="993" w:type="dxa"/>
            <w:tcBorders>
              <w:top w:val="single" w:sz="8" w:space="0" w:color="FFFFFF"/>
              <w:left w:val="single" w:sz="8" w:space="0" w:color="FFFFFF"/>
              <w:bottom w:val="single" w:sz="8" w:space="0" w:color="FFFFFF"/>
              <w:right w:val="nil"/>
            </w:tcBorders>
            <w:shd w:val="clear" w:color="auto" w:fill="E6E6E6"/>
          </w:tcPr>
          <w:p w:rsidR="00B23F69" w:rsidRPr="009C59DB" w:rsidRDefault="00B23F69" w:rsidP="00425648">
            <w:pPr>
              <w:pStyle w:val="TableTextRight"/>
              <w:rPr>
                <w:rFonts w:ascii="Arial" w:hAnsi="Arial" w:cs="Arial"/>
                <w:sz w:val="18"/>
                <w:szCs w:val="18"/>
              </w:rPr>
            </w:pPr>
            <w:r w:rsidRPr="009C59DB">
              <w:rPr>
                <w:rFonts w:ascii="Arial" w:hAnsi="Arial" w:cs="Arial"/>
                <w:sz w:val="18"/>
                <w:szCs w:val="18"/>
              </w:rPr>
              <w:lastRenderedPageBreak/>
              <w:t>£17.7</w:t>
            </w:r>
          </w:p>
        </w:tc>
        <w:tc>
          <w:tcPr>
            <w:tcW w:w="850" w:type="dxa"/>
            <w:tcBorders>
              <w:top w:val="single" w:sz="8" w:space="0" w:color="FFFFFF"/>
              <w:left w:val="single" w:sz="8" w:space="0" w:color="FFFFFF"/>
              <w:bottom w:val="single" w:sz="8" w:space="0" w:color="FFFFFF"/>
              <w:right w:val="nil"/>
            </w:tcBorders>
            <w:shd w:val="clear" w:color="auto" w:fill="E6E6E6"/>
          </w:tcPr>
          <w:p w:rsidR="00B23F69" w:rsidRPr="009C59DB" w:rsidRDefault="00B23F69" w:rsidP="00425648">
            <w:pPr>
              <w:pStyle w:val="TableTextRight"/>
              <w:rPr>
                <w:rFonts w:ascii="Arial" w:hAnsi="Arial" w:cs="Arial"/>
                <w:sz w:val="18"/>
                <w:szCs w:val="18"/>
              </w:rPr>
            </w:pPr>
            <w:r w:rsidRPr="009C59DB">
              <w:rPr>
                <w:rFonts w:ascii="Arial" w:hAnsi="Arial" w:cs="Arial"/>
                <w:sz w:val="18"/>
                <w:szCs w:val="18"/>
              </w:rPr>
              <w:t>£1.8</w:t>
            </w:r>
          </w:p>
        </w:tc>
      </w:tr>
      <w:tr w:rsidR="00B23F69" w:rsidRPr="009C59DB" w:rsidTr="00425648">
        <w:tc>
          <w:tcPr>
            <w:tcW w:w="2977" w:type="dxa"/>
            <w:shd w:val="clear" w:color="auto" w:fill="E6E6E6"/>
          </w:tcPr>
          <w:p w:rsidR="00B23F69" w:rsidRPr="009C59DB" w:rsidRDefault="00B23F69" w:rsidP="00425648">
            <w:pPr>
              <w:pStyle w:val="TableTextLeft"/>
              <w:rPr>
                <w:rFonts w:ascii="Arial" w:hAnsi="Arial" w:cs="Arial"/>
                <w:color w:val="FF0000"/>
                <w:sz w:val="18"/>
                <w:szCs w:val="18"/>
              </w:rPr>
            </w:pPr>
            <w:r w:rsidRPr="009C59DB">
              <w:rPr>
                <w:rFonts w:ascii="Arial" w:hAnsi="Arial" w:cs="Arial"/>
                <w:sz w:val="18"/>
                <w:szCs w:val="18"/>
              </w:rPr>
              <w:t>Community day-care centre</w:t>
            </w:r>
            <w:r w:rsidRPr="009C59DB">
              <w:rPr>
                <w:rFonts w:ascii="Arial" w:hAnsi="Arial" w:cs="Arial"/>
                <w:sz w:val="18"/>
                <w:szCs w:val="18"/>
                <w:vertAlign w:val="superscript"/>
              </w:rPr>
              <w:t>3</w:t>
            </w:r>
          </w:p>
        </w:tc>
        <w:tc>
          <w:tcPr>
            <w:tcW w:w="1128" w:type="dxa"/>
            <w:shd w:val="clear" w:color="auto" w:fill="E6E6E6"/>
          </w:tcPr>
          <w:p w:rsidR="00B23F69" w:rsidRPr="009C59DB" w:rsidRDefault="00B23F69" w:rsidP="00425648">
            <w:pPr>
              <w:pStyle w:val="TableTextRight"/>
              <w:rPr>
                <w:rFonts w:ascii="Arial" w:hAnsi="Arial" w:cs="Arial"/>
                <w:sz w:val="18"/>
                <w:szCs w:val="18"/>
              </w:rPr>
            </w:pPr>
            <w:r w:rsidRPr="009C59DB">
              <w:rPr>
                <w:rFonts w:ascii="Arial" w:hAnsi="Arial" w:cs="Arial"/>
                <w:sz w:val="18"/>
                <w:szCs w:val="18"/>
              </w:rPr>
              <w:t>9.7</w:t>
            </w:r>
          </w:p>
        </w:tc>
        <w:tc>
          <w:tcPr>
            <w:tcW w:w="1128" w:type="dxa"/>
            <w:shd w:val="clear" w:color="auto" w:fill="E6E6E6"/>
          </w:tcPr>
          <w:p w:rsidR="00B23F69" w:rsidRPr="009C59DB" w:rsidRDefault="00B23F69" w:rsidP="00425648">
            <w:pPr>
              <w:pStyle w:val="TableTextRight"/>
              <w:rPr>
                <w:rFonts w:ascii="Arial" w:hAnsi="Arial" w:cs="Arial"/>
                <w:sz w:val="18"/>
                <w:szCs w:val="18"/>
              </w:rPr>
            </w:pPr>
            <w:r w:rsidRPr="009C59DB">
              <w:rPr>
                <w:rFonts w:ascii="Arial" w:hAnsi="Arial" w:cs="Arial"/>
                <w:sz w:val="18"/>
                <w:szCs w:val="18"/>
              </w:rPr>
              <w:t>1.4</w:t>
            </w:r>
          </w:p>
        </w:tc>
        <w:tc>
          <w:tcPr>
            <w:tcW w:w="3981" w:type="dxa"/>
            <w:tcBorders>
              <w:top w:val="single" w:sz="8" w:space="0" w:color="FFFFFF"/>
              <w:left w:val="single" w:sz="8" w:space="0" w:color="FFFFFF"/>
              <w:bottom w:val="single" w:sz="8" w:space="0" w:color="FFFFFF"/>
              <w:right w:val="nil"/>
            </w:tcBorders>
            <w:shd w:val="clear" w:color="auto" w:fill="E6E6E6"/>
          </w:tcPr>
          <w:p w:rsidR="00B23F69" w:rsidRPr="009C59DB" w:rsidRDefault="00B23F69" w:rsidP="00010CA4">
            <w:pPr>
              <w:pStyle w:val="TableTextLeft"/>
              <w:rPr>
                <w:rFonts w:ascii="Arial" w:hAnsi="Arial" w:cs="Arial"/>
                <w:color w:val="FF0000"/>
                <w:sz w:val="18"/>
                <w:szCs w:val="18"/>
              </w:rPr>
            </w:pPr>
            <w:r w:rsidRPr="009C59DB">
              <w:rPr>
                <w:rFonts w:ascii="Arial" w:hAnsi="Arial" w:cs="Arial"/>
                <w:sz w:val="18"/>
                <w:szCs w:val="18"/>
              </w:rPr>
              <w:t>8 weeks (2 months</w:t>
            </w:r>
            <w:r>
              <w:rPr>
                <w:rFonts w:ascii="Arial" w:hAnsi="Arial" w:cs="Arial"/>
                <w:sz w:val="18"/>
                <w:szCs w:val="18"/>
              </w:rPr>
              <w:t>) of care per year (</w:t>
            </w:r>
            <w:r w:rsidRPr="009C59DB">
              <w:rPr>
                <w:rFonts w:ascii="Arial" w:hAnsi="Arial" w:cs="Arial"/>
                <w:sz w:val="18"/>
                <w:szCs w:val="18"/>
              </w:rPr>
              <w:t>expert opinion), 3 sessions per week</w:t>
            </w:r>
            <w:r w:rsidR="00D32968">
              <w:rPr>
                <w:rFonts w:ascii="Arial" w:hAnsi="Arial" w:cs="Arial"/>
                <w:sz w:val="18"/>
                <w:szCs w:val="18"/>
              </w:rPr>
              <w:t xml:space="preserve"> </w:t>
            </w:r>
            <w:r w:rsidR="00010CA4">
              <w:rPr>
                <w:rFonts w:ascii="Arial" w:hAnsi="Arial" w:cs="Arial"/>
                <w:sz w:val="18"/>
                <w:szCs w:val="18"/>
              </w:rPr>
              <w:t>5]</w:t>
            </w:r>
          </w:p>
        </w:tc>
        <w:tc>
          <w:tcPr>
            <w:tcW w:w="3119" w:type="dxa"/>
            <w:tcBorders>
              <w:top w:val="single" w:sz="8" w:space="0" w:color="FFFFFF"/>
              <w:left w:val="single" w:sz="8" w:space="0" w:color="FFFFFF"/>
              <w:bottom w:val="single" w:sz="8" w:space="0" w:color="FFFFFF"/>
              <w:right w:val="nil"/>
            </w:tcBorders>
            <w:shd w:val="clear" w:color="auto" w:fill="E6E6E6"/>
          </w:tcPr>
          <w:p w:rsidR="00B23F69" w:rsidRPr="009C59DB" w:rsidRDefault="00B23F69" w:rsidP="00010CA4">
            <w:pPr>
              <w:pStyle w:val="TableTextLeft"/>
              <w:rPr>
                <w:rFonts w:ascii="Arial" w:hAnsi="Arial" w:cs="Arial"/>
                <w:sz w:val="18"/>
                <w:szCs w:val="18"/>
              </w:rPr>
            </w:pPr>
            <w:r w:rsidRPr="009C59DB">
              <w:rPr>
                <w:rFonts w:ascii="Arial" w:hAnsi="Arial" w:cs="Arial"/>
                <w:sz w:val="18"/>
                <w:szCs w:val="18"/>
              </w:rPr>
              <w:t>Cost per session £30</w:t>
            </w:r>
            <w:r w:rsidR="00D32968">
              <w:rPr>
                <w:rFonts w:ascii="Arial" w:hAnsi="Arial" w:cs="Arial"/>
                <w:sz w:val="18"/>
                <w:szCs w:val="18"/>
              </w:rPr>
              <w:t xml:space="preserve"> </w:t>
            </w:r>
            <w:r w:rsidR="00010CA4">
              <w:rPr>
                <w:rFonts w:ascii="Arial" w:hAnsi="Arial" w:cs="Arial"/>
                <w:sz w:val="18"/>
                <w:szCs w:val="18"/>
              </w:rPr>
              <w:t>[5]</w:t>
            </w:r>
          </w:p>
        </w:tc>
        <w:tc>
          <w:tcPr>
            <w:tcW w:w="993" w:type="dxa"/>
            <w:tcBorders>
              <w:top w:val="single" w:sz="8" w:space="0" w:color="FFFFFF"/>
              <w:left w:val="single" w:sz="8" w:space="0" w:color="FFFFFF"/>
              <w:bottom w:val="single" w:sz="8" w:space="0" w:color="FFFFFF"/>
              <w:right w:val="nil"/>
            </w:tcBorders>
            <w:shd w:val="clear" w:color="auto" w:fill="E6E6E6"/>
          </w:tcPr>
          <w:p w:rsidR="00B23F69" w:rsidRPr="009C59DB" w:rsidRDefault="00B23F69" w:rsidP="00425648">
            <w:pPr>
              <w:pStyle w:val="TableTextRight"/>
              <w:rPr>
                <w:rFonts w:ascii="Arial" w:hAnsi="Arial" w:cs="Arial"/>
                <w:sz w:val="18"/>
                <w:szCs w:val="18"/>
              </w:rPr>
            </w:pPr>
            <w:r w:rsidRPr="009C59DB">
              <w:rPr>
                <w:rFonts w:ascii="Arial" w:hAnsi="Arial" w:cs="Arial"/>
                <w:sz w:val="18"/>
                <w:szCs w:val="18"/>
              </w:rPr>
              <w:t>£70.1</w:t>
            </w:r>
          </w:p>
        </w:tc>
        <w:tc>
          <w:tcPr>
            <w:tcW w:w="850" w:type="dxa"/>
            <w:tcBorders>
              <w:top w:val="single" w:sz="8" w:space="0" w:color="FFFFFF"/>
              <w:left w:val="single" w:sz="8" w:space="0" w:color="FFFFFF"/>
              <w:bottom w:val="single" w:sz="8" w:space="0" w:color="FFFFFF"/>
              <w:right w:val="nil"/>
            </w:tcBorders>
            <w:shd w:val="clear" w:color="auto" w:fill="E6E6E6"/>
          </w:tcPr>
          <w:p w:rsidR="00B23F69" w:rsidRPr="009C59DB" w:rsidRDefault="00B23F69" w:rsidP="00425648">
            <w:pPr>
              <w:pStyle w:val="TableTextRight"/>
              <w:rPr>
                <w:rFonts w:ascii="Arial" w:hAnsi="Arial" w:cs="Arial"/>
                <w:sz w:val="18"/>
                <w:szCs w:val="18"/>
              </w:rPr>
            </w:pPr>
            <w:r w:rsidRPr="009C59DB">
              <w:rPr>
                <w:rFonts w:ascii="Arial" w:hAnsi="Arial" w:cs="Arial"/>
                <w:sz w:val="18"/>
                <w:szCs w:val="18"/>
              </w:rPr>
              <w:t>£10.1</w:t>
            </w:r>
          </w:p>
        </w:tc>
      </w:tr>
      <w:tr w:rsidR="00B23F69" w:rsidRPr="009C59DB" w:rsidTr="00425648">
        <w:tc>
          <w:tcPr>
            <w:tcW w:w="12333" w:type="dxa"/>
            <w:gridSpan w:val="5"/>
            <w:shd w:val="clear" w:color="auto" w:fill="E6E6E6"/>
          </w:tcPr>
          <w:p w:rsidR="00B23F69" w:rsidRPr="009C59DB" w:rsidRDefault="00B23F69" w:rsidP="00425648">
            <w:pPr>
              <w:pStyle w:val="TableHeadingLeft"/>
              <w:rPr>
                <w:rFonts w:ascii="Arial" w:hAnsi="Arial" w:cs="Arial"/>
                <w:sz w:val="18"/>
                <w:szCs w:val="18"/>
              </w:rPr>
            </w:pPr>
            <w:r w:rsidRPr="009C59DB">
              <w:rPr>
                <w:rFonts w:ascii="Arial" w:hAnsi="Arial" w:cs="Arial"/>
                <w:sz w:val="18"/>
                <w:szCs w:val="18"/>
              </w:rPr>
              <w:t>TOTAL ANNUAL COST</w:t>
            </w:r>
          </w:p>
        </w:tc>
        <w:tc>
          <w:tcPr>
            <w:tcW w:w="993" w:type="dxa"/>
            <w:tcBorders>
              <w:top w:val="single" w:sz="8" w:space="0" w:color="FFFFFF"/>
              <w:left w:val="single" w:sz="8" w:space="0" w:color="FFFFFF"/>
              <w:bottom w:val="single" w:sz="8" w:space="0" w:color="FFFFFF"/>
              <w:right w:val="nil"/>
            </w:tcBorders>
            <w:shd w:val="clear" w:color="auto" w:fill="E6E6E6"/>
          </w:tcPr>
          <w:p w:rsidR="00B23F69" w:rsidRPr="009C59DB" w:rsidRDefault="00B23F69" w:rsidP="00425648">
            <w:pPr>
              <w:pStyle w:val="TableTextRight"/>
              <w:rPr>
                <w:rFonts w:ascii="Arial" w:hAnsi="Arial" w:cs="Arial"/>
                <w:sz w:val="18"/>
                <w:szCs w:val="18"/>
              </w:rPr>
            </w:pPr>
            <w:r w:rsidRPr="009C59DB">
              <w:rPr>
                <w:rFonts w:ascii="Arial" w:hAnsi="Arial" w:cs="Arial"/>
                <w:sz w:val="18"/>
                <w:szCs w:val="18"/>
              </w:rPr>
              <w:t>£1,173</w:t>
            </w:r>
          </w:p>
        </w:tc>
        <w:tc>
          <w:tcPr>
            <w:tcW w:w="850" w:type="dxa"/>
            <w:tcBorders>
              <w:top w:val="single" w:sz="8" w:space="0" w:color="FFFFFF"/>
              <w:left w:val="single" w:sz="8" w:space="0" w:color="FFFFFF"/>
              <w:bottom w:val="single" w:sz="8" w:space="0" w:color="FFFFFF"/>
              <w:right w:val="nil"/>
            </w:tcBorders>
            <w:shd w:val="clear" w:color="auto" w:fill="E6E6E6"/>
          </w:tcPr>
          <w:p w:rsidR="00B23F69" w:rsidRPr="009C59DB" w:rsidRDefault="00B23F69" w:rsidP="00425648">
            <w:pPr>
              <w:pStyle w:val="TableTextRight"/>
              <w:rPr>
                <w:rFonts w:ascii="Arial" w:hAnsi="Arial" w:cs="Arial"/>
                <w:sz w:val="18"/>
                <w:szCs w:val="18"/>
              </w:rPr>
            </w:pPr>
            <w:r w:rsidRPr="009C59DB">
              <w:rPr>
                <w:rFonts w:ascii="Arial" w:hAnsi="Arial" w:cs="Arial"/>
                <w:sz w:val="18"/>
                <w:szCs w:val="18"/>
              </w:rPr>
              <w:t>£110</w:t>
            </w:r>
          </w:p>
        </w:tc>
      </w:tr>
      <w:tr w:rsidR="00B23F69" w:rsidRPr="00934B9D" w:rsidTr="00425648">
        <w:tc>
          <w:tcPr>
            <w:tcW w:w="14176" w:type="dxa"/>
            <w:gridSpan w:val="7"/>
            <w:tcBorders>
              <w:top w:val="single" w:sz="8" w:space="0" w:color="FFFFFF"/>
            </w:tcBorders>
            <w:shd w:val="clear" w:color="auto" w:fill="E6E6E6"/>
            <w:vAlign w:val="center"/>
          </w:tcPr>
          <w:p w:rsidR="00B23F69" w:rsidRPr="00934B9D" w:rsidRDefault="00B23F69" w:rsidP="00425648">
            <w:pPr>
              <w:pStyle w:val="TableTextLeft"/>
              <w:rPr>
                <w:rFonts w:ascii="Arial" w:hAnsi="Arial" w:cs="Arial"/>
                <w:sz w:val="18"/>
                <w:szCs w:val="18"/>
              </w:rPr>
            </w:pPr>
            <w:r w:rsidRPr="00934B9D">
              <w:rPr>
                <w:rFonts w:ascii="Arial" w:hAnsi="Arial" w:cs="Arial"/>
                <w:sz w:val="18"/>
                <w:szCs w:val="18"/>
              </w:rPr>
              <w:t xml:space="preserve">1 Data from Adult Psychiatry Morbidity Survey, England 2014 </w:t>
            </w:r>
            <w:r w:rsidR="00010CA4">
              <w:rPr>
                <w:rFonts w:ascii="Arial" w:hAnsi="Arial" w:cs="Arial"/>
                <w:sz w:val="18"/>
                <w:szCs w:val="18"/>
              </w:rPr>
              <w:t>[1]</w:t>
            </w:r>
          </w:p>
          <w:p w:rsidR="00B23F69" w:rsidRPr="00934B9D" w:rsidRDefault="00B23F69" w:rsidP="00425648">
            <w:pPr>
              <w:pStyle w:val="TableTextLeft"/>
              <w:rPr>
                <w:rFonts w:ascii="Arial" w:hAnsi="Arial" w:cs="Arial"/>
                <w:sz w:val="18"/>
                <w:szCs w:val="18"/>
              </w:rPr>
            </w:pPr>
            <w:r w:rsidRPr="00934B9D">
              <w:rPr>
                <w:rFonts w:ascii="Arial" w:hAnsi="Arial" w:cs="Arial"/>
                <w:sz w:val="18"/>
                <w:szCs w:val="18"/>
              </w:rPr>
              <w:t>2 Some people receive more than one types of therapy and/or services, hence sums of percentages of people receiving individual therapies and/or services may ex</w:t>
            </w:r>
            <w:r w:rsidR="00D32968">
              <w:rPr>
                <w:rFonts w:ascii="Arial" w:hAnsi="Arial" w:cs="Arial"/>
                <w:sz w:val="18"/>
                <w:szCs w:val="18"/>
              </w:rPr>
              <w:t>c</w:t>
            </w:r>
            <w:r w:rsidRPr="00934B9D">
              <w:rPr>
                <w:rFonts w:ascii="Arial" w:hAnsi="Arial" w:cs="Arial"/>
                <w:sz w:val="18"/>
                <w:szCs w:val="18"/>
              </w:rPr>
              <w:t>eed 100%</w:t>
            </w:r>
          </w:p>
          <w:p w:rsidR="00B23F69" w:rsidRPr="00934B9D" w:rsidRDefault="00B23F69" w:rsidP="00425648">
            <w:pPr>
              <w:pStyle w:val="TableTextLeft"/>
              <w:rPr>
                <w:rFonts w:ascii="Arial" w:hAnsi="Arial" w:cs="Arial"/>
                <w:sz w:val="18"/>
                <w:szCs w:val="18"/>
              </w:rPr>
            </w:pPr>
            <w:r w:rsidRPr="00934B9D">
              <w:rPr>
                <w:rFonts w:ascii="Arial" w:hAnsi="Arial" w:cs="Arial"/>
                <w:sz w:val="18"/>
                <w:szCs w:val="18"/>
              </w:rPr>
              <w:t>3 Includes community mental health centre, sheltered workshop, day activity centre and other day services.</w:t>
            </w:r>
          </w:p>
          <w:p w:rsidR="00B23F69" w:rsidRPr="00934B9D" w:rsidRDefault="00B23F69" w:rsidP="00425648">
            <w:pPr>
              <w:pStyle w:val="TableTextLeft"/>
              <w:rPr>
                <w:rFonts w:ascii="Arial" w:hAnsi="Arial" w:cs="Arial"/>
                <w:sz w:val="18"/>
                <w:szCs w:val="18"/>
              </w:rPr>
            </w:pPr>
            <w:r w:rsidRPr="00934B9D">
              <w:rPr>
                <w:rFonts w:ascii="Arial" w:hAnsi="Arial" w:cs="Arial"/>
                <w:sz w:val="18"/>
                <w:szCs w:val="18"/>
              </w:rPr>
              <w:t xml:space="preserve">ADHD: attention-deficit hyperactivity disorder; </w:t>
            </w:r>
            <w:proofErr w:type="spellStart"/>
            <w:r w:rsidRPr="00934B9D">
              <w:rPr>
                <w:rFonts w:ascii="Arial" w:hAnsi="Arial" w:cs="Arial"/>
                <w:sz w:val="18"/>
                <w:szCs w:val="18"/>
              </w:rPr>
              <w:t>AfC</w:t>
            </w:r>
            <w:proofErr w:type="spellEnd"/>
            <w:r w:rsidRPr="00934B9D">
              <w:rPr>
                <w:rFonts w:ascii="Arial" w:hAnsi="Arial" w:cs="Arial"/>
                <w:sz w:val="18"/>
                <w:szCs w:val="18"/>
              </w:rPr>
              <w:t>: agenda for change; BD: bipolar disorder; CBT: cognitive behavioural therapy; EMDR: Eye movement desensitisation and reprocessing; GP: general practitioner; IAPT: improving access to psychological therapies; LOS: length of stay; NHS: national health service; PWP: psychological wellbeing practitioner; SMI: severe mental illness</w:t>
            </w:r>
          </w:p>
        </w:tc>
      </w:tr>
    </w:tbl>
    <w:p w:rsidR="00B23F69" w:rsidRPr="00934B9D" w:rsidRDefault="00B23F69" w:rsidP="00425648">
      <w:pPr>
        <w:sectPr w:rsidR="00B23F69" w:rsidRPr="00934B9D" w:rsidSect="00425648">
          <w:pgSz w:w="16838" w:h="11906" w:orient="landscape"/>
          <w:pgMar w:top="1440" w:right="1440" w:bottom="1440" w:left="1440" w:header="709" w:footer="709" w:gutter="0"/>
          <w:cols w:space="708"/>
          <w:docGrid w:linePitch="360"/>
        </w:sectPr>
      </w:pPr>
    </w:p>
    <w:p w:rsidR="001C2601" w:rsidRPr="001C2601" w:rsidRDefault="001C2601">
      <w:pPr>
        <w:rPr>
          <w:rFonts w:ascii="Arial" w:hAnsi="Arial" w:cs="Arial"/>
          <w:b/>
          <w:sz w:val="24"/>
          <w:szCs w:val="24"/>
        </w:rPr>
      </w:pPr>
      <w:r w:rsidRPr="001C2601">
        <w:rPr>
          <w:rFonts w:ascii="Arial" w:hAnsi="Arial" w:cs="Arial"/>
          <w:b/>
          <w:sz w:val="24"/>
          <w:szCs w:val="24"/>
        </w:rPr>
        <w:lastRenderedPageBreak/>
        <w:t>References</w:t>
      </w:r>
    </w:p>
    <w:p w:rsidR="00010CA4" w:rsidRDefault="001C2601" w:rsidP="00010CA4">
      <w:pPr>
        <w:pStyle w:val="ListParagraph"/>
        <w:numPr>
          <w:ilvl w:val="0"/>
          <w:numId w:val="20"/>
        </w:numPr>
        <w:spacing w:line="480" w:lineRule="auto"/>
        <w:ind w:left="426" w:hanging="426"/>
        <w:rPr>
          <w:rFonts w:ascii="Arial" w:hAnsi="Arial" w:cs="Arial"/>
        </w:rPr>
      </w:pPr>
      <w:r w:rsidRPr="001C2601">
        <w:rPr>
          <w:rFonts w:ascii="Arial" w:hAnsi="Arial" w:cs="Arial"/>
        </w:rPr>
        <w:t xml:space="preserve">McManus S, </w:t>
      </w:r>
      <w:proofErr w:type="spellStart"/>
      <w:r w:rsidRPr="001C2601">
        <w:rPr>
          <w:rFonts w:ascii="Arial" w:hAnsi="Arial" w:cs="Arial"/>
        </w:rPr>
        <w:t>Bebbington</w:t>
      </w:r>
      <w:proofErr w:type="spellEnd"/>
      <w:r w:rsidRPr="001C2601">
        <w:rPr>
          <w:rFonts w:ascii="Arial" w:hAnsi="Arial" w:cs="Arial"/>
        </w:rPr>
        <w:t xml:space="preserve"> P, Jenkins R, </w:t>
      </w:r>
      <w:proofErr w:type="spellStart"/>
      <w:r w:rsidRPr="001C2601">
        <w:rPr>
          <w:rFonts w:ascii="Arial" w:hAnsi="Arial" w:cs="Arial"/>
        </w:rPr>
        <w:t>Brugha</w:t>
      </w:r>
      <w:proofErr w:type="spellEnd"/>
      <w:r w:rsidRPr="001C2601">
        <w:rPr>
          <w:rFonts w:ascii="Arial" w:hAnsi="Arial" w:cs="Arial"/>
        </w:rPr>
        <w:t xml:space="preserve"> T</w:t>
      </w:r>
      <w:r w:rsidR="007F1684">
        <w:rPr>
          <w:rFonts w:ascii="Arial" w:hAnsi="Arial" w:cs="Arial"/>
        </w:rPr>
        <w:t xml:space="preserve"> (</w:t>
      </w:r>
      <w:proofErr w:type="spellStart"/>
      <w:proofErr w:type="gramStart"/>
      <w:r w:rsidRPr="001C2601">
        <w:rPr>
          <w:rFonts w:ascii="Arial" w:hAnsi="Arial" w:cs="Arial"/>
        </w:rPr>
        <w:t>e</w:t>
      </w:r>
      <w:r w:rsidR="007F1684">
        <w:rPr>
          <w:rFonts w:ascii="Arial" w:hAnsi="Arial" w:cs="Arial"/>
        </w:rPr>
        <w:t>ds</w:t>
      </w:r>
      <w:proofErr w:type="spellEnd"/>
      <w:proofErr w:type="gramEnd"/>
      <w:r w:rsidR="007F1684">
        <w:rPr>
          <w:rFonts w:ascii="Arial" w:hAnsi="Arial" w:cs="Arial"/>
        </w:rPr>
        <w:t>)</w:t>
      </w:r>
      <w:r w:rsidRPr="001C2601">
        <w:rPr>
          <w:rFonts w:ascii="Arial" w:hAnsi="Arial" w:cs="Arial"/>
        </w:rPr>
        <w:t>. Mental health and wellbeing in England: Adult Psychiatric Morbidity Survey 201</w:t>
      </w:r>
      <w:r w:rsidR="007F1684">
        <w:rPr>
          <w:rFonts w:ascii="Arial" w:hAnsi="Arial" w:cs="Arial"/>
        </w:rPr>
        <w:t>4. Leeds: NHS Digital; 2016</w:t>
      </w:r>
      <w:r w:rsidRPr="001C2601">
        <w:rPr>
          <w:rFonts w:ascii="Arial" w:hAnsi="Arial" w:cs="Arial"/>
        </w:rPr>
        <w:t>.</w:t>
      </w:r>
    </w:p>
    <w:p w:rsidR="001C2601" w:rsidRPr="00010CA4" w:rsidRDefault="001C2601" w:rsidP="00010CA4">
      <w:pPr>
        <w:pStyle w:val="ListParagraph"/>
        <w:numPr>
          <w:ilvl w:val="0"/>
          <w:numId w:val="20"/>
        </w:numPr>
        <w:spacing w:line="480" w:lineRule="auto"/>
        <w:ind w:left="426" w:hanging="426"/>
        <w:rPr>
          <w:rFonts w:ascii="Arial" w:hAnsi="Arial" w:cs="Arial"/>
        </w:rPr>
      </w:pPr>
      <w:r w:rsidRPr="00010CA4">
        <w:rPr>
          <w:rFonts w:ascii="Arial" w:hAnsi="Arial" w:cs="Arial"/>
        </w:rPr>
        <w:t>NHS Digital</w:t>
      </w:r>
      <w:r w:rsidR="00010CA4" w:rsidRPr="00010CA4">
        <w:rPr>
          <w:rFonts w:ascii="Arial" w:hAnsi="Arial" w:cs="Arial"/>
        </w:rPr>
        <w:t>, Community and Mental Health Team</w:t>
      </w:r>
      <w:r w:rsidRPr="00010CA4">
        <w:rPr>
          <w:rFonts w:ascii="Arial" w:hAnsi="Arial" w:cs="Arial"/>
        </w:rPr>
        <w:t>. Psychological Therapies: Annual report on the use of IAPT services. England</w:t>
      </w:r>
      <w:r w:rsidR="00010CA4" w:rsidRPr="00010CA4">
        <w:rPr>
          <w:rFonts w:ascii="Arial" w:hAnsi="Arial" w:cs="Arial"/>
        </w:rPr>
        <w:t xml:space="preserve">, 2015-16. </w:t>
      </w:r>
      <w:r w:rsidR="00010CA4">
        <w:rPr>
          <w:rFonts w:ascii="Arial" w:hAnsi="Arial" w:cs="Arial"/>
        </w:rPr>
        <w:t xml:space="preserve">NHS Digital; </w:t>
      </w:r>
      <w:r w:rsidR="00010CA4" w:rsidRPr="00010CA4">
        <w:rPr>
          <w:rFonts w:ascii="Arial" w:hAnsi="Arial" w:cs="Arial"/>
        </w:rPr>
        <w:t>2016.</w:t>
      </w:r>
    </w:p>
    <w:p w:rsidR="001C2601" w:rsidRDefault="00010CA4" w:rsidP="001C2601">
      <w:pPr>
        <w:pStyle w:val="ListParagraph"/>
        <w:numPr>
          <w:ilvl w:val="0"/>
          <w:numId w:val="20"/>
        </w:numPr>
        <w:spacing w:line="480" w:lineRule="auto"/>
        <w:ind w:left="426" w:hanging="426"/>
        <w:rPr>
          <w:rFonts w:ascii="Arial" w:hAnsi="Arial" w:cs="Arial"/>
        </w:rPr>
      </w:pPr>
      <w:r>
        <w:rPr>
          <w:rFonts w:ascii="Arial" w:hAnsi="Arial" w:cs="Arial"/>
        </w:rPr>
        <w:t xml:space="preserve">NHS </w:t>
      </w:r>
      <w:r w:rsidR="001C2601" w:rsidRPr="001C2601">
        <w:rPr>
          <w:rFonts w:ascii="Arial" w:hAnsi="Arial" w:cs="Arial"/>
        </w:rPr>
        <w:t>Digital. Hospital Episode Statistics for England. Admitted Patient Care statist</w:t>
      </w:r>
      <w:r>
        <w:rPr>
          <w:rFonts w:ascii="Arial" w:hAnsi="Arial" w:cs="Arial"/>
        </w:rPr>
        <w:t>ics, 2016-17. NHS Digital; 2017.</w:t>
      </w:r>
    </w:p>
    <w:p w:rsidR="007F1684" w:rsidRDefault="001C2601" w:rsidP="007F1684">
      <w:pPr>
        <w:pStyle w:val="ListParagraph"/>
        <w:numPr>
          <w:ilvl w:val="0"/>
          <w:numId w:val="20"/>
        </w:numPr>
        <w:spacing w:line="480" w:lineRule="auto"/>
        <w:ind w:left="426" w:hanging="426"/>
        <w:rPr>
          <w:rFonts w:ascii="Arial" w:hAnsi="Arial" w:cs="Arial"/>
        </w:rPr>
      </w:pPr>
      <w:proofErr w:type="spellStart"/>
      <w:r w:rsidRPr="001C2601">
        <w:rPr>
          <w:rFonts w:ascii="Arial" w:hAnsi="Arial" w:cs="Arial"/>
        </w:rPr>
        <w:t>Kontopantelis</w:t>
      </w:r>
      <w:proofErr w:type="spellEnd"/>
      <w:r w:rsidRPr="001C2601">
        <w:rPr>
          <w:rFonts w:ascii="Arial" w:hAnsi="Arial" w:cs="Arial"/>
        </w:rPr>
        <w:t xml:space="preserve"> E, </w:t>
      </w:r>
      <w:proofErr w:type="spellStart"/>
      <w:r w:rsidRPr="001C2601">
        <w:rPr>
          <w:rFonts w:ascii="Arial" w:hAnsi="Arial" w:cs="Arial"/>
        </w:rPr>
        <w:t>Olier</w:t>
      </w:r>
      <w:proofErr w:type="spellEnd"/>
      <w:r w:rsidRPr="001C2601">
        <w:rPr>
          <w:rFonts w:ascii="Arial" w:hAnsi="Arial" w:cs="Arial"/>
        </w:rPr>
        <w:t xml:space="preserve"> I, Planner C, Reeves D, Ashcroft DM, </w:t>
      </w:r>
      <w:proofErr w:type="spellStart"/>
      <w:r w:rsidRPr="001C2601">
        <w:rPr>
          <w:rFonts w:ascii="Arial" w:hAnsi="Arial" w:cs="Arial"/>
        </w:rPr>
        <w:t>Gask</w:t>
      </w:r>
      <w:proofErr w:type="spellEnd"/>
      <w:r w:rsidRPr="001C2601">
        <w:rPr>
          <w:rFonts w:ascii="Arial" w:hAnsi="Arial" w:cs="Arial"/>
        </w:rPr>
        <w:t xml:space="preserve"> L, et al. Primary care consultation rates among people with and without severe mental illness: a UK cohort study using the Clinical Pract</w:t>
      </w:r>
      <w:r w:rsidR="007F1684">
        <w:rPr>
          <w:rFonts w:ascii="Arial" w:hAnsi="Arial" w:cs="Arial"/>
        </w:rPr>
        <w:t>ice Research Datalink. BMJ Open</w:t>
      </w:r>
      <w:r w:rsidRPr="001C2601">
        <w:rPr>
          <w:rFonts w:ascii="Arial" w:hAnsi="Arial" w:cs="Arial"/>
        </w:rPr>
        <w:t xml:space="preserve"> 2015</w:t>
      </w:r>
      <w:proofErr w:type="gramStart"/>
      <w:r w:rsidRPr="001C2601">
        <w:rPr>
          <w:rFonts w:ascii="Arial" w:hAnsi="Arial" w:cs="Arial"/>
        </w:rPr>
        <w:t>;5</w:t>
      </w:r>
      <w:proofErr w:type="gramEnd"/>
      <w:r w:rsidRPr="001C2601">
        <w:rPr>
          <w:rFonts w:ascii="Arial" w:hAnsi="Arial" w:cs="Arial"/>
        </w:rPr>
        <w:t>(12):</w:t>
      </w:r>
      <w:r w:rsidR="007F1684">
        <w:rPr>
          <w:rFonts w:ascii="Arial" w:hAnsi="Arial" w:cs="Arial"/>
        </w:rPr>
        <w:t xml:space="preserve"> </w:t>
      </w:r>
      <w:r w:rsidRPr="001C2601">
        <w:rPr>
          <w:rFonts w:ascii="Arial" w:hAnsi="Arial" w:cs="Arial"/>
        </w:rPr>
        <w:t xml:space="preserve">e008650. </w:t>
      </w:r>
    </w:p>
    <w:p w:rsidR="001C2601" w:rsidRPr="007F1684" w:rsidRDefault="001C2601" w:rsidP="007F1684">
      <w:pPr>
        <w:pStyle w:val="ListParagraph"/>
        <w:numPr>
          <w:ilvl w:val="0"/>
          <w:numId w:val="20"/>
        </w:numPr>
        <w:spacing w:line="480" w:lineRule="auto"/>
        <w:ind w:left="426" w:hanging="426"/>
        <w:rPr>
          <w:rFonts w:ascii="Arial" w:hAnsi="Arial" w:cs="Arial"/>
        </w:rPr>
      </w:pPr>
      <w:r w:rsidRPr="007F1684">
        <w:rPr>
          <w:rFonts w:ascii="Arial" w:hAnsi="Arial" w:cs="Arial"/>
        </w:rPr>
        <w:t xml:space="preserve">Curtis L, Burns A. Unit Costs of Health &amp; Social Care 2017. Canterbury: </w:t>
      </w:r>
      <w:r w:rsidR="007F1684" w:rsidRPr="007F1684">
        <w:rPr>
          <w:rFonts w:ascii="Arial" w:hAnsi="Arial" w:cs="Arial"/>
        </w:rPr>
        <w:t>PSSRU, University of Kent;</w:t>
      </w:r>
      <w:r w:rsidRPr="007F1684">
        <w:rPr>
          <w:rFonts w:ascii="Arial" w:hAnsi="Arial" w:cs="Arial"/>
        </w:rPr>
        <w:t xml:space="preserve"> 2017.</w:t>
      </w:r>
    </w:p>
    <w:p w:rsidR="007F1684" w:rsidRDefault="00010CA4" w:rsidP="007F1684">
      <w:pPr>
        <w:pStyle w:val="ListParagraph"/>
        <w:numPr>
          <w:ilvl w:val="0"/>
          <w:numId w:val="20"/>
        </w:numPr>
        <w:spacing w:line="480" w:lineRule="auto"/>
        <w:ind w:left="426" w:hanging="426"/>
        <w:rPr>
          <w:rFonts w:ascii="Arial" w:hAnsi="Arial" w:cs="Arial"/>
        </w:rPr>
      </w:pPr>
      <w:r>
        <w:rPr>
          <w:rFonts w:ascii="Arial" w:hAnsi="Arial" w:cs="Arial"/>
        </w:rPr>
        <w:t>NHS Improvement</w:t>
      </w:r>
      <w:r w:rsidR="001C2601" w:rsidRPr="001C2601">
        <w:rPr>
          <w:rFonts w:ascii="Arial" w:hAnsi="Arial" w:cs="Arial"/>
        </w:rPr>
        <w:t>. National Schedule of Reference Costs, 2016-17</w:t>
      </w:r>
      <w:r>
        <w:rPr>
          <w:rFonts w:ascii="Arial" w:hAnsi="Arial" w:cs="Arial"/>
        </w:rPr>
        <w:t>.</w:t>
      </w:r>
      <w:r w:rsidR="001C2601" w:rsidRPr="001C2601">
        <w:rPr>
          <w:rFonts w:ascii="Arial" w:hAnsi="Arial" w:cs="Arial"/>
        </w:rPr>
        <w:t xml:space="preserve"> NHS trusts and NHS foundation trusts. </w:t>
      </w:r>
      <w:r>
        <w:rPr>
          <w:rFonts w:ascii="Arial" w:hAnsi="Arial" w:cs="Arial"/>
        </w:rPr>
        <w:t xml:space="preserve">NHS Improvement; 2017. </w:t>
      </w:r>
      <w:r w:rsidR="001C2601" w:rsidRPr="001C2601">
        <w:rPr>
          <w:rFonts w:ascii="Arial" w:hAnsi="Arial" w:cs="Arial"/>
        </w:rPr>
        <w:t xml:space="preserve">Available: </w:t>
      </w:r>
      <w:hyperlink r:id="rId8" w:history="1">
        <w:r w:rsidRPr="00A12B2C">
          <w:rPr>
            <w:rStyle w:val="Hyperlink"/>
            <w:rFonts w:ascii="Arial" w:hAnsi="Arial" w:cs="Arial"/>
          </w:rPr>
          <w:t>https://improvement.nhs.uk/resources/reference-costs/</w:t>
        </w:r>
      </w:hyperlink>
      <w:r>
        <w:rPr>
          <w:rFonts w:ascii="Arial" w:hAnsi="Arial" w:cs="Arial"/>
        </w:rPr>
        <w:t xml:space="preserve"> </w:t>
      </w:r>
    </w:p>
    <w:p w:rsidR="007F1684" w:rsidRPr="007F1684" w:rsidRDefault="001C2601" w:rsidP="007F1684">
      <w:pPr>
        <w:pStyle w:val="ListParagraph"/>
        <w:numPr>
          <w:ilvl w:val="0"/>
          <w:numId w:val="20"/>
        </w:numPr>
        <w:spacing w:line="480" w:lineRule="auto"/>
        <w:ind w:left="426" w:hanging="426"/>
        <w:rPr>
          <w:rFonts w:ascii="Arial" w:hAnsi="Arial" w:cs="Arial"/>
        </w:rPr>
      </w:pPr>
      <w:r w:rsidRPr="007F1684">
        <w:rPr>
          <w:rFonts w:ascii="Arial" w:hAnsi="Arial" w:cs="Arial"/>
        </w:rPr>
        <w:t>NHS Business Services Authority</w:t>
      </w:r>
      <w:r w:rsidR="007F1684" w:rsidRPr="007F1684">
        <w:rPr>
          <w:rFonts w:ascii="Arial" w:hAnsi="Arial" w:cs="Arial"/>
        </w:rPr>
        <w:t>, NHS Prescription Services</w:t>
      </w:r>
      <w:r w:rsidRPr="007F1684">
        <w:rPr>
          <w:rFonts w:ascii="Arial" w:hAnsi="Arial" w:cs="Arial"/>
        </w:rPr>
        <w:t>. NHS England and Wales. Electronic Drug Tariff.  Issue: March 2018. Compiled on the behalf of the Depa</w:t>
      </w:r>
      <w:r w:rsidR="007F1684">
        <w:rPr>
          <w:rFonts w:ascii="Arial" w:hAnsi="Arial" w:cs="Arial"/>
        </w:rPr>
        <w:t>rtment of Health; 2018. Available</w:t>
      </w:r>
      <w:r w:rsidRPr="007F1684">
        <w:rPr>
          <w:rFonts w:ascii="Arial" w:hAnsi="Arial" w:cs="Arial"/>
        </w:rPr>
        <w:t xml:space="preserve">: </w:t>
      </w:r>
      <w:hyperlink r:id="rId9" w:history="1">
        <w:r w:rsidR="007F1684" w:rsidRPr="00A12B2C">
          <w:rPr>
            <w:rStyle w:val="Hyperlink"/>
            <w:rFonts w:ascii="Arial" w:hAnsi="Arial" w:cs="Arial"/>
          </w:rPr>
          <w:t>https://www.nhsbsa.nhs.uk/pharmacies-gp-practices-and-appliance-contractors/drug-tariff</w:t>
        </w:r>
      </w:hyperlink>
      <w:r w:rsidR="007F1684">
        <w:rPr>
          <w:rFonts w:ascii="Arial" w:hAnsi="Arial" w:cs="Arial"/>
        </w:rPr>
        <w:t xml:space="preserve"> </w:t>
      </w:r>
    </w:p>
    <w:p w:rsidR="001C2601" w:rsidRPr="007F1684" w:rsidRDefault="001C2601" w:rsidP="007F1684">
      <w:pPr>
        <w:pStyle w:val="ListParagraph"/>
        <w:numPr>
          <w:ilvl w:val="0"/>
          <w:numId w:val="20"/>
        </w:numPr>
        <w:spacing w:line="480" w:lineRule="auto"/>
        <w:ind w:left="426" w:hanging="426"/>
        <w:rPr>
          <w:rFonts w:ascii="Arial" w:hAnsi="Arial" w:cs="Arial"/>
        </w:rPr>
      </w:pPr>
      <w:proofErr w:type="spellStart"/>
      <w:r w:rsidRPr="007F1684">
        <w:rPr>
          <w:rFonts w:ascii="Arial" w:hAnsi="Arial" w:cs="Arial"/>
        </w:rPr>
        <w:t>Netten</w:t>
      </w:r>
      <w:proofErr w:type="spellEnd"/>
      <w:r w:rsidRPr="007F1684">
        <w:rPr>
          <w:rFonts w:ascii="Arial" w:hAnsi="Arial" w:cs="Arial"/>
        </w:rPr>
        <w:t xml:space="preserve"> A, Knight J, Dennett J, Cooley R, Slight A. Development of a ready reckoner for staff costs in the NHS, </w:t>
      </w:r>
      <w:proofErr w:type="spellStart"/>
      <w:r w:rsidRPr="007F1684">
        <w:rPr>
          <w:rFonts w:ascii="Arial" w:hAnsi="Arial" w:cs="Arial"/>
        </w:rPr>
        <w:t>Vols</w:t>
      </w:r>
      <w:proofErr w:type="spellEnd"/>
      <w:r w:rsidRPr="007F1684">
        <w:rPr>
          <w:rFonts w:ascii="Arial" w:hAnsi="Arial" w:cs="Arial"/>
        </w:rPr>
        <w:t xml:space="preserve"> 1 &amp; 2. Canterbury:</w:t>
      </w:r>
      <w:r w:rsidR="007F1684" w:rsidRPr="007F1684">
        <w:rPr>
          <w:rFonts w:ascii="Arial" w:hAnsi="Arial" w:cs="Arial"/>
        </w:rPr>
        <w:t xml:space="preserve"> PSSRU, University of Kent; 1998</w:t>
      </w:r>
      <w:r w:rsidRPr="007F1684">
        <w:rPr>
          <w:rFonts w:ascii="Arial" w:hAnsi="Arial" w:cs="Arial"/>
        </w:rPr>
        <w:t>.</w:t>
      </w:r>
    </w:p>
    <w:p w:rsidR="00FE36CE" w:rsidRDefault="00FE36CE" w:rsidP="001D054E">
      <w:pPr>
        <w:tabs>
          <w:tab w:val="left" w:pos="0"/>
        </w:tabs>
        <w:spacing w:after="0" w:line="480" w:lineRule="auto"/>
        <w:ind w:left="720" w:hanging="720"/>
        <w:rPr>
          <w:rFonts w:ascii="Arial" w:hAnsi="Arial" w:cs="Arial"/>
          <w:noProof/>
        </w:rPr>
      </w:pPr>
    </w:p>
    <w:p w:rsidR="00EC2EF7" w:rsidRDefault="004C74B5" w:rsidP="009035E3">
      <w:r>
        <w:fldChar w:fldCharType="begin"/>
      </w:r>
      <w:r>
        <w:instrText xml:space="preserve"> ADDIN EN.REFLIST </w:instrText>
      </w:r>
      <w:r>
        <w:fldChar w:fldCharType="end"/>
      </w:r>
    </w:p>
    <w:sectPr w:rsidR="00EC2EF7" w:rsidSect="0042564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44CF" w:rsidRDefault="00F244CF">
      <w:pPr>
        <w:spacing w:after="0" w:line="240" w:lineRule="auto"/>
      </w:pPr>
      <w:r>
        <w:separator/>
      </w:r>
    </w:p>
  </w:endnote>
  <w:endnote w:type="continuationSeparator" w:id="0">
    <w:p w:rsidR="00F244CF" w:rsidRDefault="00F244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Dotum">
    <w:altName w:val="돋움"/>
    <w:panose1 w:val="020B0600000101010101"/>
    <w:charset w:val="81"/>
    <w:family w:val="modern"/>
    <w:notTrueType/>
    <w:pitch w:val="fixed"/>
    <w:sig w:usb0="00000001" w:usb1="09060000" w:usb2="00000010" w:usb3="00000000" w:csb0="00080000" w:csb1="00000000"/>
  </w:font>
  <w:font w:name="(none)">
    <w:altName w:val="Times New Roman"/>
    <w:panose1 w:val="00000000000000000000"/>
    <w:charset w:val="00"/>
    <w:family w:val="auto"/>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6152412"/>
      <w:docPartObj>
        <w:docPartGallery w:val="Page Numbers (Bottom of Page)"/>
        <w:docPartUnique/>
      </w:docPartObj>
    </w:sdtPr>
    <w:sdtEndPr>
      <w:rPr>
        <w:noProof/>
      </w:rPr>
    </w:sdtEndPr>
    <w:sdtContent>
      <w:p w:rsidR="00C3377D" w:rsidRDefault="00C3377D">
        <w:pPr>
          <w:pStyle w:val="Footer"/>
          <w:jc w:val="right"/>
        </w:pPr>
        <w:r>
          <w:fldChar w:fldCharType="begin"/>
        </w:r>
        <w:r>
          <w:instrText xml:space="preserve"> PAGE   \* MERGEFORMAT </w:instrText>
        </w:r>
        <w:r>
          <w:fldChar w:fldCharType="separate"/>
        </w:r>
        <w:r w:rsidR="00A26113">
          <w:rPr>
            <w:noProof/>
          </w:rPr>
          <w:t>6</w:t>
        </w:r>
        <w:r>
          <w:rPr>
            <w:noProof/>
          </w:rPr>
          <w:fldChar w:fldCharType="end"/>
        </w:r>
      </w:p>
    </w:sdtContent>
  </w:sdt>
  <w:p w:rsidR="00C3377D" w:rsidRDefault="00C337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44CF" w:rsidRDefault="00F244CF">
      <w:pPr>
        <w:spacing w:after="0" w:line="240" w:lineRule="auto"/>
      </w:pPr>
      <w:r>
        <w:separator/>
      </w:r>
    </w:p>
  </w:footnote>
  <w:footnote w:type="continuationSeparator" w:id="0">
    <w:p w:rsidR="00F244CF" w:rsidRDefault="00F244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20BE5"/>
    <w:multiLevelType w:val="multilevel"/>
    <w:tmpl w:val="E6168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5F2B4A"/>
    <w:multiLevelType w:val="hybridMultilevel"/>
    <w:tmpl w:val="EC2C0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A704A9"/>
    <w:multiLevelType w:val="hybridMultilevel"/>
    <w:tmpl w:val="056E98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7B37E7"/>
    <w:multiLevelType w:val="hybridMultilevel"/>
    <w:tmpl w:val="5CF6D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4410A7"/>
    <w:multiLevelType w:val="hybridMultilevel"/>
    <w:tmpl w:val="E44254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CA6A0C"/>
    <w:multiLevelType w:val="hybridMultilevel"/>
    <w:tmpl w:val="2BF2576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34489C"/>
    <w:multiLevelType w:val="multilevel"/>
    <w:tmpl w:val="164473B8"/>
    <w:lvl w:ilvl="0">
      <w:start w:val="8"/>
      <w:numFmt w:val="upperLetter"/>
      <w:lvlText w:val="Appendix %1:"/>
      <w:lvlJc w:val="left"/>
      <w:pPr>
        <w:tabs>
          <w:tab w:val="num" w:pos="283"/>
        </w:tabs>
        <w:ind w:left="0" w:firstLine="0"/>
      </w:pPr>
      <w:rPr>
        <w:rFonts w:asciiTheme="majorHAnsi" w:hAnsiTheme="majorHAnsi" w:cstheme="majorHAnsi" w:hint="default"/>
        <w:b/>
        <w:color w:val="000000"/>
        <w:sz w:val="44"/>
      </w:rPr>
    </w:lvl>
    <w:lvl w:ilvl="1">
      <w:start w:val="1"/>
      <w:numFmt w:val="decimal"/>
      <w:lvlText w:val="%1.%2"/>
      <w:lvlJc w:val="right"/>
      <w:pPr>
        <w:tabs>
          <w:tab w:val="num" w:pos="0"/>
        </w:tabs>
        <w:ind w:left="0" w:hanging="284"/>
      </w:pPr>
      <w:rPr>
        <w:rFonts w:asciiTheme="majorHAnsi" w:hAnsiTheme="majorHAnsi" w:cstheme="majorHAnsi" w:hint="default"/>
        <w:b/>
        <w:color w:val="000000"/>
        <w:sz w:val="32"/>
      </w:rPr>
    </w:lvl>
    <w:lvl w:ilvl="2">
      <w:start w:val="1"/>
      <w:numFmt w:val="decimal"/>
      <w:lvlText w:val="%1.%2.%3"/>
      <w:lvlJc w:val="right"/>
      <w:pPr>
        <w:tabs>
          <w:tab w:val="num" w:pos="0"/>
        </w:tabs>
        <w:ind w:left="0" w:hanging="284"/>
      </w:pPr>
      <w:rPr>
        <w:rFonts w:asciiTheme="majorHAnsi" w:hAnsiTheme="majorHAnsi" w:cstheme="majorHAnsi" w:hint="default"/>
        <w:b/>
        <w:color w:val="000000"/>
        <w:sz w:val="24"/>
      </w:rPr>
    </w:lvl>
    <w:lvl w:ilvl="3">
      <w:start w:val="1"/>
      <w:numFmt w:val="decimal"/>
      <w:lvlText w:val="%1.%2.%3.%4"/>
      <w:lvlJc w:val="right"/>
      <w:pPr>
        <w:tabs>
          <w:tab w:val="num" w:pos="0"/>
        </w:tabs>
        <w:ind w:left="0" w:hanging="284"/>
      </w:pPr>
      <w:rPr>
        <w:rFonts w:asciiTheme="majorHAnsi" w:hAnsiTheme="majorHAnsi" w:cstheme="majorHAnsi" w:hint="default"/>
        <w:b/>
        <w:color w:val="000000"/>
        <w:sz w:val="2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2D3B71D6"/>
    <w:multiLevelType w:val="hybridMultilevel"/>
    <w:tmpl w:val="1F22D7E6"/>
    <w:lvl w:ilvl="0" w:tplc="51465CB6">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6F34D44"/>
    <w:multiLevelType w:val="hybridMultilevel"/>
    <w:tmpl w:val="7D34C4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3684021"/>
    <w:multiLevelType w:val="hybridMultilevel"/>
    <w:tmpl w:val="C17E8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0744BE"/>
    <w:multiLevelType w:val="multilevel"/>
    <w:tmpl w:val="56B60502"/>
    <w:lvl w:ilvl="0">
      <w:start w:val="1"/>
      <w:numFmt w:val="bullet"/>
      <w:pStyle w:val="Bullet1"/>
      <w:lvlText w:val=""/>
      <w:lvlJc w:val="left"/>
      <w:pPr>
        <w:tabs>
          <w:tab w:val="num" w:pos="0"/>
        </w:tabs>
        <w:ind w:left="284" w:hanging="284"/>
      </w:pPr>
      <w:rPr>
        <w:rFonts w:ascii="Symbol" w:hAnsi="Symbol" w:hint="default"/>
      </w:rPr>
    </w:lvl>
    <w:lvl w:ilvl="1">
      <w:start w:val="1"/>
      <w:numFmt w:val="bullet"/>
      <w:pStyle w:val="Bullet2"/>
      <w:lvlText w:val="o"/>
      <w:lvlJc w:val="left"/>
      <w:pPr>
        <w:tabs>
          <w:tab w:val="num" w:pos="567"/>
        </w:tabs>
        <w:ind w:left="567" w:hanging="283"/>
      </w:pPr>
      <w:rPr>
        <w:rFonts w:ascii="Courier New" w:eastAsia="Dotum" w:hAnsi="Courier New" w:cs="Courier New" w:hint="default"/>
      </w:rPr>
    </w:lvl>
    <w:lvl w:ilvl="2">
      <w:start w:val="1"/>
      <w:numFmt w:val="bullet"/>
      <w:pStyle w:val="Bullet3"/>
      <w:lvlText w:val="–"/>
      <w:lvlJc w:val="left"/>
      <w:pPr>
        <w:tabs>
          <w:tab w:val="num" w:pos="851"/>
        </w:tabs>
        <w:ind w:left="851" w:hanging="284"/>
      </w:pPr>
      <w:rPr>
        <w:rFonts w:ascii="(none)" w:hAnsi="(none)" w:hint="default"/>
      </w:rPr>
    </w:lvl>
    <w:lvl w:ilvl="3">
      <w:start w:val="1"/>
      <w:numFmt w:val="bullet"/>
      <w:lvlText w:val=""/>
      <w:lvlJc w:val="left"/>
      <w:pPr>
        <w:tabs>
          <w:tab w:val="num" w:pos="0"/>
        </w:tabs>
        <w:ind w:left="1588" w:hanging="397"/>
      </w:pPr>
      <w:rPr>
        <w:rFonts w:ascii="Symbol" w:hAnsi="Symbol" w:cs="Times New Roman" w:hint="default"/>
      </w:rPr>
    </w:lvl>
    <w:lvl w:ilvl="4">
      <w:start w:val="1"/>
      <w:numFmt w:val="bullet"/>
      <w:lvlText w:val="o"/>
      <w:lvlJc w:val="left"/>
      <w:pPr>
        <w:tabs>
          <w:tab w:val="num" w:pos="0"/>
        </w:tabs>
        <w:ind w:left="1985" w:hanging="397"/>
      </w:pPr>
      <w:rPr>
        <w:rFonts w:ascii="Courier New" w:hAnsi="Courier New" w:cs="Courier New" w:hint="default"/>
      </w:rPr>
    </w:lvl>
    <w:lvl w:ilvl="5">
      <w:start w:val="1"/>
      <w:numFmt w:val="bullet"/>
      <w:lvlText w:val=""/>
      <w:lvlJc w:val="left"/>
      <w:pPr>
        <w:tabs>
          <w:tab w:val="num" w:pos="0"/>
        </w:tabs>
        <w:ind w:left="2382" w:hanging="397"/>
      </w:pPr>
      <w:rPr>
        <w:rFonts w:ascii="Wingdings" w:hAnsi="Wingdings" w:hint="default"/>
      </w:rPr>
    </w:lvl>
    <w:lvl w:ilvl="6">
      <w:start w:val="1"/>
      <w:numFmt w:val="bullet"/>
      <w:lvlText w:val=""/>
      <w:lvlJc w:val="left"/>
      <w:pPr>
        <w:tabs>
          <w:tab w:val="num" w:pos="0"/>
        </w:tabs>
        <w:ind w:left="2779" w:hanging="397"/>
      </w:pPr>
      <w:rPr>
        <w:rFonts w:ascii="Symbol" w:hAnsi="Symbol" w:hint="default"/>
      </w:rPr>
    </w:lvl>
    <w:lvl w:ilvl="7">
      <w:start w:val="1"/>
      <w:numFmt w:val="bullet"/>
      <w:lvlText w:val="o"/>
      <w:lvlJc w:val="left"/>
      <w:pPr>
        <w:tabs>
          <w:tab w:val="num" w:pos="0"/>
        </w:tabs>
        <w:ind w:left="3176" w:hanging="397"/>
      </w:pPr>
      <w:rPr>
        <w:rFonts w:ascii="Courier New" w:hAnsi="Courier New" w:cs="Courier New" w:hint="default"/>
      </w:rPr>
    </w:lvl>
    <w:lvl w:ilvl="8">
      <w:start w:val="1"/>
      <w:numFmt w:val="bullet"/>
      <w:lvlText w:val=""/>
      <w:lvlJc w:val="left"/>
      <w:pPr>
        <w:tabs>
          <w:tab w:val="num" w:pos="0"/>
        </w:tabs>
        <w:ind w:left="3573" w:hanging="397"/>
      </w:pPr>
      <w:rPr>
        <w:rFonts w:ascii="Wingdings" w:hAnsi="Wingdings" w:hint="default"/>
      </w:rPr>
    </w:lvl>
  </w:abstractNum>
  <w:abstractNum w:abstractNumId="11" w15:restartNumberingAfterBreak="0">
    <w:nsid w:val="4D237427"/>
    <w:multiLevelType w:val="multilevel"/>
    <w:tmpl w:val="C0B8F566"/>
    <w:styleLink w:val="TableNoteList"/>
    <w:lvl w:ilvl="0">
      <w:start w:val="1"/>
      <w:numFmt w:val="lowerLetter"/>
      <w:lvlText w:val="%1)"/>
      <w:lvlJc w:val="left"/>
      <w:pPr>
        <w:tabs>
          <w:tab w:val="num" w:pos="397"/>
        </w:tabs>
        <w:ind w:left="397" w:hanging="39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E46252F"/>
    <w:multiLevelType w:val="hybridMultilevel"/>
    <w:tmpl w:val="7576BFE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F95CA0"/>
    <w:multiLevelType w:val="hybridMultilevel"/>
    <w:tmpl w:val="7012E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5BB70A1"/>
    <w:multiLevelType w:val="hybridMultilevel"/>
    <w:tmpl w:val="2C4CBD06"/>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5" w15:restartNumberingAfterBreak="0">
    <w:nsid w:val="675046D4"/>
    <w:multiLevelType w:val="hybridMultilevel"/>
    <w:tmpl w:val="D93C58E2"/>
    <w:lvl w:ilvl="0" w:tplc="24D8D54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BBF50CA"/>
    <w:multiLevelType w:val="hybridMultilevel"/>
    <w:tmpl w:val="1944C7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20633C0"/>
    <w:multiLevelType w:val="hybridMultilevel"/>
    <w:tmpl w:val="FF9C9DDE"/>
    <w:lvl w:ilvl="0" w:tplc="D9AAC65A">
      <w:start w:val="1"/>
      <w:numFmt w:val="bullet"/>
      <w:lvlText w:val="•"/>
      <w:lvlJc w:val="left"/>
      <w:pPr>
        <w:tabs>
          <w:tab w:val="num" w:pos="720"/>
        </w:tabs>
        <w:ind w:left="720" w:hanging="360"/>
      </w:pPr>
      <w:rPr>
        <w:rFonts w:ascii="Arial" w:hAnsi="Arial" w:hint="default"/>
      </w:rPr>
    </w:lvl>
    <w:lvl w:ilvl="1" w:tplc="E376B98E" w:tentative="1">
      <w:start w:val="1"/>
      <w:numFmt w:val="bullet"/>
      <w:lvlText w:val="•"/>
      <w:lvlJc w:val="left"/>
      <w:pPr>
        <w:tabs>
          <w:tab w:val="num" w:pos="1440"/>
        </w:tabs>
        <w:ind w:left="1440" w:hanging="360"/>
      </w:pPr>
      <w:rPr>
        <w:rFonts w:ascii="Arial" w:hAnsi="Arial" w:hint="default"/>
      </w:rPr>
    </w:lvl>
    <w:lvl w:ilvl="2" w:tplc="2CA06966" w:tentative="1">
      <w:start w:val="1"/>
      <w:numFmt w:val="bullet"/>
      <w:lvlText w:val="•"/>
      <w:lvlJc w:val="left"/>
      <w:pPr>
        <w:tabs>
          <w:tab w:val="num" w:pos="2160"/>
        </w:tabs>
        <w:ind w:left="2160" w:hanging="360"/>
      </w:pPr>
      <w:rPr>
        <w:rFonts w:ascii="Arial" w:hAnsi="Arial" w:hint="default"/>
      </w:rPr>
    </w:lvl>
    <w:lvl w:ilvl="3" w:tplc="0FB2913E" w:tentative="1">
      <w:start w:val="1"/>
      <w:numFmt w:val="bullet"/>
      <w:lvlText w:val="•"/>
      <w:lvlJc w:val="left"/>
      <w:pPr>
        <w:tabs>
          <w:tab w:val="num" w:pos="2880"/>
        </w:tabs>
        <w:ind w:left="2880" w:hanging="360"/>
      </w:pPr>
      <w:rPr>
        <w:rFonts w:ascii="Arial" w:hAnsi="Arial" w:hint="default"/>
      </w:rPr>
    </w:lvl>
    <w:lvl w:ilvl="4" w:tplc="89A061D8" w:tentative="1">
      <w:start w:val="1"/>
      <w:numFmt w:val="bullet"/>
      <w:lvlText w:val="•"/>
      <w:lvlJc w:val="left"/>
      <w:pPr>
        <w:tabs>
          <w:tab w:val="num" w:pos="3600"/>
        </w:tabs>
        <w:ind w:left="3600" w:hanging="360"/>
      </w:pPr>
      <w:rPr>
        <w:rFonts w:ascii="Arial" w:hAnsi="Arial" w:hint="default"/>
      </w:rPr>
    </w:lvl>
    <w:lvl w:ilvl="5" w:tplc="12AC9A90" w:tentative="1">
      <w:start w:val="1"/>
      <w:numFmt w:val="bullet"/>
      <w:lvlText w:val="•"/>
      <w:lvlJc w:val="left"/>
      <w:pPr>
        <w:tabs>
          <w:tab w:val="num" w:pos="4320"/>
        </w:tabs>
        <w:ind w:left="4320" w:hanging="360"/>
      </w:pPr>
      <w:rPr>
        <w:rFonts w:ascii="Arial" w:hAnsi="Arial" w:hint="default"/>
      </w:rPr>
    </w:lvl>
    <w:lvl w:ilvl="6" w:tplc="180CE526" w:tentative="1">
      <w:start w:val="1"/>
      <w:numFmt w:val="bullet"/>
      <w:lvlText w:val="•"/>
      <w:lvlJc w:val="left"/>
      <w:pPr>
        <w:tabs>
          <w:tab w:val="num" w:pos="5040"/>
        </w:tabs>
        <w:ind w:left="5040" w:hanging="360"/>
      </w:pPr>
      <w:rPr>
        <w:rFonts w:ascii="Arial" w:hAnsi="Arial" w:hint="default"/>
      </w:rPr>
    </w:lvl>
    <w:lvl w:ilvl="7" w:tplc="620CFCA8" w:tentative="1">
      <w:start w:val="1"/>
      <w:numFmt w:val="bullet"/>
      <w:lvlText w:val="•"/>
      <w:lvlJc w:val="left"/>
      <w:pPr>
        <w:tabs>
          <w:tab w:val="num" w:pos="5760"/>
        </w:tabs>
        <w:ind w:left="5760" w:hanging="360"/>
      </w:pPr>
      <w:rPr>
        <w:rFonts w:ascii="Arial" w:hAnsi="Arial" w:hint="default"/>
      </w:rPr>
    </w:lvl>
    <w:lvl w:ilvl="8" w:tplc="83443F0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737A5C01"/>
    <w:multiLevelType w:val="hybridMultilevel"/>
    <w:tmpl w:val="C524B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9"/>
  </w:num>
  <w:num w:numId="4">
    <w:abstractNumId w:val="10"/>
  </w:num>
  <w:num w:numId="5">
    <w:abstractNumId w:val="1"/>
  </w:num>
  <w:num w:numId="6">
    <w:abstractNumId w:val="12"/>
  </w:num>
  <w:num w:numId="7">
    <w:abstractNumId w:val="18"/>
  </w:num>
  <w:num w:numId="8">
    <w:abstractNumId w:val="5"/>
  </w:num>
  <w:num w:numId="9">
    <w:abstractNumId w:val="3"/>
  </w:num>
  <w:num w:numId="10">
    <w:abstractNumId w:val="2"/>
  </w:num>
  <w:num w:numId="11">
    <w:abstractNumId w:val="0"/>
  </w:num>
  <w:num w:numId="12">
    <w:abstractNumId w:val="7"/>
  </w:num>
  <w:num w:numId="13">
    <w:abstractNumId w:val="4"/>
  </w:num>
  <w:num w:numId="14">
    <w:abstractNumId w:val="17"/>
  </w:num>
  <w:num w:numId="15">
    <w:abstractNumId w:val="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11"/>
  </w:num>
  <w:num w:numId="19">
    <w:abstractNumId w:val="16"/>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Lo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spee0vemev9fkezw9rxf5e8vdxdvadz0per&quot;&gt;PTSD adult HE paper references&lt;record-ids&gt;&lt;item&gt;35&lt;/item&gt;&lt;/record-ids&gt;&lt;/item&gt;&lt;/Libraries&gt;"/>
    <w:docVar w:name="REFMGR.InstantFormat" w:val="&lt;ENInstantFormat&gt;&lt;Enabled&gt;0&lt;/Enabled&gt;&lt;ScanUnformatted&gt;1&lt;/ScanUnformatted&gt;&lt;ScanChanges&gt;1&lt;/ScanChanges&gt;&lt;/ENInstantFormat&gt;"/>
  </w:docVars>
  <w:rsids>
    <w:rsidRoot w:val="00B23F69"/>
    <w:rsid w:val="00010CA4"/>
    <w:rsid w:val="000E019C"/>
    <w:rsid w:val="001B4EE6"/>
    <w:rsid w:val="001C2601"/>
    <w:rsid w:val="001D054E"/>
    <w:rsid w:val="0024049D"/>
    <w:rsid w:val="0034437B"/>
    <w:rsid w:val="00425648"/>
    <w:rsid w:val="00492F1C"/>
    <w:rsid w:val="00496FD5"/>
    <w:rsid w:val="004C130C"/>
    <w:rsid w:val="004C74B5"/>
    <w:rsid w:val="005063AC"/>
    <w:rsid w:val="00512CDB"/>
    <w:rsid w:val="00705B99"/>
    <w:rsid w:val="007064C1"/>
    <w:rsid w:val="007162CF"/>
    <w:rsid w:val="00746F55"/>
    <w:rsid w:val="007B478D"/>
    <w:rsid w:val="007F1684"/>
    <w:rsid w:val="009035E3"/>
    <w:rsid w:val="009142C4"/>
    <w:rsid w:val="009847A2"/>
    <w:rsid w:val="00995608"/>
    <w:rsid w:val="009D29A7"/>
    <w:rsid w:val="009D444C"/>
    <w:rsid w:val="00A26113"/>
    <w:rsid w:val="00AC179E"/>
    <w:rsid w:val="00B23F69"/>
    <w:rsid w:val="00C11118"/>
    <w:rsid w:val="00C3377D"/>
    <w:rsid w:val="00C4421B"/>
    <w:rsid w:val="00CD0751"/>
    <w:rsid w:val="00D14F30"/>
    <w:rsid w:val="00D32968"/>
    <w:rsid w:val="00D33D27"/>
    <w:rsid w:val="00D52782"/>
    <w:rsid w:val="00D54EEA"/>
    <w:rsid w:val="00D65BD5"/>
    <w:rsid w:val="00DF369B"/>
    <w:rsid w:val="00EC2EF7"/>
    <w:rsid w:val="00F244CF"/>
    <w:rsid w:val="00F32E9F"/>
    <w:rsid w:val="00F6429B"/>
    <w:rsid w:val="00FE36CE"/>
    <w:rsid w:val="00FE59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B076F10-AF23-497B-AE00-09A74917D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3F69"/>
  </w:style>
  <w:style w:type="paragraph" w:styleId="Heading1">
    <w:name w:val="heading 1"/>
    <w:basedOn w:val="Normal"/>
    <w:next w:val="Normal"/>
    <w:link w:val="Heading1Char"/>
    <w:uiPriority w:val="9"/>
    <w:qFormat/>
    <w:rsid w:val="00B23F6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23F69"/>
    <w:pPr>
      <w:keepNext/>
      <w:keepLines/>
      <w:spacing w:before="40" w:after="0"/>
      <w:outlineLvl w:val="1"/>
    </w:pPr>
    <w:rPr>
      <w:rFonts w:ascii="Arial" w:eastAsiaTheme="majorEastAsia" w:hAnsi="Arial" w:cstheme="majorBidi"/>
      <w:b/>
      <w:szCs w:val="26"/>
    </w:rPr>
  </w:style>
  <w:style w:type="paragraph" w:styleId="Heading3">
    <w:name w:val="heading 3"/>
    <w:basedOn w:val="Normal"/>
    <w:next w:val="Normal"/>
    <w:link w:val="Heading3Char"/>
    <w:uiPriority w:val="9"/>
    <w:unhideWhenUsed/>
    <w:qFormat/>
    <w:rsid w:val="00B23F69"/>
    <w:pPr>
      <w:keepNext/>
      <w:keepLines/>
      <w:spacing w:before="40" w:after="0"/>
      <w:outlineLvl w:val="2"/>
    </w:pPr>
    <w:rPr>
      <w:rFonts w:ascii="Arial" w:eastAsiaTheme="majorEastAsia" w:hAnsi="Arial" w:cstheme="majorBidi"/>
      <w:b/>
      <w:color w:val="000000" w:themeColor="text1"/>
      <w:szCs w:val="24"/>
    </w:rPr>
  </w:style>
  <w:style w:type="paragraph" w:styleId="Heading4">
    <w:name w:val="heading 4"/>
    <w:basedOn w:val="Normal"/>
    <w:next w:val="Normal"/>
    <w:link w:val="Heading4Char"/>
    <w:uiPriority w:val="9"/>
    <w:unhideWhenUsed/>
    <w:qFormat/>
    <w:rsid w:val="00B23F6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3F6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23F69"/>
    <w:rPr>
      <w:rFonts w:ascii="Arial" w:eastAsiaTheme="majorEastAsia" w:hAnsi="Arial" w:cstheme="majorBidi"/>
      <w:b/>
      <w:szCs w:val="26"/>
    </w:rPr>
  </w:style>
  <w:style w:type="character" w:customStyle="1" w:styleId="Heading3Char">
    <w:name w:val="Heading 3 Char"/>
    <w:basedOn w:val="DefaultParagraphFont"/>
    <w:link w:val="Heading3"/>
    <w:uiPriority w:val="9"/>
    <w:rsid w:val="00B23F69"/>
    <w:rPr>
      <w:rFonts w:ascii="Arial" w:eastAsiaTheme="majorEastAsia" w:hAnsi="Arial" w:cstheme="majorBidi"/>
      <w:b/>
      <w:color w:val="000000" w:themeColor="text1"/>
      <w:szCs w:val="24"/>
    </w:rPr>
  </w:style>
  <w:style w:type="character" w:customStyle="1" w:styleId="Heading4Char">
    <w:name w:val="Heading 4 Char"/>
    <w:basedOn w:val="DefaultParagraphFont"/>
    <w:link w:val="Heading4"/>
    <w:uiPriority w:val="9"/>
    <w:rsid w:val="00B23F69"/>
    <w:rPr>
      <w:rFonts w:asciiTheme="majorHAnsi" w:eastAsiaTheme="majorEastAsia" w:hAnsiTheme="majorHAnsi" w:cstheme="majorBidi"/>
      <w:i/>
      <w:iCs/>
      <w:color w:val="2E74B5" w:themeColor="accent1" w:themeShade="BF"/>
    </w:rPr>
  </w:style>
  <w:style w:type="paragraph" w:styleId="Title">
    <w:name w:val="Title"/>
    <w:basedOn w:val="Normal"/>
    <w:next w:val="Normal"/>
    <w:link w:val="TitleChar"/>
    <w:uiPriority w:val="10"/>
    <w:qFormat/>
    <w:rsid w:val="00B23F6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23F69"/>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unhideWhenUsed/>
    <w:rsid w:val="00B23F69"/>
    <w:rPr>
      <w:sz w:val="16"/>
      <w:szCs w:val="16"/>
    </w:rPr>
  </w:style>
  <w:style w:type="paragraph" w:styleId="CommentText">
    <w:name w:val="annotation text"/>
    <w:basedOn w:val="Normal"/>
    <w:link w:val="CommentTextChar"/>
    <w:uiPriority w:val="99"/>
    <w:unhideWhenUsed/>
    <w:rsid w:val="00B23F69"/>
    <w:pPr>
      <w:spacing w:line="240" w:lineRule="auto"/>
    </w:pPr>
    <w:rPr>
      <w:sz w:val="20"/>
      <w:szCs w:val="20"/>
    </w:rPr>
  </w:style>
  <w:style w:type="character" w:customStyle="1" w:styleId="CommentTextChar">
    <w:name w:val="Comment Text Char"/>
    <w:basedOn w:val="DefaultParagraphFont"/>
    <w:link w:val="CommentText"/>
    <w:uiPriority w:val="99"/>
    <w:rsid w:val="00B23F69"/>
    <w:rPr>
      <w:sz w:val="20"/>
      <w:szCs w:val="20"/>
    </w:rPr>
  </w:style>
  <w:style w:type="paragraph" w:styleId="CommentSubject">
    <w:name w:val="annotation subject"/>
    <w:basedOn w:val="CommentText"/>
    <w:next w:val="CommentText"/>
    <w:link w:val="CommentSubjectChar"/>
    <w:uiPriority w:val="99"/>
    <w:semiHidden/>
    <w:unhideWhenUsed/>
    <w:rsid w:val="00B23F69"/>
    <w:rPr>
      <w:b/>
      <w:bCs/>
    </w:rPr>
  </w:style>
  <w:style w:type="character" w:customStyle="1" w:styleId="CommentSubjectChar">
    <w:name w:val="Comment Subject Char"/>
    <w:basedOn w:val="CommentTextChar"/>
    <w:link w:val="CommentSubject"/>
    <w:uiPriority w:val="99"/>
    <w:semiHidden/>
    <w:rsid w:val="00B23F69"/>
    <w:rPr>
      <w:b/>
      <w:bCs/>
      <w:sz w:val="20"/>
      <w:szCs w:val="20"/>
    </w:rPr>
  </w:style>
  <w:style w:type="paragraph" w:styleId="BalloonText">
    <w:name w:val="Balloon Text"/>
    <w:basedOn w:val="Normal"/>
    <w:link w:val="BalloonTextChar"/>
    <w:uiPriority w:val="99"/>
    <w:semiHidden/>
    <w:unhideWhenUsed/>
    <w:rsid w:val="00B23F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3F69"/>
    <w:rPr>
      <w:rFonts w:ascii="Segoe UI" w:hAnsi="Segoe UI" w:cs="Segoe UI"/>
      <w:sz w:val="18"/>
      <w:szCs w:val="18"/>
    </w:rPr>
  </w:style>
  <w:style w:type="paragraph" w:styleId="ListParagraph">
    <w:name w:val="List Paragraph"/>
    <w:basedOn w:val="Normal"/>
    <w:uiPriority w:val="34"/>
    <w:qFormat/>
    <w:rsid w:val="00B23F69"/>
    <w:pPr>
      <w:ind w:left="720"/>
      <w:contextualSpacing/>
    </w:pPr>
  </w:style>
  <w:style w:type="paragraph" w:styleId="FootnoteText">
    <w:name w:val="footnote text"/>
    <w:basedOn w:val="Normal"/>
    <w:link w:val="FootnoteTextChar"/>
    <w:uiPriority w:val="99"/>
    <w:semiHidden/>
    <w:unhideWhenUsed/>
    <w:rsid w:val="00B23F6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23F69"/>
    <w:rPr>
      <w:sz w:val="20"/>
      <w:szCs w:val="20"/>
    </w:rPr>
  </w:style>
  <w:style w:type="character" w:styleId="FootnoteReference">
    <w:name w:val="footnote reference"/>
    <w:basedOn w:val="DefaultParagraphFont"/>
    <w:uiPriority w:val="99"/>
    <w:semiHidden/>
    <w:unhideWhenUsed/>
    <w:rsid w:val="00B23F69"/>
    <w:rPr>
      <w:vertAlign w:val="superscript"/>
    </w:rPr>
  </w:style>
  <w:style w:type="table" w:styleId="TableGrid">
    <w:name w:val="Table Grid"/>
    <w:basedOn w:val="TableNormal"/>
    <w:uiPriority w:val="39"/>
    <w:rsid w:val="00B23F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23F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3F69"/>
  </w:style>
  <w:style w:type="paragraph" w:styleId="Footer">
    <w:name w:val="footer"/>
    <w:basedOn w:val="Normal"/>
    <w:link w:val="FooterChar"/>
    <w:uiPriority w:val="99"/>
    <w:unhideWhenUsed/>
    <w:rsid w:val="00B23F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3F69"/>
  </w:style>
  <w:style w:type="paragraph" w:styleId="HTMLPreformatted">
    <w:name w:val="HTML Preformatted"/>
    <w:basedOn w:val="Normal"/>
    <w:link w:val="HTMLPreformattedChar"/>
    <w:uiPriority w:val="99"/>
    <w:semiHidden/>
    <w:unhideWhenUsed/>
    <w:rsid w:val="00B23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B23F69"/>
    <w:rPr>
      <w:rFonts w:ascii="Courier New" w:hAnsi="Courier New" w:cs="Courier New"/>
      <w:sz w:val="20"/>
      <w:szCs w:val="20"/>
      <w:lang w:eastAsia="en-GB"/>
    </w:rPr>
  </w:style>
  <w:style w:type="paragraph" w:customStyle="1" w:styleId="TableTextLeft">
    <w:name w:val="~TableTextLeft"/>
    <w:basedOn w:val="Normal"/>
    <w:link w:val="TableTextLeftChar"/>
    <w:qFormat/>
    <w:rsid w:val="00B23F69"/>
    <w:pPr>
      <w:spacing w:before="40" w:after="20" w:line="240" w:lineRule="auto"/>
    </w:pPr>
    <w:rPr>
      <w:sz w:val="20"/>
    </w:rPr>
  </w:style>
  <w:style w:type="character" w:customStyle="1" w:styleId="TableTextLeftChar">
    <w:name w:val="~TableTextLeft Char"/>
    <w:basedOn w:val="DefaultParagraphFont"/>
    <w:link w:val="TableTextLeft"/>
    <w:locked/>
    <w:rsid w:val="00B23F69"/>
    <w:rPr>
      <w:sz w:val="20"/>
    </w:rPr>
  </w:style>
  <w:style w:type="paragraph" w:customStyle="1" w:styleId="TableHeadingLeft">
    <w:name w:val="~TableHeadingLeft"/>
    <w:basedOn w:val="TableTextLeft"/>
    <w:qFormat/>
    <w:rsid w:val="00B23F69"/>
    <w:pPr>
      <w:keepNext/>
    </w:pPr>
    <w:rPr>
      <w:b/>
      <w:color w:val="000000" w:themeColor="text1"/>
      <w:szCs w:val="26"/>
    </w:rPr>
  </w:style>
  <w:style w:type="paragraph" w:styleId="Caption">
    <w:name w:val="caption"/>
    <w:aliases w:val="~Caption"/>
    <w:basedOn w:val="Normal"/>
    <w:next w:val="Normal"/>
    <w:link w:val="CaptionChar"/>
    <w:qFormat/>
    <w:rsid w:val="00B23F69"/>
    <w:pPr>
      <w:keepNext/>
      <w:tabs>
        <w:tab w:val="left" w:pos="993"/>
      </w:tabs>
      <w:spacing w:before="300" w:after="0" w:line="240" w:lineRule="auto"/>
      <w:ind w:left="993" w:hanging="993"/>
    </w:pPr>
    <w:rPr>
      <w:rFonts w:eastAsia="Calibri" w:cs="Arial"/>
      <w:b/>
      <w:szCs w:val="20"/>
    </w:rPr>
  </w:style>
  <w:style w:type="character" w:customStyle="1" w:styleId="CaptionChar">
    <w:name w:val="Caption Char"/>
    <w:aliases w:val="~Caption Char"/>
    <w:basedOn w:val="DefaultParagraphFont"/>
    <w:link w:val="Caption"/>
    <w:rsid w:val="00B23F69"/>
    <w:rPr>
      <w:rFonts w:eastAsia="Calibri" w:cs="Arial"/>
      <w:b/>
      <w:szCs w:val="20"/>
    </w:rPr>
  </w:style>
  <w:style w:type="paragraph" w:customStyle="1" w:styleId="Bullet1">
    <w:name w:val="~Bullet1"/>
    <w:basedOn w:val="Normal"/>
    <w:qFormat/>
    <w:rsid w:val="00B23F69"/>
    <w:pPr>
      <w:numPr>
        <w:numId w:val="4"/>
      </w:numPr>
      <w:tabs>
        <w:tab w:val="left" w:pos="284"/>
      </w:tabs>
      <w:spacing w:before="60" w:after="60" w:line="240" w:lineRule="auto"/>
    </w:pPr>
    <w:rPr>
      <w:rFonts w:eastAsia="Calibri" w:cs="Arial"/>
      <w:szCs w:val="20"/>
    </w:rPr>
  </w:style>
  <w:style w:type="paragraph" w:customStyle="1" w:styleId="Bullet2">
    <w:name w:val="~Bullet2"/>
    <w:basedOn w:val="Bullet1"/>
    <w:qFormat/>
    <w:rsid w:val="00B23F69"/>
    <w:pPr>
      <w:numPr>
        <w:ilvl w:val="1"/>
      </w:numPr>
      <w:tabs>
        <w:tab w:val="clear" w:pos="284"/>
      </w:tabs>
    </w:pPr>
  </w:style>
  <w:style w:type="paragraph" w:customStyle="1" w:styleId="Bullet3">
    <w:name w:val="~Bullet3"/>
    <w:basedOn w:val="Bullet2"/>
    <w:qFormat/>
    <w:rsid w:val="00B23F69"/>
    <w:pPr>
      <w:numPr>
        <w:ilvl w:val="2"/>
      </w:numPr>
    </w:pPr>
  </w:style>
  <w:style w:type="paragraph" w:customStyle="1" w:styleId="BodyTextNum">
    <w:name w:val="~BodyTextNum"/>
    <w:basedOn w:val="Normal"/>
    <w:qFormat/>
    <w:rsid w:val="00B23F69"/>
    <w:pPr>
      <w:tabs>
        <w:tab w:val="left" w:pos="284"/>
      </w:tabs>
      <w:spacing w:before="180" w:after="0" w:line="240" w:lineRule="auto"/>
      <w:ind w:left="284" w:hanging="284"/>
    </w:pPr>
  </w:style>
  <w:style w:type="paragraph" w:customStyle="1" w:styleId="xl65">
    <w:name w:val="xl65"/>
    <w:basedOn w:val="Normal"/>
    <w:rsid w:val="00B23F69"/>
    <w:pP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B23F69"/>
    <w:rPr>
      <w:color w:val="0000FF"/>
      <w:u w:val="single"/>
    </w:rPr>
  </w:style>
  <w:style w:type="character" w:customStyle="1" w:styleId="apple-converted-space">
    <w:name w:val="apple-converted-space"/>
    <w:basedOn w:val="DefaultParagraphFont"/>
    <w:rsid w:val="00B23F69"/>
  </w:style>
  <w:style w:type="character" w:customStyle="1" w:styleId="highlight">
    <w:name w:val="highlight"/>
    <w:basedOn w:val="DefaultParagraphFont"/>
    <w:rsid w:val="00B23F69"/>
  </w:style>
  <w:style w:type="character" w:customStyle="1" w:styleId="ui-ncbitoggler-master-text">
    <w:name w:val="ui-ncbitoggler-master-text"/>
    <w:basedOn w:val="DefaultParagraphFont"/>
    <w:rsid w:val="00B23F69"/>
  </w:style>
  <w:style w:type="paragraph" w:styleId="NormalWeb">
    <w:name w:val="Normal (Web)"/>
    <w:basedOn w:val="Normal"/>
    <w:uiPriority w:val="99"/>
    <w:semiHidden/>
    <w:unhideWhenUsed/>
    <w:rsid w:val="00B23F6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B23F69"/>
    <w:pPr>
      <w:spacing w:after="0" w:line="240" w:lineRule="auto"/>
    </w:pPr>
  </w:style>
  <w:style w:type="paragraph" w:customStyle="1" w:styleId="AppHead">
    <w:name w:val="~AppHead"/>
    <w:basedOn w:val="Normal"/>
    <w:next w:val="Normal"/>
    <w:qFormat/>
    <w:rsid w:val="00B23F69"/>
    <w:pPr>
      <w:keepNext/>
      <w:tabs>
        <w:tab w:val="num" w:pos="283"/>
        <w:tab w:val="left" w:pos="2552"/>
      </w:tabs>
      <w:spacing w:before="300" w:after="0" w:line="240" w:lineRule="auto"/>
      <w:outlineLvl w:val="0"/>
    </w:pPr>
    <w:rPr>
      <w:b/>
      <w:sz w:val="44"/>
    </w:rPr>
  </w:style>
  <w:style w:type="paragraph" w:customStyle="1" w:styleId="AppSubHead">
    <w:name w:val="~AppSubHead"/>
    <w:basedOn w:val="AppHead"/>
    <w:next w:val="Normal"/>
    <w:qFormat/>
    <w:rsid w:val="00B23F69"/>
    <w:pPr>
      <w:tabs>
        <w:tab w:val="clear" w:pos="283"/>
        <w:tab w:val="clear" w:pos="2552"/>
        <w:tab w:val="num" w:pos="0"/>
      </w:tabs>
      <w:ind w:hanging="284"/>
    </w:pPr>
    <w:rPr>
      <w:sz w:val="32"/>
    </w:rPr>
  </w:style>
  <w:style w:type="paragraph" w:customStyle="1" w:styleId="AppMinorSubHead">
    <w:name w:val="~AppMinorSubHead"/>
    <w:basedOn w:val="AppSubHead"/>
    <w:next w:val="Normal"/>
    <w:qFormat/>
    <w:rsid w:val="00B23F69"/>
    <w:rPr>
      <w:sz w:val="24"/>
      <w:szCs w:val="24"/>
    </w:rPr>
  </w:style>
  <w:style w:type="paragraph" w:customStyle="1" w:styleId="AppLevel4Head">
    <w:name w:val="~AppLevel4Head"/>
    <w:basedOn w:val="AppMinorSubHead"/>
    <w:next w:val="Normal"/>
    <w:qFormat/>
    <w:rsid w:val="00B23F69"/>
    <w:rPr>
      <w:sz w:val="22"/>
      <w:szCs w:val="22"/>
    </w:rPr>
  </w:style>
  <w:style w:type="character" w:styleId="LineNumber">
    <w:name w:val="line number"/>
    <w:basedOn w:val="DefaultParagraphFont"/>
    <w:uiPriority w:val="99"/>
    <w:semiHidden/>
    <w:unhideWhenUsed/>
    <w:rsid w:val="00B23F69"/>
  </w:style>
  <w:style w:type="character" w:styleId="Emphasis">
    <w:name w:val="Emphasis"/>
    <w:basedOn w:val="DefaultParagraphFont"/>
    <w:uiPriority w:val="20"/>
    <w:qFormat/>
    <w:rsid w:val="00B23F69"/>
    <w:rPr>
      <w:i/>
      <w:iCs/>
    </w:rPr>
  </w:style>
  <w:style w:type="paragraph" w:customStyle="1" w:styleId="EndNoteBibliographyTitle">
    <w:name w:val="EndNote Bibliography Title"/>
    <w:basedOn w:val="Normal"/>
    <w:link w:val="EndNoteBibliographyTitleChar"/>
    <w:rsid w:val="00B23F69"/>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B23F69"/>
    <w:rPr>
      <w:rFonts w:ascii="Calibri" w:hAnsi="Calibri" w:cs="Calibri"/>
      <w:noProof/>
      <w:lang w:val="en-US"/>
    </w:rPr>
  </w:style>
  <w:style w:type="paragraph" w:customStyle="1" w:styleId="EndNoteBibliography">
    <w:name w:val="EndNote Bibliography"/>
    <w:basedOn w:val="Normal"/>
    <w:link w:val="EndNoteBibliographyChar"/>
    <w:rsid w:val="00B23F69"/>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B23F69"/>
    <w:rPr>
      <w:rFonts w:ascii="Calibri" w:hAnsi="Calibri" w:cs="Calibri"/>
      <w:noProof/>
      <w:lang w:val="en-US"/>
    </w:rPr>
  </w:style>
  <w:style w:type="numbering" w:customStyle="1" w:styleId="TableNoteList">
    <w:name w:val="~TableNoteList"/>
    <w:uiPriority w:val="99"/>
    <w:rsid w:val="00B23F69"/>
    <w:pPr>
      <w:numPr>
        <w:numId w:val="18"/>
      </w:numPr>
    </w:pPr>
  </w:style>
  <w:style w:type="paragraph" w:customStyle="1" w:styleId="BodyHeading">
    <w:name w:val="~BodyHeading"/>
    <w:basedOn w:val="Normal"/>
    <w:next w:val="Normal"/>
    <w:qFormat/>
    <w:rsid w:val="00B23F69"/>
    <w:pPr>
      <w:keepNext/>
      <w:spacing w:before="300" w:after="0" w:line="240" w:lineRule="auto"/>
    </w:pPr>
    <w:rPr>
      <w:b/>
    </w:rPr>
  </w:style>
  <w:style w:type="paragraph" w:customStyle="1" w:styleId="TableTextRight">
    <w:name w:val="~TableTextRight"/>
    <w:basedOn w:val="TableTextLeft"/>
    <w:qFormat/>
    <w:rsid w:val="00B23F69"/>
    <w:pPr>
      <w:jc w:val="right"/>
    </w:pPr>
  </w:style>
  <w:style w:type="table" w:customStyle="1" w:styleId="TableGrid1">
    <w:name w:val="Table Grid1"/>
    <w:basedOn w:val="TableNormal"/>
    <w:next w:val="TableGrid"/>
    <w:uiPriority w:val="39"/>
    <w:rsid w:val="00B23F69"/>
    <w:pPr>
      <w:spacing w:after="0" w:line="240" w:lineRule="auto"/>
      <w:ind w:left="1304" w:hanging="567"/>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HeadingCentre">
    <w:name w:val="~TableHeadingCentre"/>
    <w:basedOn w:val="TableHeadingLeft"/>
    <w:qFormat/>
    <w:rsid w:val="00B23F69"/>
    <w:pPr>
      <w:keepNext w:val="0"/>
      <w:jc w:val="center"/>
    </w:pPr>
  </w:style>
  <w:style w:type="paragraph" w:customStyle="1" w:styleId="TableTextCentre">
    <w:name w:val="~TableTextCentre"/>
    <w:basedOn w:val="TableTextLeft"/>
    <w:qFormat/>
    <w:rsid w:val="00B23F69"/>
    <w:pPr>
      <w:jc w:val="center"/>
    </w:pPr>
  </w:style>
  <w:style w:type="table" w:customStyle="1" w:styleId="TableGrid2">
    <w:name w:val="Table Grid2"/>
    <w:basedOn w:val="TableNormal"/>
    <w:next w:val="TableGrid"/>
    <w:uiPriority w:val="39"/>
    <w:rsid w:val="00B23F6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mprovement.nhs.uk/resources/reference-costs/"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nhsbsa.nhs.uk/pharmacies-gp-practices-and-appliance-contractors/drug-tarif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6</Pages>
  <Words>1694</Words>
  <Characters>9659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UCL</Company>
  <LinksUpToDate>false</LinksUpToDate>
  <CharactersWithSpaces>11331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Ifigeneia</dc:creator>
  <cp:keywords/>
  <dc:description/>
  <cp:lastModifiedBy>Mavranezouli, Ifigeneia</cp:lastModifiedBy>
  <cp:revision>30</cp:revision>
  <dcterms:created xsi:type="dcterms:W3CDTF">2019-05-11T02:02:00Z</dcterms:created>
  <dcterms:modified xsi:type="dcterms:W3CDTF">2020-01-06T04:15:00Z</dcterms:modified>
</cp:coreProperties>
</file>