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69" w:rsidRDefault="00B23F69" w:rsidP="00425648">
      <w:pPr>
        <w:pStyle w:val="Heading1"/>
        <w:spacing w:before="0"/>
        <w:rPr>
          <w:rFonts w:ascii="Arial" w:hAnsi="Arial" w:cs="Arial"/>
          <w:b/>
          <w:color w:val="auto"/>
          <w:sz w:val="24"/>
          <w:szCs w:val="24"/>
        </w:rPr>
      </w:pPr>
      <w:bookmarkStart w:id="0" w:name="_GoBack"/>
      <w:bookmarkEnd w:id="0"/>
      <w:r w:rsidRPr="008E7D76">
        <w:rPr>
          <w:rFonts w:ascii="Arial" w:hAnsi="Arial" w:cs="Arial"/>
          <w:b/>
          <w:color w:val="auto"/>
          <w:sz w:val="24"/>
          <w:szCs w:val="24"/>
        </w:rPr>
        <w:t>Estimation of the unit cost</w:t>
      </w:r>
      <w:r>
        <w:rPr>
          <w:rFonts w:ascii="Arial" w:hAnsi="Arial" w:cs="Arial"/>
          <w:b/>
          <w:color w:val="auto"/>
          <w:sz w:val="24"/>
          <w:szCs w:val="24"/>
        </w:rPr>
        <w:t>s</w:t>
      </w:r>
      <w:r w:rsidRPr="008E7D76">
        <w:rPr>
          <w:rFonts w:ascii="Arial" w:hAnsi="Arial" w:cs="Arial"/>
          <w:b/>
          <w:color w:val="auto"/>
          <w:sz w:val="24"/>
          <w:szCs w:val="24"/>
        </w:rPr>
        <w:t xml:space="preserve"> of </w:t>
      </w:r>
      <w:r>
        <w:rPr>
          <w:rFonts w:ascii="Arial" w:hAnsi="Arial" w:cs="Arial"/>
          <w:b/>
          <w:color w:val="auto"/>
          <w:sz w:val="24"/>
          <w:szCs w:val="24"/>
        </w:rPr>
        <w:t>therapists delivering psychological interventions for PTSD in the British National Health Service (NHS)</w:t>
      </w:r>
    </w:p>
    <w:p w:rsidR="00B23F69" w:rsidRPr="006153D0" w:rsidRDefault="00B23F69" w:rsidP="00425648">
      <w:pPr>
        <w:spacing w:after="0"/>
        <w:rPr>
          <w:rFonts w:ascii="Arial" w:hAnsi="Arial" w:cs="Arial"/>
        </w:rPr>
      </w:pPr>
    </w:p>
    <w:p w:rsidR="00B23F69" w:rsidRPr="006153D0" w:rsidRDefault="00B23F69" w:rsidP="00425648">
      <w:pPr>
        <w:pStyle w:val="Heading2"/>
      </w:pPr>
      <w:r w:rsidRPr="008E7D76">
        <w:t xml:space="preserve">Estimation of the unit cost </w:t>
      </w:r>
      <w:r>
        <w:t xml:space="preserve">of </w:t>
      </w:r>
      <w:r w:rsidRPr="008E7D76">
        <w:t xml:space="preserve">a </w:t>
      </w:r>
      <w:r w:rsidR="007162CF">
        <w:t xml:space="preserve">psychological therapist </w:t>
      </w:r>
      <w:r w:rsidRPr="008E7D76">
        <w:t xml:space="preserve">[salary Band 7 according to the NHS Agenda for Change for </w:t>
      </w:r>
      <w:r w:rsidR="001B0CC1">
        <w:rPr>
          <w:rFonts w:cs="Arial"/>
        </w:rPr>
        <w:t>community-based scientific and professional staff</w:t>
      </w:r>
      <w:r w:rsidRPr="008E7D76">
        <w:t>]</w:t>
      </w:r>
    </w:p>
    <w:tbl>
      <w:tblPr>
        <w:tblW w:w="9072" w:type="dxa"/>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3119"/>
        <w:gridCol w:w="2268"/>
        <w:gridCol w:w="3685"/>
      </w:tblGrid>
      <w:tr w:rsidR="00B23F69" w:rsidRPr="00B30DB2" w:rsidTr="00425648">
        <w:trPr>
          <w:tblHeader/>
        </w:trPr>
        <w:tc>
          <w:tcPr>
            <w:tcW w:w="3119" w:type="dxa"/>
            <w:shd w:val="clear" w:color="auto" w:fill="B7E3CB"/>
            <w:vAlign w:val="center"/>
          </w:tcPr>
          <w:p w:rsidR="00B23F69" w:rsidRPr="00B30DB2" w:rsidRDefault="00B23F69" w:rsidP="00425648">
            <w:pPr>
              <w:spacing w:before="40" w:after="20"/>
              <w:rPr>
                <w:rFonts w:ascii="Arial" w:hAnsi="Arial" w:cs="Arial"/>
                <w:b/>
                <w:sz w:val="20"/>
                <w:szCs w:val="26"/>
              </w:rPr>
            </w:pPr>
            <w:r w:rsidRPr="00B30DB2">
              <w:rPr>
                <w:rFonts w:ascii="Arial" w:hAnsi="Arial" w:cs="Arial"/>
                <w:b/>
                <w:bCs/>
                <w:sz w:val="20"/>
                <w:szCs w:val="26"/>
              </w:rPr>
              <w:t>Cost element</w:t>
            </w:r>
          </w:p>
        </w:tc>
        <w:tc>
          <w:tcPr>
            <w:tcW w:w="2268" w:type="dxa"/>
            <w:shd w:val="clear" w:color="auto" w:fill="B7E3CB"/>
            <w:vAlign w:val="center"/>
          </w:tcPr>
          <w:p w:rsidR="00B23F69" w:rsidRPr="00B30DB2" w:rsidRDefault="00B23F69" w:rsidP="00425648">
            <w:pPr>
              <w:spacing w:before="40" w:after="20"/>
              <w:jc w:val="center"/>
              <w:rPr>
                <w:rFonts w:ascii="Arial" w:hAnsi="Arial" w:cs="Arial"/>
                <w:b/>
                <w:sz w:val="20"/>
                <w:szCs w:val="26"/>
              </w:rPr>
            </w:pPr>
            <w:r w:rsidRPr="00B30DB2">
              <w:rPr>
                <w:rFonts w:ascii="Arial" w:hAnsi="Arial" w:cs="Arial"/>
                <w:b/>
                <w:sz w:val="20"/>
                <w:szCs w:val="26"/>
              </w:rPr>
              <w:t>Unit cost (2017</w:t>
            </w:r>
            <w:r>
              <w:rPr>
                <w:rFonts w:ascii="Arial" w:hAnsi="Arial" w:cs="Arial"/>
                <w:b/>
                <w:sz w:val="20"/>
                <w:szCs w:val="26"/>
              </w:rPr>
              <w:t xml:space="preserve"> price</w:t>
            </w:r>
            <w:r w:rsidRPr="00B30DB2">
              <w:rPr>
                <w:rFonts w:ascii="Arial" w:hAnsi="Arial" w:cs="Arial"/>
                <w:b/>
                <w:sz w:val="20"/>
                <w:szCs w:val="26"/>
              </w:rPr>
              <w:t>)</w:t>
            </w:r>
          </w:p>
        </w:tc>
        <w:tc>
          <w:tcPr>
            <w:tcW w:w="3685" w:type="dxa"/>
            <w:shd w:val="clear" w:color="auto" w:fill="B7E3CB"/>
          </w:tcPr>
          <w:p w:rsidR="00B23F69" w:rsidRPr="00B30DB2" w:rsidRDefault="00B23F69" w:rsidP="00425648">
            <w:pPr>
              <w:spacing w:before="40" w:after="20"/>
              <w:rPr>
                <w:rFonts w:ascii="Arial" w:hAnsi="Arial" w:cs="Arial"/>
                <w:b/>
                <w:sz w:val="20"/>
                <w:szCs w:val="26"/>
              </w:rPr>
            </w:pPr>
            <w:r w:rsidRPr="00B30DB2">
              <w:rPr>
                <w:rFonts w:ascii="Arial" w:hAnsi="Arial" w:cs="Arial"/>
                <w:b/>
                <w:sz w:val="20"/>
                <w:szCs w:val="26"/>
              </w:rPr>
              <w:t>Source</w:t>
            </w: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Wages – salary (annual)</w:t>
            </w:r>
          </w:p>
        </w:tc>
        <w:tc>
          <w:tcPr>
            <w:tcW w:w="2268" w:type="dxa"/>
            <w:shd w:val="clear" w:color="auto" w:fill="E6E6E6"/>
            <w:vAlign w:val="center"/>
          </w:tcPr>
          <w:p w:rsidR="00B23F69" w:rsidRPr="00883828" w:rsidRDefault="00B23F69" w:rsidP="00425648">
            <w:pPr>
              <w:spacing w:before="40" w:after="20"/>
              <w:jc w:val="right"/>
              <w:rPr>
                <w:rFonts w:ascii="Arial" w:hAnsi="Arial" w:cs="Arial"/>
                <w:sz w:val="20"/>
              </w:rPr>
            </w:pPr>
            <w:r w:rsidRPr="00883828">
              <w:rPr>
                <w:rFonts w:ascii="Arial" w:hAnsi="Arial" w:cs="Arial"/>
                <w:sz w:val="20"/>
              </w:rPr>
              <w:t>£38,951</w:t>
            </w:r>
          </w:p>
        </w:tc>
        <w:tc>
          <w:tcPr>
            <w:tcW w:w="3685" w:type="dxa"/>
            <w:vMerge w:val="restart"/>
            <w:shd w:val="clear" w:color="auto" w:fill="E6E6E6"/>
            <w:vAlign w:val="center"/>
          </w:tcPr>
          <w:p w:rsidR="00B23F69" w:rsidRPr="00883828" w:rsidRDefault="004A6FB6">
            <w:pPr>
              <w:spacing w:before="40" w:after="20"/>
              <w:rPr>
                <w:rFonts w:ascii="Arial" w:hAnsi="Arial" w:cs="Arial"/>
                <w:sz w:val="20"/>
              </w:rPr>
            </w:pPr>
            <w:r>
              <w:rPr>
                <w:rFonts w:ascii="Arial" w:hAnsi="Arial" w:cs="Arial"/>
                <w:sz w:val="20"/>
              </w:rPr>
              <w:t>[1]</w:t>
            </w:r>
            <w:r w:rsidR="00B23F69" w:rsidRPr="00883828">
              <w:rPr>
                <w:rFonts w:ascii="Arial" w:hAnsi="Arial" w:cs="Arial"/>
                <w:sz w:val="20"/>
              </w:rPr>
              <w:t>; unit cost of community-based scientific &amp; professional staff (Agenda for Change band 7)</w:t>
            </w: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Salary on-costs (annual)</w:t>
            </w:r>
          </w:p>
        </w:tc>
        <w:tc>
          <w:tcPr>
            <w:tcW w:w="2268" w:type="dxa"/>
            <w:shd w:val="clear" w:color="auto" w:fill="E6E6E6"/>
            <w:vAlign w:val="center"/>
          </w:tcPr>
          <w:p w:rsidR="00B23F69" w:rsidRPr="00883828" w:rsidRDefault="00B23F69" w:rsidP="00425648">
            <w:pPr>
              <w:spacing w:before="40" w:after="20"/>
              <w:jc w:val="right"/>
              <w:rPr>
                <w:rFonts w:ascii="Arial" w:hAnsi="Arial" w:cs="Arial"/>
                <w:sz w:val="20"/>
              </w:rPr>
            </w:pPr>
            <w:r w:rsidRPr="00883828">
              <w:rPr>
                <w:rFonts w:ascii="Arial" w:hAnsi="Arial" w:cs="Arial"/>
                <w:sz w:val="20"/>
              </w:rPr>
              <w:t>£9,864</w:t>
            </w:r>
          </w:p>
        </w:tc>
        <w:tc>
          <w:tcPr>
            <w:tcW w:w="3685" w:type="dxa"/>
            <w:vMerge/>
            <w:shd w:val="clear" w:color="auto" w:fill="E6E6E6"/>
          </w:tcPr>
          <w:p w:rsidR="00B23F69" w:rsidRPr="00883828" w:rsidRDefault="00B23F69" w:rsidP="00425648">
            <w:pPr>
              <w:spacing w:before="40" w:after="20"/>
              <w:rPr>
                <w:rFonts w:ascii="Arial" w:hAnsi="Arial" w:cs="Arial"/>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Overheads – staff (annual)</w:t>
            </w:r>
          </w:p>
        </w:tc>
        <w:tc>
          <w:tcPr>
            <w:tcW w:w="2268" w:type="dxa"/>
            <w:shd w:val="clear" w:color="auto" w:fill="E6E6E6"/>
            <w:vAlign w:val="center"/>
          </w:tcPr>
          <w:p w:rsidR="00B23F69" w:rsidRPr="00FF448B" w:rsidRDefault="00B23F69" w:rsidP="00425648">
            <w:pPr>
              <w:spacing w:before="40" w:after="20"/>
              <w:jc w:val="right"/>
              <w:rPr>
                <w:rFonts w:ascii="Arial" w:hAnsi="Arial" w:cs="Arial"/>
                <w:sz w:val="20"/>
              </w:rPr>
            </w:pPr>
            <w:r w:rsidRPr="00FF448B">
              <w:rPr>
                <w:rFonts w:ascii="Arial" w:hAnsi="Arial" w:cs="Arial"/>
                <w:sz w:val="20"/>
              </w:rPr>
              <w:t>£11,960</w:t>
            </w:r>
          </w:p>
        </w:tc>
        <w:tc>
          <w:tcPr>
            <w:tcW w:w="3685" w:type="dxa"/>
            <w:vMerge/>
            <w:shd w:val="clear" w:color="auto" w:fill="E6E6E6"/>
          </w:tcPr>
          <w:p w:rsidR="00B23F69" w:rsidRPr="00883828" w:rsidRDefault="00B23F69" w:rsidP="00425648">
            <w:pPr>
              <w:spacing w:before="40" w:after="20"/>
              <w:rPr>
                <w:rFonts w:ascii="Arial" w:hAnsi="Arial" w:cs="Arial"/>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Overheads - non-staff (annual)</w:t>
            </w:r>
          </w:p>
        </w:tc>
        <w:tc>
          <w:tcPr>
            <w:tcW w:w="2268" w:type="dxa"/>
            <w:shd w:val="clear" w:color="auto" w:fill="E6E6E6"/>
            <w:vAlign w:val="center"/>
          </w:tcPr>
          <w:p w:rsidR="00B23F69" w:rsidRPr="00FF448B" w:rsidRDefault="00B23F69" w:rsidP="00425648">
            <w:pPr>
              <w:spacing w:before="40" w:after="20"/>
              <w:jc w:val="right"/>
              <w:rPr>
                <w:rFonts w:ascii="Arial" w:hAnsi="Arial" w:cs="Arial"/>
                <w:sz w:val="20"/>
              </w:rPr>
            </w:pPr>
            <w:r w:rsidRPr="00FF448B">
              <w:rPr>
                <w:rFonts w:ascii="Arial" w:hAnsi="Arial" w:cs="Arial"/>
                <w:sz w:val="20"/>
              </w:rPr>
              <w:t>£18,647</w:t>
            </w:r>
          </w:p>
        </w:tc>
        <w:tc>
          <w:tcPr>
            <w:tcW w:w="3685" w:type="dxa"/>
            <w:vMerge/>
            <w:shd w:val="clear" w:color="auto" w:fill="E6E6E6"/>
          </w:tcPr>
          <w:p w:rsidR="00B23F69" w:rsidRPr="00883828" w:rsidRDefault="00B23F69" w:rsidP="00425648">
            <w:pPr>
              <w:spacing w:before="40" w:after="20"/>
              <w:rPr>
                <w:rFonts w:ascii="Arial" w:hAnsi="Arial" w:cs="Arial"/>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Capital overheads (annual)</w:t>
            </w:r>
          </w:p>
        </w:tc>
        <w:tc>
          <w:tcPr>
            <w:tcW w:w="2268" w:type="dxa"/>
            <w:shd w:val="clear" w:color="auto" w:fill="E6E6E6"/>
            <w:vAlign w:val="center"/>
          </w:tcPr>
          <w:p w:rsidR="00B23F69" w:rsidRPr="00FF448B" w:rsidRDefault="00B23F69" w:rsidP="00425648">
            <w:pPr>
              <w:spacing w:before="40" w:after="20"/>
              <w:jc w:val="right"/>
              <w:rPr>
                <w:rFonts w:ascii="Arial" w:hAnsi="Arial" w:cs="Arial"/>
                <w:sz w:val="20"/>
              </w:rPr>
            </w:pPr>
            <w:r w:rsidRPr="00FF448B">
              <w:rPr>
                <w:rFonts w:ascii="Arial" w:hAnsi="Arial" w:cs="Arial"/>
                <w:sz w:val="20"/>
              </w:rPr>
              <w:t>£5,125</w:t>
            </w:r>
          </w:p>
        </w:tc>
        <w:tc>
          <w:tcPr>
            <w:tcW w:w="3685" w:type="dxa"/>
            <w:vMerge/>
            <w:shd w:val="clear" w:color="auto" w:fill="E6E6E6"/>
          </w:tcPr>
          <w:p w:rsidR="00B23F69" w:rsidRPr="00883828" w:rsidRDefault="00B23F69" w:rsidP="00425648">
            <w:pPr>
              <w:spacing w:before="40" w:after="20"/>
              <w:rPr>
                <w:rFonts w:ascii="Arial" w:hAnsi="Arial" w:cs="Arial"/>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Qualifications (total)</w:t>
            </w:r>
          </w:p>
        </w:tc>
        <w:tc>
          <w:tcPr>
            <w:tcW w:w="2268" w:type="dxa"/>
            <w:shd w:val="clear" w:color="auto" w:fill="E6E6E6"/>
            <w:vAlign w:val="center"/>
          </w:tcPr>
          <w:p w:rsidR="00B23F69" w:rsidRPr="00A748AD" w:rsidRDefault="00B23F69" w:rsidP="00425648">
            <w:pPr>
              <w:spacing w:before="40" w:after="20"/>
              <w:jc w:val="right"/>
              <w:rPr>
                <w:rFonts w:ascii="Arial" w:hAnsi="Arial" w:cs="Arial"/>
                <w:sz w:val="20"/>
              </w:rPr>
            </w:pPr>
            <w:r>
              <w:rPr>
                <w:rFonts w:ascii="Arial" w:hAnsi="Arial" w:cs="Arial"/>
                <w:sz w:val="20"/>
              </w:rPr>
              <w:t>£</w:t>
            </w:r>
            <w:r w:rsidRPr="00A748AD">
              <w:rPr>
                <w:rFonts w:ascii="Arial" w:hAnsi="Arial" w:cs="Arial"/>
                <w:sz w:val="20"/>
              </w:rPr>
              <w:t>12,386</w:t>
            </w:r>
          </w:p>
        </w:tc>
        <w:tc>
          <w:tcPr>
            <w:tcW w:w="3685" w:type="dxa"/>
            <w:shd w:val="clear" w:color="auto" w:fill="E6E6E6"/>
          </w:tcPr>
          <w:p w:rsidR="00B23F69" w:rsidRPr="00A748AD" w:rsidRDefault="00B23F69" w:rsidP="004A6FB6">
            <w:pPr>
              <w:spacing w:before="40" w:after="20"/>
              <w:rPr>
                <w:rFonts w:ascii="Arial" w:hAnsi="Arial" w:cs="Arial"/>
                <w:sz w:val="20"/>
              </w:rPr>
            </w:pPr>
            <w:r w:rsidRPr="00A748AD">
              <w:rPr>
                <w:rFonts w:ascii="Arial" w:hAnsi="Arial" w:cs="Arial"/>
                <w:sz w:val="20"/>
              </w:rPr>
              <w:t>Based on a mean clinical psychologist training cost estimate of £159,420</w:t>
            </w:r>
            <w:r w:rsidR="004A6FB6">
              <w:rPr>
                <w:rFonts w:ascii="Arial" w:hAnsi="Arial" w:cs="Arial"/>
                <w:sz w:val="20"/>
              </w:rPr>
              <w:t xml:space="preserve"> [2]</w:t>
            </w:r>
            <w:r w:rsidRPr="00A748AD">
              <w:rPr>
                <w:rFonts w:ascii="Arial" w:hAnsi="Arial" w:cs="Arial"/>
                <w:sz w:val="20"/>
              </w:rPr>
              <w:t xml:space="preserve">, </w:t>
            </w:r>
            <w:proofErr w:type="spellStart"/>
            <w:r w:rsidRPr="00A748AD">
              <w:rPr>
                <w:rFonts w:ascii="Arial" w:hAnsi="Arial" w:cs="Arial"/>
                <w:sz w:val="20"/>
              </w:rPr>
              <w:t>annuitised</w:t>
            </w:r>
            <w:proofErr w:type="spellEnd"/>
            <w:r w:rsidRPr="00A748AD">
              <w:rPr>
                <w:rFonts w:ascii="Arial" w:hAnsi="Arial" w:cs="Arial"/>
                <w:sz w:val="20"/>
              </w:rPr>
              <w:t xml:space="preserve"> using </w:t>
            </w:r>
            <w:r w:rsidR="009847A2">
              <w:rPr>
                <w:rFonts w:ascii="Arial" w:hAnsi="Arial" w:cs="Arial"/>
                <w:sz w:val="20"/>
              </w:rPr>
              <w:t>a published formula</w:t>
            </w:r>
            <w:r w:rsidR="004A6FB6">
              <w:rPr>
                <w:rFonts w:ascii="Arial" w:hAnsi="Arial" w:cs="Arial"/>
                <w:sz w:val="20"/>
              </w:rPr>
              <w:t xml:space="preserve"> [3]</w:t>
            </w:r>
            <w:r w:rsidRPr="00A748AD">
              <w:rPr>
                <w:rFonts w:ascii="Arial" w:hAnsi="Arial" w:cs="Arial"/>
                <w:sz w:val="20"/>
              </w:rPr>
              <w:t>, assuming a useful working life of 25 years, a time from obtaining the qualification until retirement of 44 years, and an equal distribution of the useful working life over the period of 44 years due to lack of specific information on this distribution.</w:t>
            </w: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Supervision (annual)</w:t>
            </w:r>
          </w:p>
        </w:tc>
        <w:tc>
          <w:tcPr>
            <w:tcW w:w="2268" w:type="dxa"/>
            <w:shd w:val="clear" w:color="auto" w:fill="E6E6E6"/>
            <w:vAlign w:val="center"/>
          </w:tcPr>
          <w:p w:rsidR="00B23F69" w:rsidRPr="00A748AD" w:rsidRDefault="00B23F69" w:rsidP="00425648">
            <w:pPr>
              <w:spacing w:before="40" w:after="20"/>
              <w:jc w:val="right"/>
              <w:rPr>
                <w:rFonts w:ascii="Arial" w:hAnsi="Arial" w:cs="Arial"/>
                <w:sz w:val="20"/>
              </w:rPr>
            </w:pPr>
            <w:r w:rsidRPr="00A748AD">
              <w:rPr>
                <w:rFonts w:ascii="Arial" w:hAnsi="Arial" w:cs="Arial"/>
                <w:sz w:val="20"/>
              </w:rPr>
              <w:t>£316</w:t>
            </w:r>
          </w:p>
        </w:tc>
        <w:tc>
          <w:tcPr>
            <w:tcW w:w="3685" w:type="dxa"/>
            <w:shd w:val="clear" w:color="auto" w:fill="E6E6E6"/>
          </w:tcPr>
          <w:p w:rsidR="00B23F69" w:rsidRPr="00A748AD" w:rsidRDefault="00B23F69" w:rsidP="004A6FB6">
            <w:pPr>
              <w:spacing w:before="40" w:after="20"/>
              <w:rPr>
                <w:rFonts w:ascii="Arial" w:hAnsi="Arial" w:cs="Arial"/>
                <w:sz w:val="20"/>
              </w:rPr>
            </w:pPr>
            <w:r w:rsidRPr="00A748AD">
              <w:rPr>
                <w:rFonts w:ascii="Arial" w:hAnsi="Arial" w:cs="Arial"/>
                <w:sz w:val="20"/>
              </w:rPr>
              <w:t xml:space="preserve">Based on the unit cost of an Agenda for Change band 8a </w:t>
            </w:r>
            <w:r w:rsidR="007162CF">
              <w:rPr>
                <w:rFonts w:ascii="Arial" w:hAnsi="Arial" w:cs="Arial"/>
                <w:sz w:val="20"/>
              </w:rPr>
              <w:t>therapist</w:t>
            </w:r>
            <w:r w:rsidR="009847A2">
              <w:rPr>
                <w:rFonts w:ascii="Arial" w:hAnsi="Arial" w:cs="Arial"/>
                <w:sz w:val="20"/>
              </w:rPr>
              <w:t xml:space="preserve"> </w:t>
            </w:r>
            <w:r w:rsidR="004A6FB6">
              <w:rPr>
                <w:rFonts w:ascii="Arial" w:hAnsi="Arial" w:cs="Arial"/>
                <w:sz w:val="20"/>
              </w:rPr>
              <w:t xml:space="preserve">[1] </w:t>
            </w:r>
            <w:r w:rsidRPr="00A748AD">
              <w:rPr>
                <w:rFonts w:ascii="Arial" w:hAnsi="Arial" w:cs="Arial"/>
                <w:sz w:val="20"/>
              </w:rPr>
              <w:t>providing 1.5 hour of supervision per month, delivered in groups of 4 participants</w:t>
            </w:r>
            <w:r w:rsidR="009847A2">
              <w:rPr>
                <w:rFonts w:ascii="Arial" w:hAnsi="Arial" w:cs="Arial"/>
                <w:sz w:val="20"/>
              </w:rPr>
              <w:t xml:space="preserve"> (</w:t>
            </w:r>
            <w:r w:rsidR="004A6FB6">
              <w:rPr>
                <w:rFonts w:ascii="Arial" w:hAnsi="Arial" w:cs="Arial"/>
                <w:sz w:val="20"/>
              </w:rPr>
              <w:t xml:space="preserve">[4] </w:t>
            </w:r>
            <w:r w:rsidRPr="00A748AD">
              <w:rPr>
                <w:rFonts w:ascii="Arial" w:hAnsi="Arial" w:cs="Arial"/>
                <w:sz w:val="20"/>
              </w:rPr>
              <w:t>and expert advice); qualification costs included, as described above.</w:t>
            </w: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SUM of cost elements (annual)</w:t>
            </w:r>
          </w:p>
        </w:tc>
        <w:tc>
          <w:tcPr>
            <w:tcW w:w="2268" w:type="dxa"/>
            <w:shd w:val="clear" w:color="auto" w:fill="E6E6E6"/>
            <w:vAlign w:val="center"/>
          </w:tcPr>
          <w:p w:rsidR="00B23F69" w:rsidRPr="00FF448B" w:rsidRDefault="00B23F69" w:rsidP="00425648">
            <w:pPr>
              <w:spacing w:before="40" w:after="20"/>
              <w:jc w:val="right"/>
              <w:rPr>
                <w:rFonts w:ascii="Arial" w:hAnsi="Arial" w:cs="Arial"/>
                <w:b/>
                <w:sz w:val="20"/>
                <w:szCs w:val="26"/>
              </w:rPr>
            </w:pPr>
            <w:r w:rsidRPr="00FF448B">
              <w:rPr>
                <w:rFonts w:ascii="Arial" w:hAnsi="Arial" w:cs="Arial"/>
                <w:b/>
                <w:sz w:val="20"/>
                <w:szCs w:val="26"/>
              </w:rPr>
              <w:t>£97,249</w:t>
            </w:r>
          </w:p>
        </w:tc>
        <w:tc>
          <w:tcPr>
            <w:tcW w:w="3685" w:type="dxa"/>
            <w:shd w:val="clear" w:color="auto" w:fill="E6E6E6"/>
          </w:tcPr>
          <w:p w:rsidR="00B23F69" w:rsidRPr="0075760B" w:rsidRDefault="00B23F69" w:rsidP="00425648">
            <w:pPr>
              <w:spacing w:before="40" w:after="20"/>
              <w:rPr>
                <w:rFonts w:ascii="Arial" w:hAnsi="Arial" w:cs="Arial"/>
                <w:color w:val="FF0000"/>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sz w:val="20"/>
              </w:rPr>
            </w:pPr>
            <w:r w:rsidRPr="00FF448B">
              <w:rPr>
                <w:rFonts w:ascii="Arial" w:hAnsi="Arial" w:cs="Arial"/>
                <w:sz w:val="20"/>
              </w:rPr>
              <w:t>Working time</w:t>
            </w:r>
          </w:p>
        </w:tc>
        <w:tc>
          <w:tcPr>
            <w:tcW w:w="2268" w:type="dxa"/>
            <w:shd w:val="clear" w:color="auto" w:fill="E6E6E6"/>
            <w:vAlign w:val="center"/>
          </w:tcPr>
          <w:p w:rsidR="00B23F69" w:rsidRPr="003A5377" w:rsidRDefault="00B23F69" w:rsidP="00425648">
            <w:pPr>
              <w:spacing w:before="40" w:after="20"/>
              <w:jc w:val="right"/>
              <w:rPr>
                <w:rFonts w:ascii="Arial" w:hAnsi="Arial" w:cs="Arial"/>
                <w:sz w:val="20"/>
              </w:rPr>
            </w:pPr>
            <w:r w:rsidRPr="003A5377">
              <w:rPr>
                <w:rFonts w:ascii="Arial" w:hAnsi="Arial" w:cs="Arial"/>
                <w:sz w:val="20"/>
              </w:rPr>
              <w:t>42.6 weeks /year</w:t>
            </w:r>
          </w:p>
          <w:p w:rsidR="00B23F69" w:rsidRPr="003A5377" w:rsidRDefault="00B23F69" w:rsidP="00425648">
            <w:pPr>
              <w:spacing w:before="40" w:after="20"/>
              <w:jc w:val="right"/>
              <w:rPr>
                <w:rFonts w:ascii="Arial" w:hAnsi="Arial" w:cs="Arial"/>
                <w:sz w:val="20"/>
              </w:rPr>
            </w:pPr>
            <w:r w:rsidRPr="003A5377">
              <w:rPr>
                <w:rFonts w:ascii="Arial" w:hAnsi="Arial" w:cs="Arial"/>
                <w:sz w:val="20"/>
              </w:rPr>
              <w:t>37.5 hours /week</w:t>
            </w:r>
          </w:p>
          <w:p w:rsidR="00B23F69" w:rsidRPr="003A5377" w:rsidRDefault="00B23F69" w:rsidP="00425648">
            <w:pPr>
              <w:spacing w:before="40" w:after="20"/>
              <w:jc w:val="right"/>
              <w:rPr>
                <w:rFonts w:ascii="Arial" w:hAnsi="Arial" w:cs="Arial"/>
                <w:sz w:val="20"/>
              </w:rPr>
            </w:pPr>
            <w:r w:rsidRPr="003A5377">
              <w:rPr>
                <w:rFonts w:ascii="Arial" w:hAnsi="Arial" w:cs="Arial"/>
                <w:sz w:val="20"/>
              </w:rPr>
              <w:t>(1,599 hours)</w:t>
            </w:r>
          </w:p>
        </w:tc>
        <w:tc>
          <w:tcPr>
            <w:tcW w:w="3685" w:type="dxa"/>
            <w:shd w:val="clear" w:color="auto" w:fill="E6E6E6"/>
          </w:tcPr>
          <w:p w:rsidR="00B23F69" w:rsidRPr="003A5377" w:rsidRDefault="004A6FB6" w:rsidP="00573753">
            <w:pPr>
              <w:spacing w:before="40" w:after="20"/>
              <w:rPr>
                <w:rFonts w:ascii="Arial" w:hAnsi="Arial" w:cs="Arial"/>
                <w:sz w:val="20"/>
              </w:rPr>
            </w:pPr>
            <w:r>
              <w:rPr>
                <w:rFonts w:ascii="Arial" w:hAnsi="Arial" w:cs="Arial"/>
                <w:sz w:val="20"/>
              </w:rPr>
              <w:t>[1]</w:t>
            </w: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Total cost per hour</w:t>
            </w:r>
          </w:p>
        </w:tc>
        <w:tc>
          <w:tcPr>
            <w:tcW w:w="2268" w:type="dxa"/>
            <w:shd w:val="clear" w:color="auto" w:fill="E6E6E6"/>
            <w:vAlign w:val="center"/>
          </w:tcPr>
          <w:p w:rsidR="00B23F69" w:rsidRPr="003A5377" w:rsidRDefault="00B23F69" w:rsidP="00425648">
            <w:pPr>
              <w:spacing w:before="40" w:after="20"/>
              <w:jc w:val="right"/>
              <w:rPr>
                <w:rFonts w:ascii="Arial" w:hAnsi="Arial" w:cs="Arial"/>
                <w:b/>
                <w:sz w:val="20"/>
                <w:szCs w:val="26"/>
              </w:rPr>
            </w:pPr>
            <w:r w:rsidRPr="003A5377">
              <w:rPr>
                <w:rFonts w:ascii="Arial" w:hAnsi="Arial" w:cs="Arial"/>
                <w:b/>
                <w:sz w:val="20"/>
                <w:szCs w:val="26"/>
              </w:rPr>
              <w:t>£61</w:t>
            </w:r>
          </w:p>
        </w:tc>
        <w:tc>
          <w:tcPr>
            <w:tcW w:w="3685" w:type="dxa"/>
            <w:shd w:val="clear" w:color="auto" w:fill="E6E6E6"/>
          </w:tcPr>
          <w:p w:rsidR="00B23F69" w:rsidRPr="003A5377" w:rsidRDefault="00B23F69" w:rsidP="00425648">
            <w:pPr>
              <w:spacing w:before="40" w:after="20"/>
              <w:rPr>
                <w:rFonts w:ascii="Arial" w:hAnsi="Arial" w:cs="Arial"/>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Ratio of direct to indirect time*</w:t>
            </w:r>
          </w:p>
        </w:tc>
        <w:tc>
          <w:tcPr>
            <w:tcW w:w="2268" w:type="dxa"/>
            <w:shd w:val="clear" w:color="auto" w:fill="E6E6E6"/>
            <w:vAlign w:val="center"/>
          </w:tcPr>
          <w:p w:rsidR="00B23F69" w:rsidRPr="003A5377" w:rsidRDefault="00B23F69" w:rsidP="00425648">
            <w:pPr>
              <w:spacing w:before="40" w:after="20"/>
              <w:jc w:val="right"/>
              <w:rPr>
                <w:rFonts w:ascii="Arial" w:hAnsi="Arial" w:cs="Arial"/>
                <w:sz w:val="20"/>
              </w:rPr>
            </w:pPr>
            <w:r w:rsidRPr="003A5377">
              <w:rPr>
                <w:rFonts w:ascii="Arial" w:hAnsi="Arial" w:cs="Arial"/>
                <w:sz w:val="20"/>
              </w:rPr>
              <w:t>60:40</w:t>
            </w:r>
          </w:p>
        </w:tc>
        <w:tc>
          <w:tcPr>
            <w:tcW w:w="3685" w:type="dxa"/>
            <w:shd w:val="clear" w:color="auto" w:fill="E6E6E6"/>
          </w:tcPr>
          <w:p w:rsidR="00B23F69" w:rsidRPr="003A5377" w:rsidRDefault="007162CF" w:rsidP="004A6FB6">
            <w:pPr>
              <w:spacing w:before="40" w:after="20"/>
              <w:rPr>
                <w:rFonts w:ascii="Arial" w:hAnsi="Arial" w:cs="Arial"/>
                <w:sz w:val="20"/>
              </w:rPr>
            </w:pPr>
            <w:r>
              <w:rPr>
                <w:rFonts w:ascii="Arial" w:hAnsi="Arial" w:cs="Arial"/>
                <w:sz w:val="20"/>
              </w:rPr>
              <w:t>A</w:t>
            </w:r>
            <w:r w:rsidR="00B23F69" w:rsidRPr="003A5377">
              <w:rPr>
                <w:rFonts w:ascii="Arial" w:hAnsi="Arial" w:cs="Arial"/>
                <w:sz w:val="20"/>
              </w:rPr>
              <w:t>ssumption based on expert opinion and a review of respective ratios reported in the literature for clinical psychologists and other therapists delivering psychological interventions</w:t>
            </w:r>
            <w:r w:rsidR="009847A2">
              <w:rPr>
                <w:rFonts w:ascii="Arial" w:hAnsi="Arial" w:cs="Arial"/>
                <w:noProof/>
                <w:sz w:val="20"/>
              </w:rPr>
              <w:t xml:space="preserve"> </w:t>
            </w:r>
            <w:r w:rsidR="004A6FB6">
              <w:rPr>
                <w:rFonts w:ascii="Arial" w:hAnsi="Arial" w:cs="Arial"/>
                <w:noProof/>
                <w:sz w:val="20"/>
              </w:rPr>
              <w:t>[1]</w:t>
            </w: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Estimated cost per hour of direct contact</w:t>
            </w:r>
          </w:p>
        </w:tc>
        <w:tc>
          <w:tcPr>
            <w:tcW w:w="2268" w:type="dxa"/>
            <w:shd w:val="clear" w:color="auto" w:fill="E6E6E6"/>
            <w:vAlign w:val="center"/>
          </w:tcPr>
          <w:p w:rsidR="00B23F69" w:rsidRPr="00FF448B" w:rsidRDefault="00B23F69" w:rsidP="00425648">
            <w:pPr>
              <w:spacing w:before="40" w:after="20"/>
              <w:jc w:val="right"/>
              <w:rPr>
                <w:rFonts w:ascii="Arial" w:hAnsi="Arial" w:cs="Arial"/>
                <w:b/>
                <w:sz w:val="20"/>
                <w:szCs w:val="26"/>
              </w:rPr>
            </w:pPr>
            <w:r w:rsidRPr="00FF448B">
              <w:rPr>
                <w:rFonts w:ascii="Arial" w:hAnsi="Arial" w:cs="Arial"/>
                <w:b/>
                <w:sz w:val="20"/>
                <w:szCs w:val="26"/>
              </w:rPr>
              <w:t>£101</w:t>
            </w:r>
          </w:p>
        </w:tc>
        <w:tc>
          <w:tcPr>
            <w:tcW w:w="3685" w:type="dxa"/>
            <w:shd w:val="clear" w:color="auto" w:fill="E6E6E6"/>
          </w:tcPr>
          <w:p w:rsidR="00B23F69" w:rsidRPr="00FF448B" w:rsidRDefault="00B23F69" w:rsidP="00425648">
            <w:pPr>
              <w:spacing w:before="40" w:after="20"/>
              <w:rPr>
                <w:rFonts w:ascii="Arial" w:hAnsi="Arial" w:cs="Arial"/>
                <w:sz w:val="20"/>
              </w:rPr>
            </w:pPr>
          </w:p>
        </w:tc>
      </w:tr>
      <w:tr w:rsidR="00B23F69" w:rsidRPr="0075760B" w:rsidTr="00425648">
        <w:tc>
          <w:tcPr>
            <w:tcW w:w="9072" w:type="dxa"/>
            <w:gridSpan w:val="3"/>
            <w:shd w:val="clear" w:color="auto" w:fill="E6E6E6"/>
            <w:vAlign w:val="center"/>
          </w:tcPr>
          <w:p w:rsidR="00B23F69" w:rsidRPr="00FF448B" w:rsidRDefault="00B23F69" w:rsidP="00425648">
            <w:pPr>
              <w:spacing w:before="40" w:after="20"/>
              <w:rPr>
                <w:rFonts w:ascii="Arial" w:hAnsi="Arial" w:cs="Arial"/>
                <w:sz w:val="20"/>
              </w:rPr>
            </w:pPr>
            <w:r w:rsidRPr="00FF448B">
              <w:rPr>
                <w:rFonts w:ascii="Arial" w:hAnsi="Arial" w:cs="Arial"/>
                <w:sz w:val="20"/>
              </w:rPr>
              <w:t>* ratio of face-to-face time to time for preparation and other administrative tasks</w:t>
            </w:r>
          </w:p>
        </w:tc>
      </w:tr>
    </w:tbl>
    <w:p w:rsidR="00B23F69" w:rsidRDefault="00B23F69" w:rsidP="00425648">
      <w:pPr>
        <w:rPr>
          <w:rFonts w:ascii="Arial" w:hAnsi="Arial" w:cs="Arial"/>
          <w:color w:val="FF0000"/>
        </w:rPr>
      </w:pPr>
    </w:p>
    <w:p w:rsidR="009847A2" w:rsidRDefault="009847A2" w:rsidP="00425648">
      <w:pPr>
        <w:rPr>
          <w:rFonts w:ascii="Arial" w:hAnsi="Arial" w:cs="Arial"/>
          <w:color w:val="FF0000"/>
        </w:rPr>
      </w:pPr>
    </w:p>
    <w:p w:rsidR="00B23F69" w:rsidRPr="006153D0" w:rsidRDefault="00B23F69" w:rsidP="00425648">
      <w:pPr>
        <w:pStyle w:val="Heading2"/>
      </w:pPr>
      <w:r w:rsidRPr="008E7D76">
        <w:lastRenderedPageBreak/>
        <w:t xml:space="preserve">Estimation of the unit cost </w:t>
      </w:r>
      <w:r>
        <w:t xml:space="preserve">of </w:t>
      </w:r>
      <w:r w:rsidRPr="008E7D76">
        <w:t>a psychologi</w:t>
      </w:r>
      <w:r>
        <w:t>cal well-being practitioner</w:t>
      </w:r>
      <w:r w:rsidRPr="008E7D76">
        <w:t xml:space="preserve"> [salary Band </w:t>
      </w:r>
      <w:r>
        <w:t>5</w:t>
      </w:r>
      <w:r w:rsidRPr="008E7D76">
        <w:t xml:space="preserve"> according to the NHS Agenda for Change for </w:t>
      </w:r>
      <w:r w:rsidR="00654E1A" w:rsidRPr="00654E1A">
        <w:t>community-based scientific and professional staff</w:t>
      </w:r>
      <w:r w:rsidRPr="008E7D76">
        <w:t>]</w:t>
      </w:r>
    </w:p>
    <w:tbl>
      <w:tblPr>
        <w:tblW w:w="9072" w:type="dxa"/>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3119"/>
        <w:gridCol w:w="2268"/>
        <w:gridCol w:w="3685"/>
      </w:tblGrid>
      <w:tr w:rsidR="00B23F69" w:rsidRPr="00B30DB2" w:rsidTr="00425648">
        <w:trPr>
          <w:tblHeader/>
        </w:trPr>
        <w:tc>
          <w:tcPr>
            <w:tcW w:w="3119" w:type="dxa"/>
            <w:shd w:val="clear" w:color="auto" w:fill="B7E3CB"/>
            <w:vAlign w:val="center"/>
          </w:tcPr>
          <w:p w:rsidR="00B23F69" w:rsidRPr="00B30DB2" w:rsidRDefault="00B23F69" w:rsidP="00425648">
            <w:pPr>
              <w:spacing w:before="40" w:after="20"/>
              <w:rPr>
                <w:rFonts w:ascii="Arial" w:hAnsi="Arial" w:cs="Arial"/>
                <w:b/>
                <w:sz w:val="20"/>
                <w:szCs w:val="26"/>
              </w:rPr>
            </w:pPr>
            <w:r w:rsidRPr="00B30DB2">
              <w:rPr>
                <w:rFonts w:ascii="Arial" w:hAnsi="Arial" w:cs="Arial"/>
                <w:b/>
                <w:bCs/>
                <w:sz w:val="20"/>
                <w:szCs w:val="26"/>
              </w:rPr>
              <w:t>Cost element</w:t>
            </w:r>
          </w:p>
        </w:tc>
        <w:tc>
          <w:tcPr>
            <w:tcW w:w="2268" w:type="dxa"/>
            <w:shd w:val="clear" w:color="auto" w:fill="B7E3CB"/>
            <w:vAlign w:val="center"/>
          </w:tcPr>
          <w:p w:rsidR="00B23F69" w:rsidRPr="00B30DB2" w:rsidRDefault="00B23F69" w:rsidP="00425648">
            <w:pPr>
              <w:spacing w:before="40" w:after="20"/>
              <w:jc w:val="center"/>
              <w:rPr>
                <w:rFonts w:ascii="Arial" w:hAnsi="Arial" w:cs="Arial"/>
                <w:b/>
                <w:sz w:val="20"/>
                <w:szCs w:val="26"/>
              </w:rPr>
            </w:pPr>
            <w:r w:rsidRPr="00B30DB2">
              <w:rPr>
                <w:rFonts w:ascii="Arial" w:hAnsi="Arial" w:cs="Arial"/>
                <w:b/>
                <w:sz w:val="20"/>
                <w:szCs w:val="26"/>
              </w:rPr>
              <w:t>Unit cost (2017</w:t>
            </w:r>
            <w:r>
              <w:rPr>
                <w:rFonts w:ascii="Arial" w:hAnsi="Arial" w:cs="Arial"/>
                <w:b/>
                <w:sz w:val="20"/>
                <w:szCs w:val="26"/>
              </w:rPr>
              <w:t xml:space="preserve"> price</w:t>
            </w:r>
            <w:r w:rsidRPr="00B30DB2">
              <w:rPr>
                <w:rFonts w:ascii="Arial" w:hAnsi="Arial" w:cs="Arial"/>
                <w:b/>
                <w:sz w:val="20"/>
                <w:szCs w:val="26"/>
              </w:rPr>
              <w:t>)</w:t>
            </w:r>
          </w:p>
        </w:tc>
        <w:tc>
          <w:tcPr>
            <w:tcW w:w="3685" w:type="dxa"/>
            <w:shd w:val="clear" w:color="auto" w:fill="B7E3CB"/>
          </w:tcPr>
          <w:p w:rsidR="00B23F69" w:rsidRPr="00B30DB2" w:rsidRDefault="00B23F69" w:rsidP="00425648">
            <w:pPr>
              <w:spacing w:before="40" w:after="20"/>
              <w:rPr>
                <w:rFonts w:ascii="Arial" w:hAnsi="Arial" w:cs="Arial"/>
                <w:b/>
                <w:sz w:val="20"/>
                <w:szCs w:val="26"/>
              </w:rPr>
            </w:pPr>
            <w:r w:rsidRPr="00B30DB2">
              <w:rPr>
                <w:rFonts w:ascii="Arial" w:hAnsi="Arial" w:cs="Arial"/>
                <w:b/>
                <w:sz w:val="20"/>
                <w:szCs w:val="26"/>
              </w:rPr>
              <w:t>Source</w:t>
            </w: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Wages – salary (annual)</w:t>
            </w:r>
          </w:p>
        </w:tc>
        <w:tc>
          <w:tcPr>
            <w:tcW w:w="2268" w:type="dxa"/>
            <w:shd w:val="clear" w:color="auto" w:fill="E6E6E6"/>
            <w:vAlign w:val="center"/>
          </w:tcPr>
          <w:p w:rsidR="00B23F69" w:rsidRPr="004F244F" w:rsidRDefault="00B23F69" w:rsidP="00425648">
            <w:pPr>
              <w:spacing w:before="40" w:after="20"/>
              <w:jc w:val="right"/>
              <w:rPr>
                <w:rFonts w:ascii="Arial" w:hAnsi="Arial" w:cs="Arial"/>
                <w:color w:val="FF0000"/>
                <w:sz w:val="20"/>
                <w:szCs w:val="20"/>
              </w:rPr>
            </w:pPr>
            <w:r w:rsidRPr="004F244F">
              <w:rPr>
                <w:rFonts w:ascii="Arial" w:eastAsia="Arial" w:hAnsi="Arial" w:cs="Times New Roman"/>
                <w:sz w:val="20"/>
                <w:szCs w:val="20"/>
              </w:rPr>
              <w:t>£23,439</w:t>
            </w:r>
          </w:p>
        </w:tc>
        <w:tc>
          <w:tcPr>
            <w:tcW w:w="3685" w:type="dxa"/>
            <w:vMerge w:val="restart"/>
            <w:shd w:val="clear" w:color="auto" w:fill="E6E6E6"/>
            <w:vAlign w:val="center"/>
          </w:tcPr>
          <w:p w:rsidR="00B23F69" w:rsidRPr="00883828" w:rsidRDefault="004A6FB6">
            <w:pPr>
              <w:spacing w:before="40" w:after="20"/>
              <w:rPr>
                <w:rFonts w:ascii="Arial" w:hAnsi="Arial" w:cs="Arial"/>
                <w:sz w:val="20"/>
              </w:rPr>
            </w:pPr>
            <w:r>
              <w:rPr>
                <w:rFonts w:ascii="Arial" w:hAnsi="Arial" w:cs="Arial"/>
                <w:sz w:val="20"/>
              </w:rPr>
              <w:t>[1]</w:t>
            </w:r>
            <w:r w:rsidR="00B23F69" w:rsidRPr="00883828">
              <w:rPr>
                <w:rFonts w:ascii="Arial" w:hAnsi="Arial" w:cs="Arial"/>
                <w:sz w:val="20"/>
              </w:rPr>
              <w:t>; unit cost of community-based scientific &amp; professional staff</w:t>
            </w:r>
            <w:r w:rsidR="00B23F69">
              <w:rPr>
                <w:rFonts w:ascii="Arial" w:hAnsi="Arial" w:cs="Arial"/>
                <w:sz w:val="20"/>
              </w:rPr>
              <w:t xml:space="preserve"> (Agenda for Change band 5</w:t>
            </w:r>
            <w:r w:rsidR="00B23F69" w:rsidRPr="00883828">
              <w:rPr>
                <w:rFonts w:ascii="Arial" w:hAnsi="Arial" w:cs="Arial"/>
                <w:sz w:val="20"/>
              </w:rPr>
              <w:t>)</w:t>
            </w: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Salary on-costs (annual)</w:t>
            </w:r>
          </w:p>
        </w:tc>
        <w:tc>
          <w:tcPr>
            <w:tcW w:w="2268" w:type="dxa"/>
            <w:shd w:val="clear" w:color="auto" w:fill="E6E6E6"/>
          </w:tcPr>
          <w:p w:rsidR="00B23F69" w:rsidRPr="004F244F" w:rsidRDefault="00B23F69" w:rsidP="00425648">
            <w:pPr>
              <w:pStyle w:val="TableTextRight"/>
              <w:rPr>
                <w:rFonts w:ascii="Arial" w:hAnsi="Arial" w:cs="Arial"/>
                <w:color w:val="FF0000"/>
                <w:szCs w:val="20"/>
              </w:rPr>
            </w:pPr>
            <w:r w:rsidRPr="004F244F">
              <w:rPr>
                <w:rFonts w:ascii="Arial" w:hAnsi="Arial" w:cs="Arial"/>
                <w:szCs w:val="20"/>
              </w:rPr>
              <w:t>£5,493</w:t>
            </w:r>
          </w:p>
        </w:tc>
        <w:tc>
          <w:tcPr>
            <w:tcW w:w="3685" w:type="dxa"/>
            <w:vMerge/>
            <w:shd w:val="clear" w:color="auto" w:fill="E6E6E6"/>
          </w:tcPr>
          <w:p w:rsidR="00B23F69" w:rsidRPr="00883828" w:rsidRDefault="00B23F69" w:rsidP="00425648">
            <w:pPr>
              <w:spacing w:before="40" w:after="20"/>
              <w:rPr>
                <w:rFonts w:ascii="Arial" w:hAnsi="Arial" w:cs="Arial"/>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Overheads – staff (annual)</w:t>
            </w:r>
          </w:p>
        </w:tc>
        <w:tc>
          <w:tcPr>
            <w:tcW w:w="2268" w:type="dxa"/>
            <w:shd w:val="clear" w:color="auto" w:fill="E6E6E6"/>
          </w:tcPr>
          <w:p w:rsidR="00B23F69" w:rsidRPr="004F244F" w:rsidRDefault="00B23F69" w:rsidP="00425648">
            <w:pPr>
              <w:pStyle w:val="TableTextRight"/>
              <w:rPr>
                <w:rFonts w:ascii="Arial" w:hAnsi="Arial" w:cs="Arial"/>
                <w:color w:val="FF0000"/>
                <w:szCs w:val="20"/>
              </w:rPr>
            </w:pPr>
            <w:r w:rsidRPr="004F244F">
              <w:rPr>
                <w:rFonts w:ascii="Arial" w:hAnsi="Arial" w:cs="Arial"/>
                <w:szCs w:val="20"/>
              </w:rPr>
              <w:t>£7,088</w:t>
            </w:r>
          </w:p>
        </w:tc>
        <w:tc>
          <w:tcPr>
            <w:tcW w:w="3685" w:type="dxa"/>
            <w:vMerge/>
            <w:shd w:val="clear" w:color="auto" w:fill="E6E6E6"/>
          </w:tcPr>
          <w:p w:rsidR="00B23F69" w:rsidRPr="00883828" w:rsidRDefault="00B23F69" w:rsidP="00425648">
            <w:pPr>
              <w:spacing w:before="40" w:after="20"/>
              <w:rPr>
                <w:rFonts w:ascii="Arial" w:hAnsi="Arial" w:cs="Arial"/>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Overheads - non-staff (annual)</w:t>
            </w:r>
          </w:p>
        </w:tc>
        <w:tc>
          <w:tcPr>
            <w:tcW w:w="2268" w:type="dxa"/>
            <w:shd w:val="clear" w:color="auto" w:fill="E6E6E6"/>
          </w:tcPr>
          <w:p w:rsidR="00B23F69" w:rsidRPr="004F244F" w:rsidRDefault="00B23F69" w:rsidP="00425648">
            <w:pPr>
              <w:pStyle w:val="TableTextRight"/>
              <w:rPr>
                <w:rFonts w:ascii="Arial" w:hAnsi="Arial" w:cs="Arial"/>
                <w:color w:val="FF0000"/>
                <w:szCs w:val="20"/>
              </w:rPr>
            </w:pPr>
            <w:r w:rsidRPr="004F244F">
              <w:rPr>
                <w:rFonts w:ascii="Arial" w:hAnsi="Arial" w:cs="Arial"/>
                <w:szCs w:val="20"/>
              </w:rPr>
              <w:t>£11,052</w:t>
            </w:r>
          </w:p>
        </w:tc>
        <w:tc>
          <w:tcPr>
            <w:tcW w:w="3685" w:type="dxa"/>
            <w:vMerge/>
            <w:shd w:val="clear" w:color="auto" w:fill="E6E6E6"/>
          </w:tcPr>
          <w:p w:rsidR="00B23F69" w:rsidRPr="00883828" w:rsidRDefault="00B23F69" w:rsidP="00425648">
            <w:pPr>
              <w:spacing w:before="40" w:after="20"/>
              <w:rPr>
                <w:rFonts w:ascii="Arial" w:hAnsi="Arial" w:cs="Arial"/>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Capital overheads (annual)</w:t>
            </w:r>
          </w:p>
        </w:tc>
        <w:tc>
          <w:tcPr>
            <w:tcW w:w="2268" w:type="dxa"/>
            <w:shd w:val="clear" w:color="auto" w:fill="E6E6E6"/>
            <w:vAlign w:val="center"/>
          </w:tcPr>
          <w:p w:rsidR="00B23F69" w:rsidRPr="004F244F" w:rsidRDefault="00B23F69" w:rsidP="00425648">
            <w:pPr>
              <w:pStyle w:val="TableTextRight"/>
              <w:rPr>
                <w:rFonts w:ascii="Arial" w:hAnsi="Arial" w:cs="Arial"/>
                <w:szCs w:val="20"/>
              </w:rPr>
            </w:pPr>
            <w:r w:rsidRPr="004F244F">
              <w:rPr>
                <w:rFonts w:ascii="Arial" w:hAnsi="Arial" w:cs="Arial"/>
                <w:szCs w:val="20"/>
              </w:rPr>
              <w:t>£5,125</w:t>
            </w:r>
          </w:p>
        </w:tc>
        <w:tc>
          <w:tcPr>
            <w:tcW w:w="3685" w:type="dxa"/>
            <w:vMerge/>
            <w:shd w:val="clear" w:color="auto" w:fill="E6E6E6"/>
          </w:tcPr>
          <w:p w:rsidR="00B23F69" w:rsidRPr="00883828" w:rsidRDefault="00B23F69" w:rsidP="00425648">
            <w:pPr>
              <w:spacing w:before="40" w:after="20"/>
              <w:rPr>
                <w:rFonts w:ascii="Arial" w:hAnsi="Arial" w:cs="Arial"/>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Qualifications (total)</w:t>
            </w:r>
          </w:p>
        </w:tc>
        <w:tc>
          <w:tcPr>
            <w:tcW w:w="2268" w:type="dxa"/>
            <w:shd w:val="clear" w:color="auto" w:fill="E6E6E6"/>
            <w:vAlign w:val="center"/>
          </w:tcPr>
          <w:p w:rsidR="00B23F69" w:rsidRPr="00137E99" w:rsidRDefault="00B23F69" w:rsidP="00425648">
            <w:pPr>
              <w:spacing w:before="40" w:after="20"/>
              <w:jc w:val="right"/>
              <w:rPr>
                <w:rFonts w:ascii="Arial" w:hAnsi="Arial" w:cs="Arial"/>
                <w:color w:val="FF0000"/>
                <w:sz w:val="20"/>
              </w:rPr>
            </w:pPr>
            <w:r w:rsidRPr="004F244F">
              <w:rPr>
                <w:rFonts w:ascii="Arial" w:hAnsi="Arial" w:cs="Arial"/>
                <w:sz w:val="20"/>
              </w:rPr>
              <w:t>£494</w:t>
            </w:r>
          </w:p>
        </w:tc>
        <w:tc>
          <w:tcPr>
            <w:tcW w:w="3685" w:type="dxa"/>
            <w:shd w:val="clear" w:color="auto" w:fill="E6E6E6"/>
          </w:tcPr>
          <w:p w:rsidR="00B23F69" w:rsidRPr="00A748AD" w:rsidRDefault="00B23F69" w:rsidP="004A6FB6">
            <w:pPr>
              <w:spacing w:before="40" w:after="20"/>
              <w:rPr>
                <w:rFonts w:ascii="Arial" w:hAnsi="Arial" w:cs="Arial"/>
                <w:sz w:val="20"/>
              </w:rPr>
            </w:pPr>
            <w:r w:rsidRPr="004F244F">
              <w:rPr>
                <w:rFonts w:ascii="Arial" w:hAnsi="Arial" w:cs="Arial"/>
                <w:sz w:val="20"/>
              </w:rPr>
              <w:t>Based on a training cost estimate of £5,000 (expe</w:t>
            </w:r>
            <w:r w:rsidR="009847A2">
              <w:rPr>
                <w:rFonts w:ascii="Arial" w:hAnsi="Arial" w:cs="Arial"/>
                <w:sz w:val="20"/>
              </w:rPr>
              <w:t xml:space="preserve">rt advice), </w:t>
            </w:r>
            <w:proofErr w:type="spellStart"/>
            <w:r w:rsidR="009847A2">
              <w:rPr>
                <w:rFonts w:ascii="Arial" w:hAnsi="Arial" w:cs="Arial"/>
                <w:sz w:val="20"/>
              </w:rPr>
              <w:t>annuitised</w:t>
            </w:r>
            <w:proofErr w:type="spellEnd"/>
            <w:r w:rsidR="009847A2">
              <w:rPr>
                <w:rFonts w:ascii="Arial" w:hAnsi="Arial" w:cs="Arial"/>
                <w:sz w:val="20"/>
              </w:rPr>
              <w:t xml:space="preserve"> using a published</w:t>
            </w:r>
            <w:r w:rsidRPr="004F244F">
              <w:rPr>
                <w:rFonts w:ascii="Arial" w:hAnsi="Arial" w:cs="Arial"/>
                <w:sz w:val="20"/>
              </w:rPr>
              <w:t xml:space="preserve"> formula</w:t>
            </w:r>
            <w:r w:rsidR="004A6FB6">
              <w:rPr>
                <w:rFonts w:ascii="Arial" w:hAnsi="Arial" w:cs="Arial"/>
                <w:sz w:val="20"/>
              </w:rPr>
              <w:t xml:space="preserve"> [3]</w:t>
            </w:r>
            <w:r w:rsidRPr="00A748AD">
              <w:rPr>
                <w:rFonts w:ascii="Arial" w:hAnsi="Arial" w:cs="Arial"/>
                <w:sz w:val="20"/>
              </w:rPr>
              <w:t xml:space="preserve">, </w:t>
            </w:r>
            <w:r w:rsidRPr="004F244F">
              <w:rPr>
                <w:rFonts w:ascii="Arial" w:hAnsi="Arial" w:cs="Arial"/>
                <w:sz w:val="20"/>
              </w:rPr>
              <w:t>assuming a useful working life of 20 years, a time from obtaining the qualification until retirement of 44 years, and an equal distribution of the useful working life over the period of 44 years due to lack of specific information on this distribution.</w:t>
            </w:r>
          </w:p>
        </w:tc>
      </w:tr>
      <w:tr w:rsidR="00B23F69" w:rsidRPr="0075760B" w:rsidTr="00425648">
        <w:tc>
          <w:tcPr>
            <w:tcW w:w="3119" w:type="dxa"/>
            <w:shd w:val="clear" w:color="auto" w:fill="E6E6E6"/>
            <w:vAlign w:val="center"/>
          </w:tcPr>
          <w:p w:rsidR="00B23F69" w:rsidRPr="004F244F" w:rsidRDefault="00B23F69" w:rsidP="00425648">
            <w:pPr>
              <w:spacing w:before="40" w:after="20"/>
              <w:rPr>
                <w:rFonts w:ascii="Arial" w:hAnsi="Arial" w:cs="Arial"/>
                <w:b/>
                <w:sz w:val="20"/>
                <w:szCs w:val="26"/>
              </w:rPr>
            </w:pPr>
            <w:r w:rsidRPr="004F244F">
              <w:rPr>
                <w:rFonts w:ascii="Arial" w:hAnsi="Arial" w:cs="Arial"/>
                <w:b/>
                <w:sz w:val="20"/>
                <w:szCs w:val="26"/>
              </w:rPr>
              <w:t>Supervision (annual)</w:t>
            </w:r>
          </w:p>
        </w:tc>
        <w:tc>
          <w:tcPr>
            <w:tcW w:w="2268" w:type="dxa"/>
            <w:shd w:val="clear" w:color="auto" w:fill="E6E6E6"/>
            <w:vAlign w:val="center"/>
          </w:tcPr>
          <w:p w:rsidR="00B23F69" w:rsidRPr="004F244F" w:rsidRDefault="00B23F69" w:rsidP="00425648">
            <w:pPr>
              <w:spacing w:before="40" w:after="20"/>
              <w:jc w:val="right"/>
              <w:rPr>
                <w:rFonts w:ascii="Arial" w:hAnsi="Arial" w:cs="Arial"/>
                <w:sz w:val="20"/>
              </w:rPr>
            </w:pPr>
            <w:r w:rsidRPr="004F244F">
              <w:rPr>
                <w:rFonts w:ascii="Arial" w:hAnsi="Arial" w:cs="Arial"/>
                <w:sz w:val="20"/>
              </w:rPr>
              <w:t>£1,460</w:t>
            </w:r>
          </w:p>
        </w:tc>
        <w:tc>
          <w:tcPr>
            <w:tcW w:w="3685" w:type="dxa"/>
            <w:shd w:val="clear" w:color="auto" w:fill="E6E6E6"/>
          </w:tcPr>
          <w:p w:rsidR="00B23F69" w:rsidRPr="004F244F" w:rsidRDefault="00B23F69" w:rsidP="007162CF">
            <w:pPr>
              <w:spacing w:before="40" w:after="20"/>
              <w:rPr>
                <w:rFonts w:ascii="Arial" w:hAnsi="Arial" w:cs="Arial"/>
                <w:sz w:val="20"/>
              </w:rPr>
            </w:pPr>
            <w:r w:rsidRPr="004F244F">
              <w:rPr>
                <w:rFonts w:ascii="Arial" w:hAnsi="Arial" w:cs="Arial"/>
                <w:sz w:val="20"/>
              </w:rPr>
              <w:t xml:space="preserve">Based on the unit cost of an Agenda for Change band 7 </w:t>
            </w:r>
            <w:r w:rsidR="007162CF">
              <w:rPr>
                <w:rFonts w:ascii="Arial" w:hAnsi="Arial" w:cs="Arial"/>
                <w:sz w:val="20"/>
              </w:rPr>
              <w:t>psychological therapist</w:t>
            </w:r>
            <w:r w:rsidRPr="004F244F">
              <w:rPr>
                <w:rFonts w:ascii="Arial" w:hAnsi="Arial" w:cs="Arial"/>
                <w:sz w:val="20"/>
              </w:rPr>
              <w:t xml:space="preserve"> as estimated in previous table, providing 2 hours of individual supervision per month.</w:t>
            </w: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SUM of cost elements (annual)</w:t>
            </w:r>
          </w:p>
        </w:tc>
        <w:tc>
          <w:tcPr>
            <w:tcW w:w="2268" w:type="dxa"/>
            <w:shd w:val="clear" w:color="auto" w:fill="E6E6E6"/>
            <w:vAlign w:val="center"/>
          </w:tcPr>
          <w:p w:rsidR="00B23F69" w:rsidRPr="00FF448B" w:rsidRDefault="00B23F69" w:rsidP="00425648">
            <w:pPr>
              <w:spacing w:before="40" w:after="20"/>
              <w:jc w:val="right"/>
              <w:rPr>
                <w:rFonts w:ascii="Arial" w:hAnsi="Arial" w:cs="Arial"/>
                <w:b/>
                <w:sz w:val="20"/>
                <w:szCs w:val="26"/>
              </w:rPr>
            </w:pPr>
            <w:r w:rsidRPr="00FF448B">
              <w:rPr>
                <w:rFonts w:ascii="Arial" w:hAnsi="Arial" w:cs="Arial"/>
                <w:b/>
                <w:sz w:val="20"/>
                <w:szCs w:val="26"/>
              </w:rPr>
              <w:t>£</w:t>
            </w:r>
            <w:r>
              <w:rPr>
                <w:rFonts w:ascii="Arial" w:hAnsi="Arial" w:cs="Arial"/>
                <w:b/>
                <w:sz w:val="20"/>
                <w:szCs w:val="26"/>
              </w:rPr>
              <w:t>54</w:t>
            </w:r>
            <w:r w:rsidRPr="00FF448B">
              <w:rPr>
                <w:rFonts w:ascii="Arial" w:hAnsi="Arial" w:cs="Arial"/>
                <w:b/>
                <w:sz w:val="20"/>
                <w:szCs w:val="26"/>
              </w:rPr>
              <w:t>,</w:t>
            </w:r>
            <w:r>
              <w:rPr>
                <w:rFonts w:ascii="Arial" w:hAnsi="Arial" w:cs="Arial"/>
                <w:b/>
                <w:sz w:val="20"/>
                <w:szCs w:val="26"/>
              </w:rPr>
              <w:t>150</w:t>
            </w:r>
          </w:p>
        </w:tc>
        <w:tc>
          <w:tcPr>
            <w:tcW w:w="3685" w:type="dxa"/>
            <w:shd w:val="clear" w:color="auto" w:fill="E6E6E6"/>
          </w:tcPr>
          <w:p w:rsidR="00B23F69" w:rsidRPr="0075760B" w:rsidRDefault="00B23F69" w:rsidP="00425648">
            <w:pPr>
              <w:spacing w:before="40" w:after="20"/>
              <w:rPr>
                <w:rFonts w:ascii="Arial" w:hAnsi="Arial" w:cs="Arial"/>
                <w:color w:val="FF0000"/>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sz w:val="20"/>
              </w:rPr>
            </w:pPr>
            <w:r w:rsidRPr="00FF448B">
              <w:rPr>
                <w:rFonts w:ascii="Arial" w:hAnsi="Arial" w:cs="Arial"/>
                <w:sz w:val="20"/>
              </w:rPr>
              <w:t>Working time</w:t>
            </w:r>
          </w:p>
        </w:tc>
        <w:tc>
          <w:tcPr>
            <w:tcW w:w="2268" w:type="dxa"/>
            <w:shd w:val="clear" w:color="auto" w:fill="E6E6E6"/>
            <w:vAlign w:val="center"/>
          </w:tcPr>
          <w:p w:rsidR="00B23F69" w:rsidRPr="003A5377" w:rsidRDefault="00B23F69" w:rsidP="00425648">
            <w:pPr>
              <w:spacing w:before="40" w:after="20"/>
              <w:jc w:val="right"/>
              <w:rPr>
                <w:rFonts w:ascii="Arial" w:hAnsi="Arial" w:cs="Arial"/>
                <w:sz w:val="20"/>
              </w:rPr>
            </w:pPr>
            <w:r w:rsidRPr="003A5377">
              <w:rPr>
                <w:rFonts w:ascii="Arial" w:hAnsi="Arial" w:cs="Arial"/>
                <w:sz w:val="20"/>
              </w:rPr>
              <w:t>42.6 weeks /year</w:t>
            </w:r>
          </w:p>
          <w:p w:rsidR="00B23F69" w:rsidRPr="003A5377" w:rsidRDefault="00B23F69" w:rsidP="00425648">
            <w:pPr>
              <w:spacing w:before="40" w:after="20"/>
              <w:jc w:val="right"/>
              <w:rPr>
                <w:rFonts w:ascii="Arial" w:hAnsi="Arial" w:cs="Arial"/>
                <w:sz w:val="20"/>
              </w:rPr>
            </w:pPr>
            <w:r w:rsidRPr="003A5377">
              <w:rPr>
                <w:rFonts w:ascii="Arial" w:hAnsi="Arial" w:cs="Arial"/>
                <w:sz w:val="20"/>
              </w:rPr>
              <w:t>37.5 hours /week</w:t>
            </w:r>
          </w:p>
          <w:p w:rsidR="00B23F69" w:rsidRPr="003A5377" w:rsidRDefault="00B23F69" w:rsidP="00425648">
            <w:pPr>
              <w:spacing w:before="40" w:after="20"/>
              <w:jc w:val="right"/>
              <w:rPr>
                <w:rFonts w:ascii="Arial" w:hAnsi="Arial" w:cs="Arial"/>
                <w:sz w:val="20"/>
              </w:rPr>
            </w:pPr>
            <w:r w:rsidRPr="003A5377">
              <w:rPr>
                <w:rFonts w:ascii="Arial" w:hAnsi="Arial" w:cs="Arial"/>
                <w:sz w:val="20"/>
              </w:rPr>
              <w:t>(1,599 hours)</w:t>
            </w:r>
          </w:p>
        </w:tc>
        <w:tc>
          <w:tcPr>
            <w:tcW w:w="3685" w:type="dxa"/>
            <w:shd w:val="clear" w:color="auto" w:fill="E6E6E6"/>
          </w:tcPr>
          <w:p w:rsidR="00B23F69" w:rsidRPr="003A5377" w:rsidRDefault="004A6FB6" w:rsidP="00573753">
            <w:pPr>
              <w:spacing w:before="40" w:after="20"/>
              <w:rPr>
                <w:rFonts w:ascii="Arial" w:hAnsi="Arial" w:cs="Arial"/>
                <w:sz w:val="20"/>
              </w:rPr>
            </w:pPr>
            <w:r>
              <w:rPr>
                <w:rFonts w:ascii="Arial" w:hAnsi="Arial" w:cs="Arial"/>
                <w:sz w:val="20"/>
              </w:rPr>
              <w:t>[1]</w:t>
            </w: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Total cost per hour</w:t>
            </w:r>
          </w:p>
        </w:tc>
        <w:tc>
          <w:tcPr>
            <w:tcW w:w="2268" w:type="dxa"/>
            <w:shd w:val="clear" w:color="auto" w:fill="E6E6E6"/>
            <w:vAlign w:val="center"/>
          </w:tcPr>
          <w:p w:rsidR="00B23F69" w:rsidRPr="003A5377" w:rsidRDefault="00B23F69" w:rsidP="00425648">
            <w:pPr>
              <w:spacing w:before="40" w:after="20"/>
              <w:jc w:val="right"/>
              <w:rPr>
                <w:rFonts w:ascii="Arial" w:hAnsi="Arial" w:cs="Arial"/>
                <w:b/>
                <w:sz w:val="20"/>
                <w:szCs w:val="26"/>
              </w:rPr>
            </w:pPr>
            <w:r>
              <w:rPr>
                <w:rFonts w:ascii="Arial" w:hAnsi="Arial" w:cs="Arial"/>
                <w:b/>
                <w:sz w:val="20"/>
                <w:szCs w:val="26"/>
              </w:rPr>
              <w:t>£34</w:t>
            </w:r>
          </w:p>
        </w:tc>
        <w:tc>
          <w:tcPr>
            <w:tcW w:w="3685" w:type="dxa"/>
            <w:shd w:val="clear" w:color="auto" w:fill="E6E6E6"/>
          </w:tcPr>
          <w:p w:rsidR="00B23F69" w:rsidRPr="003A5377" w:rsidRDefault="00B23F69" w:rsidP="00425648">
            <w:pPr>
              <w:spacing w:before="40" w:after="20"/>
              <w:rPr>
                <w:rFonts w:ascii="Arial" w:hAnsi="Arial" w:cs="Arial"/>
                <w:sz w:val="20"/>
              </w:rPr>
            </w:pP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Ratio of direct to indirect time*</w:t>
            </w:r>
          </w:p>
        </w:tc>
        <w:tc>
          <w:tcPr>
            <w:tcW w:w="2268" w:type="dxa"/>
            <w:shd w:val="clear" w:color="auto" w:fill="E6E6E6"/>
            <w:vAlign w:val="center"/>
          </w:tcPr>
          <w:p w:rsidR="00B23F69" w:rsidRPr="003A5377" w:rsidRDefault="00B23F69" w:rsidP="00425648">
            <w:pPr>
              <w:spacing w:before="40" w:after="20"/>
              <w:jc w:val="right"/>
              <w:rPr>
                <w:rFonts w:ascii="Arial" w:hAnsi="Arial" w:cs="Arial"/>
                <w:sz w:val="20"/>
              </w:rPr>
            </w:pPr>
            <w:r>
              <w:rPr>
                <w:rFonts w:ascii="Arial" w:hAnsi="Arial" w:cs="Arial"/>
                <w:sz w:val="20"/>
              </w:rPr>
              <w:t>4:1</w:t>
            </w:r>
          </w:p>
        </w:tc>
        <w:tc>
          <w:tcPr>
            <w:tcW w:w="3685" w:type="dxa"/>
            <w:shd w:val="clear" w:color="auto" w:fill="E6E6E6"/>
          </w:tcPr>
          <w:p w:rsidR="00B23F69" w:rsidRPr="003A5377" w:rsidRDefault="007162CF" w:rsidP="00425648">
            <w:pPr>
              <w:spacing w:before="40" w:after="20"/>
              <w:rPr>
                <w:rFonts w:ascii="Arial" w:hAnsi="Arial" w:cs="Arial"/>
                <w:sz w:val="20"/>
              </w:rPr>
            </w:pPr>
            <w:r>
              <w:rPr>
                <w:rFonts w:ascii="Arial" w:hAnsi="Arial" w:cs="Arial"/>
                <w:sz w:val="20"/>
              </w:rPr>
              <w:t>A</w:t>
            </w:r>
            <w:r w:rsidR="00B23F69" w:rsidRPr="003A5377">
              <w:rPr>
                <w:rFonts w:ascii="Arial" w:hAnsi="Arial" w:cs="Arial"/>
                <w:sz w:val="20"/>
              </w:rPr>
              <w:t>ss</w:t>
            </w:r>
            <w:r w:rsidR="00B23F69">
              <w:rPr>
                <w:rFonts w:ascii="Arial" w:hAnsi="Arial" w:cs="Arial"/>
                <w:sz w:val="20"/>
              </w:rPr>
              <w:t>umption based on expert opinion</w:t>
            </w:r>
          </w:p>
        </w:tc>
      </w:tr>
      <w:tr w:rsidR="00B23F69" w:rsidRPr="0075760B" w:rsidTr="00425648">
        <w:tc>
          <w:tcPr>
            <w:tcW w:w="3119" w:type="dxa"/>
            <w:shd w:val="clear" w:color="auto" w:fill="E6E6E6"/>
            <w:vAlign w:val="center"/>
          </w:tcPr>
          <w:p w:rsidR="00B23F69" w:rsidRPr="00FF448B" w:rsidRDefault="00B23F69" w:rsidP="00425648">
            <w:pPr>
              <w:spacing w:before="40" w:after="20"/>
              <w:rPr>
                <w:rFonts w:ascii="Arial" w:hAnsi="Arial" w:cs="Arial"/>
                <w:b/>
                <w:sz w:val="20"/>
                <w:szCs w:val="26"/>
              </w:rPr>
            </w:pPr>
            <w:r w:rsidRPr="00FF448B">
              <w:rPr>
                <w:rFonts w:ascii="Arial" w:hAnsi="Arial" w:cs="Arial"/>
                <w:b/>
                <w:sz w:val="20"/>
                <w:szCs w:val="26"/>
              </w:rPr>
              <w:t>Estimated cost per hour of direct contact</w:t>
            </w:r>
          </w:p>
        </w:tc>
        <w:tc>
          <w:tcPr>
            <w:tcW w:w="2268" w:type="dxa"/>
            <w:shd w:val="clear" w:color="auto" w:fill="E6E6E6"/>
            <w:vAlign w:val="center"/>
          </w:tcPr>
          <w:p w:rsidR="00B23F69" w:rsidRPr="00FF448B" w:rsidRDefault="00B23F69" w:rsidP="00425648">
            <w:pPr>
              <w:spacing w:before="40" w:after="20"/>
              <w:jc w:val="right"/>
              <w:rPr>
                <w:rFonts w:ascii="Arial" w:hAnsi="Arial" w:cs="Arial"/>
                <w:b/>
                <w:sz w:val="20"/>
                <w:szCs w:val="26"/>
              </w:rPr>
            </w:pPr>
            <w:r w:rsidRPr="00FF448B">
              <w:rPr>
                <w:rFonts w:ascii="Arial" w:hAnsi="Arial" w:cs="Arial"/>
                <w:b/>
                <w:sz w:val="20"/>
                <w:szCs w:val="26"/>
              </w:rPr>
              <w:t>£</w:t>
            </w:r>
            <w:r>
              <w:rPr>
                <w:rFonts w:ascii="Arial" w:hAnsi="Arial" w:cs="Arial"/>
                <w:b/>
                <w:sz w:val="20"/>
                <w:szCs w:val="26"/>
              </w:rPr>
              <w:t>42</w:t>
            </w:r>
          </w:p>
        </w:tc>
        <w:tc>
          <w:tcPr>
            <w:tcW w:w="3685" w:type="dxa"/>
            <w:shd w:val="clear" w:color="auto" w:fill="E6E6E6"/>
          </w:tcPr>
          <w:p w:rsidR="00B23F69" w:rsidRPr="00FF448B" w:rsidRDefault="00B23F69" w:rsidP="00425648">
            <w:pPr>
              <w:spacing w:before="40" w:after="20"/>
              <w:rPr>
                <w:rFonts w:ascii="Arial" w:hAnsi="Arial" w:cs="Arial"/>
                <w:sz w:val="20"/>
              </w:rPr>
            </w:pPr>
          </w:p>
        </w:tc>
      </w:tr>
      <w:tr w:rsidR="00B23F69" w:rsidRPr="0075760B" w:rsidTr="00425648">
        <w:tc>
          <w:tcPr>
            <w:tcW w:w="9072" w:type="dxa"/>
            <w:gridSpan w:val="3"/>
            <w:shd w:val="clear" w:color="auto" w:fill="E6E6E6"/>
            <w:vAlign w:val="center"/>
          </w:tcPr>
          <w:p w:rsidR="00B23F69" w:rsidRPr="00FF448B" w:rsidRDefault="00B23F69" w:rsidP="00425648">
            <w:pPr>
              <w:spacing w:before="40" w:after="20"/>
              <w:rPr>
                <w:rFonts w:ascii="Arial" w:hAnsi="Arial" w:cs="Arial"/>
                <w:sz w:val="20"/>
              </w:rPr>
            </w:pPr>
            <w:r w:rsidRPr="00FF448B">
              <w:rPr>
                <w:rFonts w:ascii="Arial" w:hAnsi="Arial" w:cs="Arial"/>
                <w:sz w:val="20"/>
              </w:rPr>
              <w:t>* ratio of face-to-face time to time for preparation and other administrative tasks</w:t>
            </w:r>
          </w:p>
        </w:tc>
      </w:tr>
    </w:tbl>
    <w:p w:rsidR="00B23F69" w:rsidRDefault="00B23F69" w:rsidP="00425648">
      <w:pPr>
        <w:rPr>
          <w:rFonts w:ascii="Arial" w:hAnsi="Arial" w:cs="Arial"/>
          <w:color w:val="FF0000"/>
        </w:rPr>
      </w:pPr>
    </w:p>
    <w:p w:rsidR="00573753" w:rsidRPr="00573753" w:rsidRDefault="00573753" w:rsidP="00425648">
      <w:pPr>
        <w:rPr>
          <w:rFonts w:ascii="Arial" w:hAnsi="Arial" w:cs="Arial"/>
          <w:b/>
          <w:sz w:val="24"/>
          <w:szCs w:val="24"/>
        </w:rPr>
      </w:pPr>
      <w:r w:rsidRPr="00573753">
        <w:rPr>
          <w:rFonts w:ascii="Arial" w:hAnsi="Arial" w:cs="Arial"/>
          <w:b/>
          <w:sz w:val="24"/>
          <w:szCs w:val="24"/>
        </w:rPr>
        <w:t>References</w:t>
      </w:r>
    </w:p>
    <w:p w:rsidR="004A6FB6" w:rsidRDefault="00394C53" w:rsidP="004A6FB6">
      <w:pPr>
        <w:pStyle w:val="ListParagraph"/>
        <w:numPr>
          <w:ilvl w:val="0"/>
          <w:numId w:val="19"/>
        </w:numPr>
        <w:spacing w:line="480" w:lineRule="auto"/>
        <w:ind w:left="426" w:hanging="426"/>
        <w:rPr>
          <w:rFonts w:ascii="Arial" w:hAnsi="Arial" w:cs="Arial"/>
        </w:rPr>
      </w:pPr>
      <w:r w:rsidRPr="00394C53">
        <w:rPr>
          <w:rFonts w:ascii="Arial" w:hAnsi="Arial" w:cs="Arial"/>
        </w:rPr>
        <w:t>Curtis L, Burns A. Unit Costs of Health &amp; Social Care 2017. Canterbury: PSSRU, University of Kent</w:t>
      </w:r>
      <w:r>
        <w:rPr>
          <w:rFonts w:ascii="Arial" w:hAnsi="Arial" w:cs="Arial"/>
        </w:rPr>
        <w:t>;</w:t>
      </w:r>
      <w:r w:rsidRPr="00394C53">
        <w:rPr>
          <w:rFonts w:ascii="Arial" w:hAnsi="Arial" w:cs="Arial"/>
        </w:rPr>
        <w:t xml:space="preserve"> 2017.</w:t>
      </w:r>
    </w:p>
    <w:p w:rsidR="004A6FB6" w:rsidRDefault="008278C5" w:rsidP="00394C53">
      <w:pPr>
        <w:pStyle w:val="ListParagraph"/>
        <w:numPr>
          <w:ilvl w:val="0"/>
          <w:numId w:val="19"/>
        </w:numPr>
        <w:spacing w:line="480" w:lineRule="auto"/>
        <w:ind w:left="426" w:hanging="426"/>
        <w:rPr>
          <w:rFonts w:ascii="Arial" w:hAnsi="Arial" w:cs="Arial"/>
        </w:rPr>
      </w:pPr>
      <w:r w:rsidRPr="004A6FB6">
        <w:rPr>
          <w:rFonts w:ascii="Arial" w:hAnsi="Arial" w:cs="Arial"/>
        </w:rPr>
        <w:t>National College for Teaching and Leadership</w:t>
      </w:r>
      <w:r w:rsidR="00394C53" w:rsidRPr="004A6FB6">
        <w:rPr>
          <w:rFonts w:ascii="Arial" w:hAnsi="Arial" w:cs="Arial"/>
        </w:rPr>
        <w:t xml:space="preserve">. Review of clinical and educational psychology training arrangements. </w:t>
      </w:r>
      <w:r w:rsidRPr="004A6FB6">
        <w:rPr>
          <w:rFonts w:ascii="Arial" w:hAnsi="Arial" w:cs="Arial"/>
        </w:rPr>
        <w:t xml:space="preserve">NHS Health Education England; </w:t>
      </w:r>
      <w:r w:rsidR="00394C53" w:rsidRPr="004A6FB6">
        <w:rPr>
          <w:rFonts w:ascii="Arial" w:hAnsi="Arial" w:cs="Arial"/>
        </w:rPr>
        <w:t>2016.</w:t>
      </w:r>
    </w:p>
    <w:p w:rsidR="004A6FB6" w:rsidRDefault="00394C53" w:rsidP="00394C53">
      <w:pPr>
        <w:pStyle w:val="ListParagraph"/>
        <w:numPr>
          <w:ilvl w:val="0"/>
          <w:numId w:val="19"/>
        </w:numPr>
        <w:spacing w:line="480" w:lineRule="auto"/>
        <w:ind w:left="426" w:hanging="426"/>
        <w:rPr>
          <w:rFonts w:ascii="Arial" w:hAnsi="Arial" w:cs="Arial"/>
        </w:rPr>
      </w:pPr>
      <w:proofErr w:type="spellStart"/>
      <w:r w:rsidRPr="004A6FB6">
        <w:rPr>
          <w:rFonts w:ascii="Arial" w:hAnsi="Arial" w:cs="Arial"/>
        </w:rPr>
        <w:t>Netten</w:t>
      </w:r>
      <w:proofErr w:type="spellEnd"/>
      <w:r w:rsidRPr="004A6FB6">
        <w:rPr>
          <w:rFonts w:ascii="Arial" w:hAnsi="Arial" w:cs="Arial"/>
        </w:rPr>
        <w:t xml:space="preserve"> A, Knight J, Dennett J, Cooley R, Slight A. Development of a ready reckoner for staff costs in the NH</w:t>
      </w:r>
      <w:r w:rsidR="008278C5" w:rsidRPr="004A6FB6">
        <w:rPr>
          <w:rFonts w:ascii="Arial" w:hAnsi="Arial" w:cs="Arial"/>
        </w:rPr>
        <w:t xml:space="preserve">S, </w:t>
      </w:r>
      <w:proofErr w:type="spellStart"/>
      <w:r w:rsidR="008278C5" w:rsidRPr="004A6FB6">
        <w:rPr>
          <w:rFonts w:ascii="Arial" w:hAnsi="Arial" w:cs="Arial"/>
        </w:rPr>
        <w:t>Vols</w:t>
      </w:r>
      <w:proofErr w:type="spellEnd"/>
      <w:r w:rsidR="008278C5" w:rsidRPr="004A6FB6">
        <w:rPr>
          <w:rFonts w:ascii="Arial" w:hAnsi="Arial" w:cs="Arial"/>
        </w:rPr>
        <w:t xml:space="preserve"> 1 &amp; 2. Canterbury: PSSRU, University of Kent; 1998.</w:t>
      </w:r>
    </w:p>
    <w:p w:rsidR="00EC2EF7" w:rsidRPr="00CA4B6A" w:rsidRDefault="00394C53" w:rsidP="004A6FB6">
      <w:pPr>
        <w:pStyle w:val="ListParagraph"/>
        <w:numPr>
          <w:ilvl w:val="0"/>
          <w:numId w:val="19"/>
        </w:numPr>
        <w:spacing w:line="480" w:lineRule="auto"/>
        <w:ind w:left="426" w:hanging="426"/>
        <w:rPr>
          <w:rFonts w:ascii="Arial" w:hAnsi="Arial" w:cs="Arial"/>
        </w:rPr>
      </w:pPr>
      <w:r w:rsidRPr="004A6FB6">
        <w:rPr>
          <w:rFonts w:ascii="Arial" w:hAnsi="Arial" w:cs="Arial"/>
        </w:rPr>
        <w:lastRenderedPageBreak/>
        <w:t xml:space="preserve">British Association for Behavioural &amp; Cognitive Psychotherapies. Criteria and guidelines for re-accreditation as a behavioural and/or cognitive psychotherapist. British Association for Behavioural &amp; Cognitive Psychotherapies; 2016. Available: </w:t>
      </w:r>
      <w:hyperlink r:id="rId8" w:history="1">
        <w:r w:rsidRPr="004A6FB6">
          <w:rPr>
            <w:rStyle w:val="Hyperlink"/>
            <w:rFonts w:ascii="Arial" w:hAnsi="Arial" w:cs="Arial"/>
          </w:rPr>
          <w:t>http://www.babcp.com/files/Accreditation/CBP/Full/CBP-Full-Guidelines-V5-0614.pdf</w:t>
        </w:r>
      </w:hyperlink>
      <w:r w:rsidRPr="004A6FB6">
        <w:rPr>
          <w:rFonts w:ascii="Arial" w:hAnsi="Arial" w:cs="Arial"/>
        </w:rPr>
        <w:t xml:space="preserve"> .  </w:t>
      </w:r>
      <w:r w:rsidR="00C11118" w:rsidRPr="004A6FB6">
        <w:rPr>
          <w:rFonts w:ascii="Arial" w:hAnsi="Arial" w:cs="Arial"/>
          <w:noProof/>
          <w:szCs w:val="20"/>
        </w:rPr>
        <w:t xml:space="preserve"> </w:t>
      </w:r>
      <w:r w:rsidR="001176BA">
        <w:fldChar w:fldCharType="begin"/>
      </w:r>
      <w:r w:rsidR="001176BA">
        <w:instrText xml:space="preserve"> ADDIN EN.REFLIST </w:instrText>
      </w:r>
      <w:r w:rsidR="001176BA">
        <w:fldChar w:fldCharType="end"/>
      </w:r>
    </w:p>
    <w:sectPr w:rsidR="00EC2EF7" w:rsidRPr="00CA4B6A" w:rsidSect="004765C6">
      <w:footerReference w:type="default" r:id="rId9"/>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AE" w:rsidRDefault="00D069AE">
      <w:pPr>
        <w:spacing w:after="0" w:line="240" w:lineRule="auto"/>
      </w:pPr>
      <w:r>
        <w:separator/>
      </w:r>
    </w:p>
  </w:endnote>
  <w:endnote w:type="continuationSeparator" w:id="0">
    <w:p w:rsidR="00D069AE" w:rsidRDefault="00D0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none)">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152412"/>
      <w:docPartObj>
        <w:docPartGallery w:val="Page Numbers (Bottom of Page)"/>
        <w:docPartUnique/>
      </w:docPartObj>
    </w:sdtPr>
    <w:sdtEndPr>
      <w:rPr>
        <w:noProof/>
      </w:rPr>
    </w:sdtEndPr>
    <w:sdtContent>
      <w:p w:rsidR="00C3377D" w:rsidRDefault="00C3377D">
        <w:pPr>
          <w:pStyle w:val="Footer"/>
          <w:jc w:val="right"/>
        </w:pPr>
        <w:r>
          <w:fldChar w:fldCharType="begin"/>
        </w:r>
        <w:r>
          <w:instrText xml:space="preserve"> PAGE   \* MERGEFORMAT </w:instrText>
        </w:r>
        <w:r>
          <w:fldChar w:fldCharType="separate"/>
        </w:r>
        <w:r w:rsidR="00B52F30">
          <w:rPr>
            <w:noProof/>
          </w:rPr>
          <w:t>1</w:t>
        </w:r>
        <w:r>
          <w:rPr>
            <w:noProof/>
          </w:rPr>
          <w:fldChar w:fldCharType="end"/>
        </w:r>
      </w:p>
    </w:sdtContent>
  </w:sdt>
  <w:p w:rsidR="00C3377D" w:rsidRDefault="00C3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AE" w:rsidRDefault="00D069AE">
      <w:pPr>
        <w:spacing w:after="0" w:line="240" w:lineRule="auto"/>
      </w:pPr>
      <w:r>
        <w:separator/>
      </w:r>
    </w:p>
  </w:footnote>
  <w:footnote w:type="continuationSeparator" w:id="0">
    <w:p w:rsidR="00D069AE" w:rsidRDefault="00D06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BE5"/>
    <w:multiLevelType w:val="multilevel"/>
    <w:tmpl w:val="E61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F2B4A"/>
    <w:multiLevelType w:val="hybridMultilevel"/>
    <w:tmpl w:val="EC2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704A9"/>
    <w:multiLevelType w:val="hybridMultilevel"/>
    <w:tmpl w:val="056E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B37E7"/>
    <w:multiLevelType w:val="hybridMultilevel"/>
    <w:tmpl w:val="5CF6D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410A7"/>
    <w:multiLevelType w:val="hybridMultilevel"/>
    <w:tmpl w:val="E4425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A6A0C"/>
    <w:multiLevelType w:val="hybridMultilevel"/>
    <w:tmpl w:val="2BF25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4489C"/>
    <w:multiLevelType w:val="multilevel"/>
    <w:tmpl w:val="164473B8"/>
    <w:lvl w:ilvl="0">
      <w:start w:val="8"/>
      <w:numFmt w:val="upperLetter"/>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lvlText w:val="%1.%2"/>
      <w:lvlJc w:val="right"/>
      <w:pPr>
        <w:tabs>
          <w:tab w:val="num" w:pos="0"/>
        </w:tabs>
        <w:ind w:left="0" w:hanging="284"/>
      </w:pPr>
      <w:rPr>
        <w:rFonts w:asciiTheme="majorHAnsi" w:hAnsiTheme="majorHAnsi" w:cstheme="majorHAnsi" w:hint="default"/>
        <w:b/>
        <w:color w:val="000000"/>
        <w:sz w:val="32"/>
      </w:rPr>
    </w:lvl>
    <w:lvl w:ilvl="2">
      <w:start w:val="1"/>
      <w:numFmt w:val="decimal"/>
      <w:lvlText w:val="%1.%2.%3"/>
      <w:lvlJc w:val="right"/>
      <w:pPr>
        <w:tabs>
          <w:tab w:val="num" w:pos="0"/>
        </w:tabs>
        <w:ind w:left="0" w:hanging="284"/>
      </w:pPr>
      <w:rPr>
        <w:rFonts w:asciiTheme="majorHAnsi" w:hAnsiTheme="majorHAnsi" w:cstheme="majorHAnsi" w:hint="default"/>
        <w:b/>
        <w:color w:val="000000"/>
        <w:sz w:val="24"/>
      </w:rPr>
    </w:lvl>
    <w:lvl w:ilvl="3">
      <w:start w:val="1"/>
      <w:numFmt w:val="decimal"/>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3B71D6"/>
    <w:multiLevelType w:val="hybridMultilevel"/>
    <w:tmpl w:val="1F22D7E6"/>
    <w:lvl w:ilvl="0" w:tplc="51465CB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7129B"/>
    <w:multiLevelType w:val="hybridMultilevel"/>
    <w:tmpl w:val="FAB47B1A"/>
    <w:lvl w:ilvl="0" w:tplc="01D836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34D44"/>
    <w:multiLevelType w:val="hybridMultilevel"/>
    <w:tmpl w:val="7D34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84021"/>
    <w:multiLevelType w:val="hybridMultilevel"/>
    <w:tmpl w:val="C17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2"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46252F"/>
    <w:multiLevelType w:val="hybridMultilevel"/>
    <w:tmpl w:val="7576B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95CA0"/>
    <w:multiLevelType w:val="hybridMultilevel"/>
    <w:tmpl w:val="701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B70A1"/>
    <w:multiLevelType w:val="hybridMultilevel"/>
    <w:tmpl w:val="2C4CBD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720633C0"/>
    <w:multiLevelType w:val="hybridMultilevel"/>
    <w:tmpl w:val="FF9C9DDE"/>
    <w:lvl w:ilvl="0" w:tplc="D9AAC65A">
      <w:start w:val="1"/>
      <w:numFmt w:val="bullet"/>
      <w:lvlText w:val="•"/>
      <w:lvlJc w:val="left"/>
      <w:pPr>
        <w:tabs>
          <w:tab w:val="num" w:pos="720"/>
        </w:tabs>
        <w:ind w:left="720" w:hanging="360"/>
      </w:pPr>
      <w:rPr>
        <w:rFonts w:ascii="Arial" w:hAnsi="Arial" w:hint="default"/>
      </w:rPr>
    </w:lvl>
    <w:lvl w:ilvl="1" w:tplc="E376B98E" w:tentative="1">
      <w:start w:val="1"/>
      <w:numFmt w:val="bullet"/>
      <w:lvlText w:val="•"/>
      <w:lvlJc w:val="left"/>
      <w:pPr>
        <w:tabs>
          <w:tab w:val="num" w:pos="1440"/>
        </w:tabs>
        <w:ind w:left="1440" w:hanging="360"/>
      </w:pPr>
      <w:rPr>
        <w:rFonts w:ascii="Arial" w:hAnsi="Arial" w:hint="default"/>
      </w:rPr>
    </w:lvl>
    <w:lvl w:ilvl="2" w:tplc="2CA06966" w:tentative="1">
      <w:start w:val="1"/>
      <w:numFmt w:val="bullet"/>
      <w:lvlText w:val="•"/>
      <w:lvlJc w:val="left"/>
      <w:pPr>
        <w:tabs>
          <w:tab w:val="num" w:pos="2160"/>
        </w:tabs>
        <w:ind w:left="2160" w:hanging="360"/>
      </w:pPr>
      <w:rPr>
        <w:rFonts w:ascii="Arial" w:hAnsi="Arial" w:hint="default"/>
      </w:rPr>
    </w:lvl>
    <w:lvl w:ilvl="3" w:tplc="0FB2913E" w:tentative="1">
      <w:start w:val="1"/>
      <w:numFmt w:val="bullet"/>
      <w:lvlText w:val="•"/>
      <w:lvlJc w:val="left"/>
      <w:pPr>
        <w:tabs>
          <w:tab w:val="num" w:pos="2880"/>
        </w:tabs>
        <w:ind w:left="2880" w:hanging="360"/>
      </w:pPr>
      <w:rPr>
        <w:rFonts w:ascii="Arial" w:hAnsi="Arial" w:hint="default"/>
      </w:rPr>
    </w:lvl>
    <w:lvl w:ilvl="4" w:tplc="89A061D8" w:tentative="1">
      <w:start w:val="1"/>
      <w:numFmt w:val="bullet"/>
      <w:lvlText w:val="•"/>
      <w:lvlJc w:val="left"/>
      <w:pPr>
        <w:tabs>
          <w:tab w:val="num" w:pos="3600"/>
        </w:tabs>
        <w:ind w:left="3600" w:hanging="360"/>
      </w:pPr>
      <w:rPr>
        <w:rFonts w:ascii="Arial" w:hAnsi="Arial" w:hint="default"/>
      </w:rPr>
    </w:lvl>
    <w:lvl w:ilvl="5" w:tplc="12AC9A90" w:tentative="1">
      <w:start w:val="1"/>
      <w:numFmt w:val="bullet"/>
      <w:lvlText w:val="•"/>
      <w:lvlJc w:val="left"/>
      <w:pPr>
        <w:tabs>
          <w:tab w:val="num" w:pos="4320"/>
        </w:tabs>
        <w:ind w:left="4320" w:hanging="360"/>
      </w:pPr>
      <w:rPr>
        <w:rFonts w:ascii="Arial" w:hAnsi="Arial" w:hint="default"/>
      </w:rPr>
    </w:lvl>
    <w:lvl w:ilvl="6" w:tplc="180CE526" w:tentative="1">
      <w:start w:val="1"/>
      <w:numFmt w:val="bullet"/>
      <w:lvlText w:val="•"/>
      <w:lvlJc w:val="left"/>
      <w:pPr>
        <w:tabs>
          <w:tab w:val="num" w:pos="5040"/>
        </w:tabs>
        <w:ind w:left="5040" w:hanging="360"/>
      </w:pPr>
      <w:rPr>
        <w:rFonts w:ascii="Arial" w:hAnsi="Arial" w:hint="default"/>
      </w:rPr>
    </w:lvl>
    <w:lvl w:ilvl="7" w:tplc="620CFCA8" w:tentative="1">
      <w:start w:val="1"/>
      <w:numFmt w:val="bullet"/>
      <w:lvlText w:val="•"/>
      <w:lvlJc w:val="left"/>
      <w:pPr>
        <w:tabs>
          <w:tab w:val="num" w:pos="5760"/>
        </w:tabs>
        <w:ind w:left="5760" w:hanging="360"/>
      </w:pPr>
      <w:rPr>
        <w:rFonts w:ascii="Arial" w:hAnsi="Arial" w:hint="default"/>
      </w:rPr>
    </w:lvl>
    <w:lvl w:ilvl="8" w:tplc="83443F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7A5C01"/>
    <w:multiLevelType w:val="hybridMultilevel"/>
    <w:tmpl w:val="C52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11"/>
  </w:num>
  <w:num w:numId="5">
    <w:abstractNumId w:val="1"/>
  </w:num>
  <w:num w:numId="6">
    <w:abstractNumId w:val="13"/>
  </w:num>
  <w:num w:numId="7">
    <w:abstractNumId w:val="17"/>
  </w:num>
  <w:num w:numId="8">
    <w:abstractNumId w:val="5"/>
  </w:num>
  <w:num w:numId="9">
    <w:abstractNumId w:val="3"/>
  </w:num>
  <w:num w:numId="10">
    <w:abstractNumId w:val="2"/>
  </w:num>
  <w:num w:numId="11">
    <w:abstractNumId w:val="0"/>
  </w:num>
  <w:num w:numId="12">
    <w:abstractNumId w:val="7"/>
  </w:num>
  <w:num w:numId="13">
    <w:abstractNumId w:val="4"/>
  </w:num>
  <w:num w:numId="14">
    <w:abstractNumId w:val="16"/>
  </w:num>
  <w:num w:numId="1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pee0vemev9fkezw9rxf5e8vdxdvadz0per&quot;&gt;PTSD adult HE paper references&lt;record-ids&gt;&lt;item&gt;13&lt;/item&gt;&lt;/record-ids&gt;&lt;/item&gt;&lt;/Libraries&gt;"/>
    <w:docVar w:name="REFMGR.InstantFormat" w:val="&lt;ENInstantFormat&gt;&lt;Enabled&gt;0&lt;/Enabled&gt;&lt;ScanUnformatted&gt;1&lt;/ScanUnformatted&gt;&lt;ScanChanges&gt;1&lt;/ScanChanges&gt;&lt;/ENInstantFormat&gt;"/>
  </w:docVars>
  <w:rsids>
    <w:rsidRoot w:val="00B23F69"/>
    <w:rsid w:val="000E019C"/>
    <w:rsid w:val="001176BA"/>
    <w:rsid w:val="001B0CC1"/>
    <w:rsid w:val="001B4EE6"/>
    <w:rsid w:val="001D054E"/>
    <w:rsid w:val="0024049D"/>
    <w:rsid w:val="002B7930"/>
    <w:rsid w:val="002D27A6"/>
    <w:rsid w:val="0034437B"/>
    <w:rsid w:val="00394C53"/>
    <w:rsid w:val="00425648"/>
    <w:rsid w:val="004765C6"/>
    <w:rsid w:val="00492F1C"/>
    <w:rsid w:val="00496FD5"/>
    <w:rsid w:val="004A6FB6"/>
    <w:rsid w:val="00512CDB"/>
    <w:rsid w:val="00573753"/>
    <w:rsid w:val="00654E1A"/>
    <w:rsid w:val="00705B99"/>
    <w:rsid w:val="007064C1"/>
    <w:rsid w:val="007162CF"/>
    <w:rsid w:val="00746F55"/>
    <w:rsid w:val="008278C5"/>
    <w:rsid w:val="009142C4"/>
    <w:rsid w:val="009847A2"/>
    <w:rsid w:val="00995608"/>
    <w:rsid w:val="009D29A7"/>
    <w:rsid w:val="009D444C"/>
    <w:rsid w:val="00AC05F8"/>
    <w:rsid w:val="00AC179E"/>
    <w:rsid w:val="00B23F69"/>
    <w:rsid w:val="00B52F30"/>
    <w:rsid w:val="00C11118"/>
    <w:rsid w:val="00C3377D"/>
    <w:rsid w:val="00CA4B6A"/>
    <w:rsid w:val="00D069AE"/>
    <w:rsid w:val="00D14F30"/>
    <w:rsid w:val="00D32968"/>
    <w:rsid w:val="00D33D27"/>
    <w:rsid w:val="00D52782"/>
    <w:rsid w:val="00D54EEA"/>
    <w:rsid w:val="00DF369B"/>
    <w:rsid w:val="00EC2EF7"/>
    <w:rsid w:val="00F32E9F"/>
    <w:rsid w:val="00F6429B"/>
    <w:rsid w:val="00FE36CE"/>
    <w:rsid w:val="00FE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76F10-AF23-497B-AE00-09A74917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69"/>
  </w:style>
  <w:style w:type="paragraph" w:styleId="Heading1">
    <w:name w:val="heading 1"/>
    <w:basedOn w:val="Normal"/>
    <w:next w:val="Normal"/>
    <w:link w:val="Heading1Char"/>
    <w:uiPriority w:val="9"/>
    <w:qFormat/>
    <w:rsid w:val="00B23F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F69"/>
    <w:pPr>
      <w:keepNext/>
      <w:keepLines/>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B23F6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uiPriority w:val="9"/>
    <w:unhideWhenUsed/>
    <w:qFormat/>
    <w:rsid w:val="00B23F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F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3F69"/>
    <w:rPr>
      <w:rFonts w:ascii="Arial" w:eastAsiaTheme="majorEastAsia" w:hAnsi="Arial" w:cstheme="majorBidi"/>
      <w:b/>
      <w:szCs w:val="26"/>
    </w:rPr>
  </w:style>
  <w:style w:type="character" w:customStyle="1" w:styleId="Heading3Char">
    <w:name w:val="Heading 3 Char"/>
    <w:basedOn w:val="DefaultParagraphFont"/>
    <w:link w:val="Heading3"/>
    <w:uiPriority w:val="9"/>
    <w:rsid w:val="00B23F69"/>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rsid w:val="00B23F69"/>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B23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F6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unhideWhenUsed/>
    <w:rsid w:val="00B23F69"/>
    <w:rPr>
      <w:sz w:val="16"/>
      <w:szCs w:val="16"/>
    </w:rPr>
  </w:style>
  <w:style w:type="paragraph" w:styleId="CommentText">
    <w:name w:val="annotation text"/>
    <w:basedOn w:val="Normal"/>
    <w:link w:val="CommentTextChar"/>
    <w:uiPriority w:val="99"/>
    <w:unhideWhenUsed/>
    <w:rsid w:val="00B23F69"/>
    <w:pPr>
      <w:spacing w:line="240" w:lineRule="auto"/>
    </w:pPr>
    <w:rPr>
      <w:sz w:val="20"/>
      <w:szCs w:val="20"/>
    </w:rPr>
  </w:style>
  <w:style w:type="character" w:customStyle="1" w:styleId="CommentTextChar">
    <w:name w:val="Comment Text Char"/>
    <w:basedOn w:val="DefaultParagraphFont"/>
    <w:link w:val="CommentText"/>
    <w:uiPriority w:val="99"/>
    <w:rsid w:val="00B23F69"/>
    <w:rPr>
      <w:sz w:val="20"/>
      <w:szCs w:val="20"/>
    </w:rPr>
  </w:style>
  <w:style w:type="paragraph" w:styleId="CommentSubject">
    <w:name w:val="annotation subject"/>
    <w:basedOn w:val="CommentText"/>
    <w:next w:val="CommentText"/>
    <w:link w:val="CommentSubjectChar"/>
    <w:uiPriority w:val="99"/>
    <w:semiHidden/>
    <w:unhideWhenUsed/>
    <w:rsid w:val="00B23F69"/>
    <w:rPr>
      <w:b/>
      <w:bCs/>
    </w:rPr>
  </w:style>
  <w:style w:type="character" w:customStyle="1" w:styleId="CommentSubjectChar">
    <w:name w:val="Comment Subject Char"/>
    <w:basedOn w:val="CommentTextChar"/>
    <w:link w:val="CommentSubject"/>
    <w:uiPriority w:val="99"/>
    <w:semiHidden/>
    <w:rsid w:val="00B23F69"/>
    <w:rPr>
      <w:b/>
      <w:bCs/>
      <w:sz w:val="20"/>
      <w:szCs w:val="20"/>
    </w:rPr>
  </w:style>
  <w:style w:type="paragraph" w:styleId="BalloonText">
    <w:name w:val="Balloon Text"/>
    <w:basedOn w:val="Normal"/>
    <w:link w:val="BalloonTextChar"/>
    <w:uiPriority w:val="99"/>
    <w:semiHidden/>
    <w:unhideWhenUsed/>
    <w:rsid w:val="00B2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69"/>
    <w:rPr>
      <w:rFonts w:ascii="Segoe UI" w:hAnsi="Segoe UI" w:cs="Segoe UI"/>
      <w:sz w:val="18"/>
      <w:szCs w:val="18"/>
    </w:rPr>
  </w:style>
  <w:style w:type="paragraph" w:styleId="ListParagraph">
    <w:name w:val="List Paragraph"/>
    <w:basedOn w:val="Normal"/>
    <w:uiPriority w:val="34"/>
    <w:qFormat/>
    <w:rsid w:val="00B23F69"/>
    <w:pPr>
      <w:ind w:left="720"/>
      <w:contextualSpacing/>
    </w:pPr>
  </w:style>
  <w:style w:type="paragraph" w:styleId="FootnoteText">
    <w:name w:val="footnote text"/>
    <w:basedOn w:val="Normal"/>
    <w:link w:val="FootnoteTextChar"/>
    <w:uiPriority w:val="99"/>
    <w:semiHidden/>
    <w:unhideWhenUsed/>
    <w:rsid w:val="00B23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F69"/>
    <w:rPr>
      <w:sz w:val="20"/>
      <w:szCs w:val="20"/>
    </w:rPr>
  </w:style>
  <w:style w:type="character" w:styleId="FootnoteReference">
    <w:name w:val="footnote reference"/>
    <w:basedOn w:val="DefaultParagraphFont"/>
    <w:uiPriority w:val="99"/>
    <w:semiHidden/>
    <w:unhideWhenUsed/>
    <w:rsid w:val="00B23F69"/>
    <w:rPr>
      <w:vertAlign w:val="superscript"/>
    </w:rPr>
  </w:style>
  <w:style w:type="table" w:styleId="TableGrid">
    <w:name w:val="Table Grid"/>
    <w:basedOn w:val="TableNormal"/>
    <w:uiPriority w:val="39"/>
    <w:rsid w:val="00B2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F69"/>
  </w:style>
  <w:style w:type="paragraph" w:styleId="Footer">
    <w:name w:val="footer"/>
    <w:basedOn w:val="Normal"/>
    <w:link w:val="FooterChar"/>
    <w:uiPriority w:val="99"/>
    <w:unhideWhenUsed/>
    <w:rsid w:val="00B23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F69"/>
  </w:style>
  <w:style w:type="paragraph" w:styleId="HTMLPreformatted">
    <w:name w:val="HTML Preformatted"/>
    <w:basedOn w:val="Normal"/>
    <w:link w:val="HTMLPreformattedChar"/>
    <w:uiPriority w:val="99"/>
    <w:semiHidden/>
    <w:unhideWhenUsed/>
    <w:rsid w:val="00B2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23F69"/>
    <w:rPr>
      <w:rFonts w:ascii="Courier New" w:hAnsi="Courier New" w:cs="Courier New"/>
      <w:sz w:val="20"/>
      <w:szCs w:val="20"/>
      <w:lang w:eastAsia="en-GB"/>
    </w:rPr>
  </w:style>
  <w:style w:type="paragraph" w:customStyle="1" w:styleId="TableTextLeft">
    <w:name w:val="~TableTextLeft"/>
    <w:basedOn w:val="Normal"/>
    <w:link w:val="TableTextLeftChar"/>
    <w:qFormat/>
    <w:rsid w:val="00B23F69"/>
    <w:pPr>
      <w:spacing w:before="40" w:after="20" w:line="240" w:lineRule="auto"/>
    </w:pPr>
    <w:rPr>
      <w:sz w:val="20"/>
    </w:rPr>
  </w:style>
  <w:style w:type="character" w:customStyle="1" w:styleId="TableTextLeftChar">
    <w:name w:val="~TableTextLeft Char"/>
    <w:basedOn w:val="DefaultParagraphFont"/>
    <w:link w:val="TableTextLeft"/>
    <w:locked/>
    <w:rsid w:val="00B23F69"/>
    <w:rPr>
      <w:sz w:val="20"/>
    </w:rPr>
  </w:style>
  <w:style w:type="paragraph" w:customStyle="1" w:styleId="TableHeadingLeft">
    <w:name w:val="~TableHeadingLeft"/>
    <w:basedOn w:val="TableTextLeft"/>
    <w:qFormat/>
    <w:rsid w:val="00B23F69"/>
    <w:pPr>
      <w:keepNext/>
    </w:pPr>
    <w:rPr>
      <w:b/>
      <w:color w:val="000000" w:themeColor="text1"/>
      <w:szCs w:val="26"/>
    </w:rPr>
  </w:style>
  <w:style w:type="paragraph" w:styleId="Caption">
    <w:name w:val="caption"/>
    <w:aliases w:val="~Caption"/>
    <w:basedOn w:val="Normal"/>
    <w:next w:val="Normal"/>
    <w:link w:val="CaptionChar"/>
    <w:qFormat/>
    <w:rsid w:val="00B23F6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B23F69"/>
    <w:rPr>
      <w:rFonts w:eastAsia="Calibri" w:cs="Arial"/>
      <w:b/>
      <w:szCs w:val="20"/>
    </w:rPr>
  </w:style>
  <w:style w:type="paragraph" w:customStyle="1" w:styleId="Bullet1">
    <w:name w:val="~Bullet1"/>
    <w:basedOn w:val="Normal"/>
    <w:qFormat/>
    <w:rsid w:val="00B23F6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B23F69"/>
    <w:pPr>
      <w:numPr>
        <w:ilvl w:val="1"/>
      </w:numPr>
      <w:tabs>
        <w:tab w:val="clear" w:pos="284"/>
      </w:tabs>
    </w:pPr>
  </w:style>
  <w:style w:type="paragraph" w:customStyle="1" w:styleId="Bullet3">
    <w:name w:val="~Bullet3"/>
    <w:basedOn w:val="Bullet2"/>
    <w:qFormat/>
    <w:rsid w:val="00B23F69"/>
    <w:pPr>
      <w:numPr>
        <w:ilvl w:val="2"/>
      </w:numPr>
    </w:pPr>
  </w:style>
  <w:style w:type="paragraph" w:customStyle="1" w:styleId="BodyTextNum">
    <w:name w:val="~BodyTextNum"/>
    <w:basedOn w:val="Normal"/>
    <w:qFormat/>
    <w:rsid w:val="00B23F69"/>
    <w:pPr>
      <w:tabs>
        <w:tab w:val="left" w:pos="284"/>
      </w:tabs>
      <w:spacing w:before="180" w:after="0" w:line="240" w:lineRule="auto"/>
      <w:ind w:left="284" w:hanging="284"/>
    </w:pPr>
  </w:style>
  <w:style w:type="paragraph" w:customStyle="1" w:styleId="xl65">
    <w:name w:val="xl65"/>
    <w:basedOn w:val="Normal"/>
    <w:rsid w:val="00B23F6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3F69"/>
    <w:rPr>
      <w:color w:val="0000FF"/>
      <w:u w:val="single"/>
    </w:rPr>
  </w:style>
  <w:style w:type="character" w:customStyle="1" w:styleId="apple-converted-space">
    <w:name w:val="apple-converted-space"/>
    <w:basedOn w:val="DefaultParagraphFont"/>
    <w:rsid w:val="00B23F69"/>
  </w:style>
  <w:style w:type="character" w:customStyle="1" w:styleId="highlight">
    <w:name w:val="highlight"/>
    <w:basedOn w:val="DefaultParagraphFont"/>
    <w:rsid w:val="00B23F69"/>
  </w:style>
  <w:style w:type="character" w:customStyle="1" w:styleId="ui-ncbitoggler-master-text">
    <w:name w:val="ui-ncbitoggler-master-text"/>
    <w:basedOn w:val="DefaultParagraphFont"/>
    <w:rsid w:val="00B23F69"/>
  </w:style>
  <w:style w:type="paragraph" w:styleId="NormalWeb">
    <w:name w:val="Normal (Web)"/>
    <w:basedOn w:val="Normal"/>
    <w:uiPriority w:val="99"/>
    <w:semiHidden/>
    <w:unhideWhenUsed/>
    <w:rsid w:val="00B23F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23F69"/>
    <w:pPr>
      <w:spacing w:after="0" w:line="240" w:lineRule="auto"/>
    </w:pPr>
  </w:style>
  <w:style w:type="paragraph" w:customStyle="1" w:styleId="AppHead">
    <w:name w:val="~AppHead"/>
    <w:basedOn w:val="Normal"/>
    <w:next w:val="Normal"/>
    <w:qFormat/>
    <w:rsid w:val="00B23F6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B23F6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B23F69"/>
    <w:rPr>
      <w:sz w:val="24"/>
      <w:szCs w:val="24"/>
    </w:rPr>
  </w:style>
  <w:style w:type="paragraph" w:customStyle="1" w:styleId="AppLevel4Head">
    <w:name w:val="~AppLevel4Head"/>
    <w:basedOn w:val="AppMinorSubHead"/>
    <w:next w:val="Normal"/>
    <w:qFormat/>
    <w:rsid w:val="00B23F69"/>
    <w:rPr>
      <w:sz w:val="22"/>
      <w:szCs w:val="22"/>
    </w:rPr>
  </w:style>
  <w:style w:type="character" w:styleId="LineNumber">
    <w:name w:val="line number"/>
    <w:basedOn w:val="DefaultParagraphFont"/>
    <w:uiPriority w:val="99"/>
    <w:semiHidden/>
    <w:unhideWhenUsed/>
    <w:rsid w:val="00B23F69"/>
  </w:style>
  <w:style w:type="character" w:styleId="Emphasis">
    <w:name w:val="Emphasis"/>
    <w:basedOn w:val="DefaultParagraphFont"/>
    <w:uiPriority w:val="20"/>
    <w:qFormat/>
    <w:rsid w:val="00B23F69"/>
    <w:rPr>
      <w:i/>
      <w:iCs/>
    </w:rPr>
  </w:style>
  <w:style w:type="paragraph" w:customStyle="1" w:styleId="EndNoteBibliographyTitle">
    <w:name w:val="EndNote Bibliography Title"/>
    <w:basedOn w:val="Normal"/>
    <w:link w:val="EndNoteBibliographyTitleChar"/>
    <w:rsid w:val="00B23F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23F69"/>
    <w:rPr>
      <w:rFonts w:ascii="Calibri" w:hAnsi="Calibri" w:cs="Calibri"/>
      <w:noProof/>
      <w:lang w:val="en-US"/>
    </w:rPr>
  </w:style>
  <w:style w:type="paragraph" w:customStyle="1" w:styleId="EndNoteBibliography">
    <w:name w:val="EndNote Bibliography"/>
    <w:basedOn w:val="Normal"/>
    <w:link w:val="EndNoteBibliographyChar"/>
    <w:rsid w:val="00B23F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23F69"/>
    <w:rPr>
      <w:rFonts w:ascii="Calibri" w:hAnsi="Calibri" w:cs="Calibri"/>
      <w:noProof/>
      <w:lang w:val="en-US"/>
    </w:rPr>
  </w:style>
  <w:style w:type="numbering" w:customStyle="1" w:styleId="TableNoteList">
    <w:name w:val="~TableNoteList"/>
    <w:uiPriority w:val="99"/>
    <w:rsid w:val="00B23F69"/>
    <w:pPr>
      <w:numPr>
        <w:numId w:val="18"/>
      </w:numPr>
    </w:pPr>
  </w:style>
  <w:style w:type="paragraph" w:customStyle="1" w:styleId="BodyHeading">
    <w:name w:val="~BodyHeading"/>
    <w:basedOn w:val="Normal"/>
    <w:next w:val="Normal"/>
    <w:qFormat/>
    <w:rsid w:val="00B23F69"/>
    <w:pPr>
      <w:keepNext/>
      <w:spacing w:before="300" w:after="0" w:line="240" w:lineRule="auto"/>
    </w:pPr>
    <w:rPr>
      <w:b/>
    </w:rPr>
  </w:style>
  <w:style w:type="paragraph" w:customStyle="1" w:styleId="TableTextRight">
    <w:name w:val="~TableTextRight"/>
    <w:basedOn w:val="TableTextLeft"/>
    <w:qFormat/>
    <w:rsid w:val="00B23F69"/>
    <w:pPr>
      <w:jc w:val="right"/>
    </w:pPr>
  </w:style>
  <w:style w:type="table" w:customStyle="1" w:styleId="TableGrid1">
    <w:name w:val="Table Grid1"/>
    <w:basedOn w:val="TableNormal"/>
    <w:next w:val="TableGrid"/>
    <w:uiPriority w:val="39"/>
    <w:rsid w:val="00B23F6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B23F69"/>
    <w:pPr>
      <w:keepNext w:val="0"/>
      <w:jc w:val="center"/>
    </w:pPr>
  </w:style>
  <w:style w:type="paragraph" w:customStyle="1" w:styleId="TableTextCentre">
    <w:name w:val="~TableTextCentre"/>
    <w:basedOn w:val="TableTextLeft"/>
    <w:qFormat/>
    <w:rsid w:val="00B23F69"/>
    <w:pPr>
      <w:jc w:val="center"/>
    </w:pPr>
  </w:style>
  <w:style w:type="table" w:customStyle="1" w:styleId="TableGrid2">
    <w:name w:val="Table Grid2"/>
    <w:basedOn w:val="TableNormal"/>
    <w:next w:val="TableGrid"/>
    <w:uiPriority w:val="39"/>
    <w:rsid w:val="00B23F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cp.com/files/Accreditation/CBP/Full/CBP-Full-Guidelines-V5-06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2FB0-722A-4FA1-99EF-C462D5F6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dc:creator>
  <cp:keywords/>
  <dc:description/>
  <cp:lastModifiedBy>Mavranezouli, Ifigeneia</cp:lastModifiedBy>
  <cp:revision>31</cp:revision>
  <dcterms:created xsi:type="dcterms:W3CDTF">2019-05-11T02:02:00Z</dcterms:created>
  <dcterms:modified xsi:type="dcterms:W3CDTF">2020-01-06T04:14:00Z</dcterms:modified>
</cp:coreProperties>
</file>