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F69" w:rsidRPr="0075760B" w:rsidRDefault="00B23F69" w:rsidP="00425648">
      <w:pPr>
        <w:pStyle w:val="Heading1"/>
        <w:rPr>
          <w:rFonts w:ascii="Arial" w:hAnsi="Arial" w:cs="Arial"/>
          <w:b/>
          <w:color w:val="FF0000"/>
          <w:sz w:val="24"/>
          <w:szCs w:val="24"/>
        </w:rPr>
      </w:pPr>
      <w:r w:rsidRPr="00192037">
        <w:rPr>
          <w:rFonts w:ascii="Arial" w:hAnsi="Arial" w:cs="Arial"/>
          <w:b/>
          <w:color w:val="auto"/>
          <w:sz w:val="24"/>
          <w:szCs w:val="24"/>
        </w:rPr>
        <w:t>Estimation of the baseline probability of remission</w:t>
      </w:r>
    </w:p>
    <w:p w:rsidR="00B23F69" w:rsidRPr="0075760B" w:rsidRDefault="00B23F69" w:rsidP="00425648">
      <w:pPr>
        <w:spacing w:after="0" w:line="480" w:lineRule="auto"/>
        <w:rPr>
          <w:rFonts w:ascii="Arial" w:hAnsi="Arial" w:cs="Arial"/>
          <w:color w:val="FF0000"/>
        </w:rPr>
      </w:pPr>
    </w:p>
    <w:p w:rsidR="00B23F69" w:rsidRPr="00171DAF" w:rsidRDefault="00B23F69" w:rsidP="00425648">
      <w:pPr>
        <w:spacing w:after="0" w:line="480" w:lineRule="auto"/>
        <w:rPr>
          <w:rFonts w:ascii="Arial" w:hAnsi="Arial" w:cs="Arial"/>
        </w:rPr>
      </w:pPr>
      <w:r w:rsidRPr="00171DAF">
        <w:rPr>
          <w:rFonts w:ascii="Arial" w:hAnsi="Arial" w:cs="Arial"/>
        </w:rPr>
        <w:t>A number of studies that reported the probability of remission over time in adults with PTSD were identified</w:t>
      </w:r>
      <w:r w:rsidR="00FF6136">
        <w:rPr>
          <w:rFonts w:ascii="Arial" w:hAnsi="Arial" w:cs="Arial"/>
        </w:rPr>
        <w:t xml:space="preserve"> [1-8]</w:t>
      </w:r>
      <w:r w:rsidRPr="00171DAF">
        <w:rPr>
          <w:rFonts w:ascii="Arial" w:hAnsi="Arial" w:cs="Arial"/>
        </w:rPr>
        <w:t>.</w:t>
      </w:r>
    </w:p>
    <w:p w:rsidR="00B23F69" w:rsidRPr="00171DAF" w:rsidRDefault="00B23F69" w:rsidP="00425648">
      <w:pPr>
        <w:spacing w:after="0" w:line="480" w:lineRule="auto"/>
        <w:rPr>
          <w:rFonts w:ascii="Arial" w:hAnsi="Arial" w:cs="Arial"/>
        </w:rPr>
      </w:pPr>
    </w:p>
    <w:p w:rsidR="00B23F69" w:rsidRPr="009B4422" w:rsidRDefault="00B23F69" w:rsidP="00425648">
      <w:pPr>
        <w:spacing w:after="0" w:line="480" w:lineRule="auto"/>
        <w:rPr>
          <w:rFonts w:ascii="Arial" w:hAnsi="Arial" w:cs="Arial"/>
        </w:rPr>
      </w:pPr>
      <w:r w:rsidRPr="00171DAF">
        <w:rPr>
          <w:rFonts w:ascii="Arial" w:hAnsi="Arial" w:cs="Arial"/>
        </w:rPr>
        <w:t xml:space="preserve">Three of the studies were survey-based studies of the long-term course of PTSD in the community: </w:t>
      </w:r>
      <w:r>
        <w:rPr>
          <w:rFonts w:ascii="Arial" w:hAnsi="Arial" w:cs="Arial"/>
          <w:noProof/>
        </w:rPr>
        <w:t>Breslau</w:t>
      </w:r>
      <w:r w:rsidRPr="009B4422">
        <w:rPr>
          <w:rFonts w:ascii="Arial" w:hAnsi="Arial" w:cs="Arial"/>
          <w:i/>
          <w:noProof/>
        </w:rPr>
        <w:t xml:space="preserve"> et al. </w:t>
      </w:r>
      <w:r w:rsidR="00FF6136">
        <w:rPr>
          <w:rFonts w:ascii="Arial" w:hAnsi="Arial" w:cs="Arial"/>
        </w:rPr>
        <w:t xml:space="preserve">[1] </w:t>
      </w:r>
      <w:r w:rsidRPr="00171DAF">
        <w:rPr>
          <w:rFonts w:ascii="Arial" w:hAnsi="Arial" w:cs="Arial"/>
        </w:rPr>
        <w:t xml:space="preserve">estimated the impact of specific type of trauma experienced in the community, by interviewing a representative sample of 2,181 people aged 18-45 years living in the Detroit area, US. The study provided survival curves showing the rates of remission over time (up to 10 years) for 180 people diagnosed with PTSD by gender and trauma type (event to self or event to others). </w:t>
      </w:r>
      <w:r>
        <w:rPr>
          <w:rFonts w:ascii="Arial" w:hAnsi="Arial" w:cs="Arial"/>
          <w:noProof/>
        </w:rPr>
        <w:t>Chapman</w:t>
      </w:r>
      <w:r w:rsidRPr="009B4422">
        <w:rPr>
          <w:rFonts w:ascii="Arial" w:hAnsi="Arial" w:cs="Arial"/>
          <w:i/>
          <w:noProof/>
        </w:rPr>
        <w:t xml:space="preserve"> et al. </w:t>
      </w:r>
      <w:r w:rsidR="00FF6136">
        <w:rPr>
          <w:rFonts w:ascii="Arial" w:hAnsi="Arial" w:cs="Arial"/>
        </w:rPr>
        <w:t>[2]</w:t>
      </w:r>
      <w:r w:rsidR="00F94519">
        <w:rPr>
          <w:rFonts w:ascii="Arial" w:hAnsi="Arial" w:cs="Arial"/>
        </w:rPr>
        <w:t xml:space="preserve"> </w:t>
      </w:r>
      <w:r w:rsidRPr="00171DAF">
        <w:rPr>
          <w:rFonts w:ascii="Arial" w:hAnsi="Arial" w:cs="Arial"/>
        </w:rPr>
        <w:t xml:space="preserve">reported remission rates from post-traumatic </w:t>
      </w:r>
      <w:r w:rsidRPr="009B4422">
        <w:rPr>
          <w:rFonts w:ascii="Arial" w:hAnsi="Arial" w:cs="Arial"/>
        </w:rPr>
        <w:t xml:space="preserve">stress disorder in the general population, using </w:t>
      </w:r>
      <w:bookmarkStart w:id="0" w:name="_GoBack"/>
      <w:r w:rsidRPr="009B4422">
        <w:rPr>
          <w:rFonts w:ascii="Arial" w:hAnsi="Arial" w:cs="Arial"/>
        </w:rPr>
        <w:t>data obtained from 8,841 respondents of the 2007 Australian National Survey of Mental Health and Wellbeing, aged 16-85 years, 664 of whom had experienced PTSD at some point in their life</w:t>
      </w:r>
      <w:bookmarkEnd w:id="0"/>
      <w:r w:rsidRPr="009B4422">
        <w:rPr>
          <w:rFonts w:ascii="Arial" w:hAnsi="Arial" w:cs="Arial"/>
        </w:rPr>
        <w:t xml:space="preserve">. The study reported remission rates over time and also provided a survival curve of remission up to 60 years from onset of PTSD in the surveyed population. </w:t>
      </w:r>
      <w:r w:rsidRPr="009B4422">
        <w:rPr>
          <w:rFonts w:ascii="Arial" w:hAnsi="Arial" w:cs="Arial"/>
          <w:noProof/>
        </w:rPr>
        <w:t>Rosellini</w:t>
      </w:r>
      <w:r w:rsidRPr="009B4422">
        <w:rPr>
          <w:rFonts w:ascii="Arial" w:hAnsi="Arial" w:cs="Arial"/>
          <w:i/>
          <w:noProof/>
        </w:rPr>
        <w:t xml:space="preserve"> et al. </w:t>
      </w:r>
      <w:r w:rsidR="00FF6136">
        <w:rPr>
          <w:rFonts w:ascii="Arial" w:hAnsi="Arial" w:cs="Arial"/>
        </w:rPr>
        <w:t xml:space="preserve">[6] </w:t>
      </w:r>
      <w:r w:rsidRPr="009B4422">
        <w:rPr>
          <w:rFonts w:ascii="Arial" w:hAnsi="Arial" w:cs="Arial"/>
        </w:rPr>
        <w:t>reported remission data from 1575 respondents with PTSD who participated in 22 World Mental Health surveys. Rates of remission were reported for a period of 120 months (10 years) following PTSD onset, which was the longest follow-up period for which a sufficient number of cases were observed for stable estimation of conditional probability of remission. The probability of PTSD remission over time was graphically shown for different age groups, starting from children aged 0-12 years and up to adults aged 60 years and above.</w:t>
      </w:r>
    </w:p>
    <w:p w:rsidR="00B23F69" w:rsidRPr="009B4422" w:rsidRDefault="00B23F69" w:rsidP="00425648">
      <w:pPr>
        <w:spacing w:after="0" w:line="480" w:lineRule="auto"/>
        <w:rPr>
          <w:rFonts w:ascii="Arial" w:hAnsi="Arial" w:cs="Arial"/>
        </w:rPr>
      </w:pPr>
    </w:p>
    <w:p w:rsidR="00B23F69" w:rsidRPr="009B4422" w:rsidRDefault="00B23F69" w:rsidP="00425648">
      <w:pPr>
        <w:spacing w:after="0" w:line="480" w:lineRule="auto"/>
        <w:rPr>
          <w:rFonts w:ascii="Arial" w:hAnsi="Arial" w:cs="Arial"/>
        </w:rPr>
      </w:pPr>
      <w:r w:rsidRPr="009B4422">
        <w:rPr>
          <w:rFonts w:ascii="Arial" w:hAnsi="Arial" w:cs="Arial"/>
        </w:rPr>
        <w:t>Two studies</w:t>
      </w:r>
      <w:r w:rsidR="00FF6136">
        <w:rPr>
          <w:rFonts w:ascii="Arial" w:hAnsi="Arial" w:cs="Arial"/>
        </w:rPr>
        <w:t xml:space="preserve"> [3, 8]</w:t>
      </w:r>
      <w:r w:rsidRPr="009B4422">
        <w:rPr>
          <w:rFonts w:ascii="Arial" w:hAnsi="Arial" w:cs="Arial"/>
        </w:rPr>
        <w:t xml:space="preserve"> were systematic reviews of naturalistic, long term outcome studies on PTSD in adults. Both reviews reported a wide range of remission rates across primary studies, between 6% and 92%.</w:t>
      </w:r>
      <w:r w:rsidR="00C3377D">
        <w:rPr>
          <w:rFonts w:ascii="Arial" w:hAnsi="Arial" w:cs="Arial"/>
        </w:rPr>
        <w:t xml:space="preserve"> </w:t>
      </w:r>
      <w:r w:rsidRPr="009B4422">
        <w:rPr>
          <w:rFonts w:ascii="Arial" w:hAnsi="Arial" w:cs="Arial"/>
        </w:rPr>
        <w:t>One study was a prospective cohort study of PTSD risk and resilience in 10,835 World Trade Centre responders</w:t>
      </w:r>
      <w:r w:rsidR="00FF6136">
        <w:rPr>
          <w:rFonts w:ascii="Arial" w:hAnsi="Arial" w:cs="Arial"/>
        </w:rPr>
        <w:t xml:space="preserve"> [4]</w:t>
      </w:r>
      <w:r w:rsidRPr="009B4422">
        <w:rPr>
          <w:rFonts w:ascii="Arial" w:hAnsi="Arial" w:cs="Arial"/>
        </w:rPr>
        <w:t>. Another study assessed the trajectories of PTSD in 214 veterans from the 1982 Lebanon War over 20 years</w:t>
      </w:r>
      <w:r w:rsidR="00FF6136">
        <w:rPr>
          <w:rFonts w:ascii="Arial" w:hAnsi="Arial" w:cs="Arial"/>
        </w:rPr>
        <w:t xml:space="preserve"> [7]</w:t>
      </w:r>
      <w:r w:rsidRPr="009B4422">
        <w:rPr>
          <w:rFonts w:ascii="Arial" w:hAnsi="Arial" w:cs="Arial"/>
        </w:rPr>
        <w:t xml:space="preserve">. Finally, </w:t>
      </w:r>
      <w:r w:rsidRPr="009B4422">
        <w:rPr>
          <w:rFonts w:ascii="Arial" w:hAnsi="Arial" w:cs="Arial"/>
        </w:rPr>
        <w:lastRenderedPageBreak/>
        <w:t>one study was a long-term follow-up (8 years) study of female rape survivors with PTSD that had participated in a RCT that compared cognitive processing therapy with prolonged exposure</w:t>
      </w:r>
      <w:r w:rsidR="00FF6136">
        <w:rPr>
          <w:rFonts w:ascii="Arial" w:hAnsi="Arial" w:cs="Arial"/>
        </w:rPr>
        <w:t xml:space="preserve"> [5]</w:t>
      </w:r>
      <w:r w:rsidRPr="009B4422">
        <w:rPr>
          <w:rFonts w:ascii="Arial" w:hAnsi="Arial" w:cs="Arial"/>
        </w:rPr>
        <w:t>.</w:t>
      </w:r>
    </w:p>
    <w:p w:rsidR="00B23F69" w:rsidRPr="009B4422" w:rsidRDefault="00B23F69" w:rsidP="00425648">
      <w:pPr>
        <w:spacing w:after="0" w:line="480" w:lineRule="auto"/>
        <w:rPr>
          <w:rFonts w:ascii="Arial" w:hAnsi="Arial" w:cs="Arial"/>
        </w:rPr>
      </w:pPr>
    </w:p>
    <w:p w:rsidR="00B23F69" w:rsidRPr="00183C65" w:rsidRDefault="00B23F69" w:rsidP="00425648">
      <w:pPr>
        <w:spacing w:after="0" w:line="480" w:lineRule="auto"/>
        <w:rPr>
          <w:rFonts w:ascii="Arial" w:hAnsi="Arial" w:cs="Arial"/>
        </w:rPr>
      </w:pPr>
      <w:r w:rsidRPr="009B4422">
        <w:rPr>
          <w:rFonts w:ascii="Arial" w:hAnsi="Arial" w:cs="Arial"/>
        </w:rPr>
        <w:t xml:space="preserve">After reviewing the available studies, we decided to inform the economic model with data reported by </w:t>
      </w:r>
      <w:r w:rsidRPr="009B4422">
        <w:rPr>
          <w:rFonts w:ascii="Arial" w:hAnsi="Arial" w:cs="Arial"/>
          <w:noProof/>
        </w:rPr>
        <w:t>Chapman</w:t>
      </w:r>
      <w:r w:rsidRPr="009B4422">
        <w:rPr>
          <w:rFonts w:ascii="Arial" w:hAnsi="Arial" w:cs="Arial"/>
          <w:i/>
          <w:noProof/>
        </w:rPr>
        <w:t xml:space="preserve"> et al.</w:t>
      </w:r>
      <w:r w:rsidR="00C3377D">
        <w:rPr>
          <w:rFonts w:ascii="Arial" w:hAnsi="Arial" w:cs="Arial"/>
          <w:i/>
          <w:noProof/>
        </w:rPr>
        <w:t xml:space="preserve"> </w:t>
      </w:r>
      <w:r w:rsidR="00FF6136">
        <w:rPr>
          <w:rFonts w:ascii="Arial" w:hAnsi="Arial" w:cs="Arial"/>
          <w:noProof/>
        </w:rPr>
        <w:t>[2]</w:t>
      </w:r>
      <w:r>
        <w:rPr>
          <w:rFonts w:ascii="Arial" w:hAnsi="Arial" w:cs="Arial"/>
        </w:rPr>
        <w:t xml:space="preserve">, as </w:t>
      </w:r>
      <w:r w:rsidRPr="009B4422">
        <w:rPr>
          <w:rFonts w:ascii="Arial" w:hAnsi="Arial" w:cs="Arial"/>
        </w:rPr>
        <w:t xml:space="preserve">the study sample was more likely to be similar to the UK population presenting to </w:t>
      </w:r>
      <w:r>
        <w:rPr>
          <w:rFonts w:ascii="Arial" w:hAnsi="Arial" w:cs="Arial"/>
        </w:rPr>
        <w:t xml:space="preserve">the </w:t>
      </w:r>
      <w:r w:rsidR="007162CF">
        <w:rPr>
          <w:rFonts w:ascii="Arial" w:hAnsi="Arial" w:cs="Arial"/>
        </w:rPr>
        <w:t>National Health Service</w:t>
      </w:r>
      <w:r>
        <w:rPr>
          <w:rFonts w:ascii="Arial" w:hAnsi="Arial" w:cs="Arial"/>
        </w:rPr>
        <w:t xml:space="preserve"> (</w:t>
      </w:r>
      <w:r w:rsidRPr="009B4422">
        <w:rPr>
          <w:rFonts w:ascii="Arial" w:hAnsi="Arial" w:cs="Arial"/>
        </w:rPr>
        <w:t>NHS</w:t>
      </w:r>
      <w:r>
        <w:rPr>
          <w:rFonts w:ascii="Arial" w:hAnsi="Arial" w:cs="Arial"/>
        </w:rPr>
        <w:t>)</w:t>
      </w:r>
      <w:r w:rsidRPr="009B4422">
        <w:rPr>
          <w:rFonts w:ascii="Arial" w:hAnsi="Arial" w:cs="Arial"/>
        </w:rPr>
        <w:t xml:space="preserve"> for PTSD symptoms. Moreover, the study reported detailed remission data, supplemented with survival curves that were possible to extract and use in the economic model over the time horizon of the analysis.  Digital software (</w:t>
      </w:r>
      <w:hyperlink r:id="rId7" w:history="1">
        <w:r w:rsidRPr="00F654B6">
          <w:rPr>
            <w:rStyle w:val="Hyperlink"/>
            <w:rFonts w:ascii="Arial" w:hAnsi="Arial" w:cs="Arial"/>
          </w:rPr>
          <w:t>http://www.digitizeit.de</w:t>
        </w:r>
      </w:hyperlink>
      <w:r w:rsidRPr="009B4422">
        <w:rPr>
          <w:rFonts w:ascii="Arial" w:hAnsi="Arial" w:cs="Arial"/>
        </w:rPr>
        <w:t xml:space="preserve">) was used to read and extract the cumulative proportions of adults that remitted from PTSD at 3 months, 12 months, 24 months, and 36 months from PTSD onset and supplement values already reported in the study. </w:t>
      </w:r>
      <w:r w:rsidRPr="00183C65">
        <w:rPr>
          <w:rFonts w:ascii="Arial" w:hAnsi="Arial" w:cs="Arial"/>
        </w:rPr>
        <w:t>The extracted values were used to estimate the probability of remission between 0-3 months, 3-12 months, 12-24 months and 24-36 months, conditional on not having achieved remission prior to the beginning of each interval. The estimated probabilities of remission during these time periods were subsequently transformed into 3-month probabilities that were used to inform the economic model.</w:t>
      </w:r>
    </w:p>
    <w:p w:rsidR="00B23F69" w:rsidRPr="00183C65" w:rsidRDefault="00B23F69" w:rsidP="00425648">
      <w:pPr>
        <w:spacing w:after="0" w:line="480" w:lineRule="auto"/>
        <w:rPr>
          <w:rFonts w:ascii="Arial" w:hAnsi="Arial" w:cs="Arial"/>
        </w:rPr>
      </w:pPr>
    </w:p>
    <w:p w:rsidR="00B23F69" w:rsidRDefault="00B23F69" w:rsidP="00425648">
      <w:pPr>
        <w:spacing w:after="0" w:line="480" w:lineRule="auto"/>
        <w:rPr>
          <w:rFonts w:ascii="Arial" w:hAnsi="Arial" w:cs="Arial"/>
        </w:rPr>
      </w:pPr>
      <w:r w:rsidRPr="00183C65">
        <w:rPr>
          <w:rFonts w:ascii="Arial" w:hAnsi="Arial" w:cs="Arial"/>
        </w:rPr>
        <w:t>The table below shows the estimated cumulative probability of remission for adults at 3, 12, 24 and 36 months from PTSD onset; the probability of remission between 0-3, 3-12, 12-24 and 24-36 months (conditional on not having achieved remission prior to the beginning of the interval); and the 3-monthly probability of remission during these time periods.</w:t>
      </w:r>
    </w:p>
    <w:p w:rsidR="00C3377D" w:rsidRDefault="00C3377D" w:rsidP="00425648">
      <w:pPr>
        <w:spacing w:after="0" w:line="480" w:lineRule="auto"/>
        <w:rPr>
          <w:rFonts w:ascii="Arial" w:hAnsi="Arial" w:cs="Arial"/>
        </w:rPr>
      </w:pPr>
    </w:p>
    <w:p w:rsidR="00C3377D" w:rsidRPr="00183C65" w:rsidRDefault="00C3377D" w:rsidP="00425648">
      <w:pPr>
        <w:spacing w:after="0" w:line="480" w:lineRule="auto"/>
        <w:rPr>
          <w:rFonts w:ascii="Arial" w:hAnsi="Arial" w:cs="Arial"/>
        </w:rPr>
      </w:pPr>
    </w:p>
    <w:p w:rsidR="00B23F69" w:rsidRPr="00DC567A" w:rsidRDefault="00B23F69" w:rsidP="00425648">
      <w:pPr>
        <w:keepNext/>
        <w:tabs>
          <w:tab w:val="left" w:pos="993"/>
        </w:tabs>
        <w:spacing w:after="0" w:line="276" w:lineRule="auto"/>
        <w:rPr>
          <w:rFonts w:ascii="Arial" w:eastAsia="Calibri" w:hAnsi="Arial" w:cs="Arial"/>
          <w:b/>
          <w:szCs w:val="20"/>
        </w:rPr>
      </w:pPr>
      <w:r w:rsidRPr="00DC567A">
        <w:rPr>
          <w:rFonts w:ascii="Arial" w:eastAsia="Calibri" w:hAnsi="Arial" w:cs="Arial"/>
          <w:b/>
          <w:szCs w:val="20"/>
        </w:rPr>
        <w:lastRenderedPageBreak/>
        <w:t xml:space="preserve">Probability of remission over time in children and young people with PTSD, as estimated based on data extracted from </w:t>
      </w:r>
      <w:r>
        <w:rPr>
          <w:rFonts w:ascii="Arial" w:eastAsia="Calibri" w:hAnsi="Arial" w:cs="Arial"/>
          <w:b/>
          <w:noProof/>
          <w:szCs w:val="20"/>
        </w:rPr>
        <w:t>Chapman</w:t>
      </w:r>
      <w:r w:rsidRPr="00883828">
        <w:rPr>
          <w:rFonts w:ascii="Arial" w:eastAsia="Calibri" w:hAnsi="Arial" w:cs="Arial"/>
          <w:b/>
          <w:i/>
          <w:noProof/>
          <w:szCs w:val="20"/>
        </w:rPr>
        <w:t xml:space="preserve"> et al. </w:t>
      </w:r>
      <w:r w:rsidR="00FF6136" w:rsidRPr="00FF6136">
        <w:rPr>
          <w:rFonts w:ascii="Arial" w:eastAsia="Calibri" w:hAnsi="Arial" w:cs="Arial"/>
          <w:b/>
          <w:noProof/>
          <w:szCs w:val="20"/>
        </w:rPr>
        <w:t>[2]</w:t>
      </w:r>
    </w:p>
    <w:tbl>
      <w:tblPr>
        <w:tblW w:w="83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2F2F2" w:themeFill="background1" w:themeFillShade="F2"/>
        <w:tblLayout w:type="fixed"/>
        <w:tblLook w:val="04A0" w:firstRow="1" w:lastRow="0" w:firstColumn="1" w:lastColumn="0" w:noHBand="0" w:noVBand="1"/>
      </w:tblPr>
      <w:tblGrid>
        <w:gridCol w:w="1268"/>
        <w:gridCol w:w="1701"/>
        <w:gridCol w:w="1418"/>
        <w:gridCol w:w="1984"/>
        <w:gridCol w:w="1984"/>
      </w:tblGrid>
      <w:tr w:rsidR="00B23F69" w:rsidRPr="00DC567A" w:rsidTr="00425648">
        <w:trPr>
          <w:trHeight w:val="958"/>
          <w:tblHeader/>
        </w:trPr>
        <w:tc>
          <w:tcPr>
            <w:tcW w:w="1268" w:type="dxa"/>
            <w:shd w:val="clear" w:color="auto" w:fill="C5E0B3" w:themeFill="accent6" w:themeFillTint="66"/>
            <w:vAlign w:val="center"/>
          </w:tcPr>
          <w:p w:rsidR="00B23F69" w:rsidRPr="00DC567A" w:rsidRDefault="00B23F69" w:rsidP="00425648">
            <w:pPr>
              <w:spacing w:after="0" w:line="240" w:lineRule="auto"/>
              <w:rPr>
                <w:rFonts w:ascii="Arial" w:hAnsi="Arial" w:cs="Arial"/>
                <w:b/>
                <w:sz w:val="18"/>
                <w:szCs w:val="18"/>
              </w:rPr>
            </w:pPr>
            <w:r w:rsidRPr="00DC567A">
              <w:rPr>
                <w:rFonts w:ascii="Arial" w:hAnsi="Arial" w:cs="Arial"/>
                <w:b/>
                <w:sz w:val="18"/>
                <w:szCs w:val="18"/>
              </w:rPr>
              <w:t>Time from PTSD onset</w:t>
            </w:r>
          </w:p>
        </w:tc>
        <w:tc>
          <w:tcPr>
            <w:tcW w:w="1701" w:type="dxa"/>
            <w:shd w:val="clear" w:color="auto" w:fill="C5E0B3" w:themeFill="accent6" w:themeFillTint="66"/>
            <w:vAlign w:val="center"/>
          </w:tcPr>
          <w:p w:rsidR="00B23F69" w:rsidRPr="00DC567A" w:rsidRDefault="00B23F69" w:rsidP="00425648">
            <w:pPr>
              <w:spacing w:after="0" w:line="240" w:lineRule="auto"/>
              <w:jc w:val="center"/>
              <w:rPr>
                <w:rFonts w:ascii="Arial" w:hAnsi="Arial" w:cs="Arial"/>
                <w:b/>
                <w:sz w:val="18"/>
                <w:szCs w:val="18"/>
              </w:rPr>
            </w:pPr>
            <w:r w:rsidRPr="00DC567A">
              <w:rPr>
                <w:rFonts w:ascii="Arial" w:hAnsi="Arial" w:cs="Arial"/>
                <w:b/>
                <w:sz w:val="18"/>
                <w:szCs w:val="18"/>
              </w:rPr>
              <w:t>Cumulative probability of remission</w:t>
            </w:r>
          </w:p>
        </w:tc>
        <w:tc>
          <w:tcPr>
            <w:tcW w:w="1418" w:type="dxa"/>
            <w:shd w:val="clear" w:color="auto" w:fill="C5E0B3" w:themeFill="accent6" w:themeFillTint="66"/>
            <w:vAlign w:val="center"/>
          </w:tcPr>
          <w:p w:rsidR="00B23F69" w:rsidRPr="00DC567A" w:rsidRDefault="00B23F69" w:rsidP="00425648">
            <w:pPr>
              <w:spacing w:after="0" w:line="240" w:lineRule="auto"/>
              <w:jc w:val="center"/>
              <w:rPr>
                <w:rFonts w:ascii="Arial" w:hAnsi="Arial" w:cs="Arial"/>
                <w:b/>
                <w:sz w:val="18"/>
                <w:szCs w:val="18"/>
              </w:rPr>
            </w:pPr>
            <w:r w:rsidRPr="00DC567A">
              <w:rPr>
                <w:rFonts w:ascii="Arial" w:hAnsi="Arial" w:cs="Arial"/>
                <w:b/>
                <w:sz w:val="18"/>
                <w:szCs w:val="18"/>
              </w:rPr>
              <w:t>Time interval</w:t>
            </w:r>
          </w:p>
        </w:tc>
        <w:tc>
          <w:tcPr>
            <w:tcW w:w="1984" w:type="dxa"/>
            <w:shd w:val="clear" w:color="auto" w:fill="C5E0B3" w:themeFill="accent6" w:themeFillTint="66"/>
            <w:vAlign w:val="center"/>
          </w:tcPr>
          <w:p w:rsidR="00B23F69" w:rsidRPr="00DC567A" w:rsidRDefault="00B23F69" w:rsidP="00425648">
            <w:pPr>
              <w:spacing w:after="0" w:line="240" w:lineRule="auto"/>
              <w:jc w:val="center"/>
              <w:rPr>
                <w:rFonts w:ascii="Arial" w:hAnsi="Arial" w:cs="Arial"/>
                <w:b/>
                <w:sz w:val="18"/>
                <w:szCs w:val="18"/>
              </w:rPr>
            </w:pPr>
            <w:r w:rsidRPr="00DC567A">
              <w:rPr>
                <w:rFonts w:ascii="Arial" w:hAnsi="Arial" w:cs="Arial"/>
                <w:b/>
                <w:sz w:val="18"/>
                <w:szCs w:val="18"/>
              </w:rPr>
              <w:t>Probability of remission over the time interval*</w:t>
            </w:r>
          </w:p>
        </w:tc>
        <w:tc>
          <w:tcPr>
            <w:tcW w:w="1984" w:type="dxa"/>
            <w:shd w:val="clear" w:color="auto" w:fill="C5E0B3" w:themeFill="accent6" w:themeFillTint="66"/>
            <w:vAlign w:val="center"/>
          </w:tcPr>
          <w:p w:rsidR="00B23F69" w:rsidRPr="00DC567A" w:rsidRDefault="00B23F69" w:rsidP="00425648">
            <w:pPr>
              <w:spacing w:after="0" w:line="240" w:lineRule="auto"/>
              <w:jc w:val="center"/>
              <w:rPr>
                <w:rFonts w:ascii="Arial" w:hAnsi="Arial" w:cs="Arial"/>
                <w:b/>
                <w:sz w:val="18"/>
                <w:szCs w:val="18"/>
              </w:rPr>
            </w:pPr>
            <w:r w:rsidRPr="00DC567A">
              <w:rPr>
                <w:rFonts w:ascii="Arial" w:hAnsi="Arial" w:cs="Arial"/>
                <w:b/>
                <w:sz w:val="18"/>
                <w:szCs w:val="18"/>
              </w:rPr>
              <w:t>3-month probability during the time interval*</w:t>
            </w:r>
          </w:p>
        </w:tc>
      </w:tr>
      <w:tr w:rsidR="00B23F69" w:rsidRPr="0075760B" w:rsidTr="00425648">
        <w:trPr>
          <w:trHeight w:val="304"/>
        </w:trPr>
        <w:tc>
          <w:tcPr>
            <w:tcW w:w="1268" w:type="dxa"/>
            <w:shd w:val="clear" w:color="auto" w:fill="F2F2F2" w:themeFill="background1" w:themeFillShade="F2"/>
            <w:vAlign w:val="center"/>
          </w:tcPr>
          <w:p w:rsidR="00B23F69" w:rsidRPr="00DC567A" w:rsidRDefault="00B23F69" w:rsidP="00425648">
            <w:pPr>
              <w:spacing w:after="0" w:line="240" w:lineRule="auto"/>
              <w:jc w:val="center"/>
              <w:rPr>
                <w:rFonts w:ascii="Arial" w:hAnsi="Arial" w:cs="Arial"/>
                <w:sz w:val="18"/>
                <w:szCs w:val="18"/>
              </w:rPr>
            </w:pPr>
            <w:r w:rsidRPr="00DC567A">
              <w:rPr>
                <w:rFonts w:ascii="Arial" w:hAnsi="Arial" w:cs="Arial"/>
                <w:sz w:val="18"/>
                <w:szCs w:val="18"/>
              </w:rPr>
              <w:t>3 months</w:t>
            </w:r>
          </w:p>
        </w:tc>
        <w:tc>
          <w:tcPr>
            <w:tcW w:w="1701" w:type="dxa"/>
            <w:shd w:val="clear" w:color="auto" w:fill="F2F2F2" w:themeFill="background1" w:themeFillShade="F2"/>
            <w:vAlign w:val="center"/>
          </w:tcPr>
          <w:p w:rsidR="00B23F69" w:rsidRPr="00DC567A" w:rsidRDefault="00B23F69" w:rsidP="00425648">
            <w:pPr>
              <w:spacing w:after="0" w:line="240" w:lineRule="auto"/>
              <w:jc w:val="center"/>
              <w:rPr>
                <w:rFonts w:ascii="Arial" w:hAnsi="Arial" w:cs="Arial"/>
                <w:sz w:val="18"/>
                <w:szCs w:val="18"/>
              </w:rPr>
            </w:pPr>
            <w:r w:rsidRPr="00DC567A">
              <w:rPr>
                <w:rFonts w:ascii="Arial" w:hAnsi="Arial" w:cs="Arial"/>
                <w:sz w:val="18"/>
                <w:szCs w:val="18"/>
              </w:rPr>
              <w:t>0.026</w:t>
            </w:r>
          </w:p>
        </w:tc>
        <w:tc>
          <w:tcPr>
            <w:tcW w:w="1418" w:type="dxa"/>
            <w:shd w:val="clear" w:color="auto" w:fill="F2F2F2" w:themeFill="background1" w:themeFillShade="F2"/>
            <w:vAlign w:val="center"/>
          </w:tcPr>
          <w:p w:rsidR="00B23F69" w:rsidRPr="00DC567A" w:rsidRDefault="00B23F69" w:rsidP="00425648">
            <w:pPr>
              <w:spacing w:after="0" w:line="240" w:lineRule="auto"/>
              <w:jc w:val="center"/>
              <w:rPr>
                <w:rFonts w:ascii="Arial" w:hAnsi="Arial" w:cs="Arial"/>
                <w:sz w:val="18"/>
                <w:szCs w:val="18"/>
                <w:lang w:eastAsia="en-GB"/>
              </w:rPr>
            </w:pPr>
            <w:r w:rsidRPr="00DC567A">
              <w:rPr>
                <w:rFonts w:ascii="Arial" w:hAnsi="Arial" w:cs="Arial"/>
                <w:sz w:val="18"/>
                <w:szCs w:val="18"/>
                <w:lang w:eastAsia="en-GB"/>
              </w:rPr>
              <w:t>0-3 months</w:t>
            </w:r>
          </w:p>
        </w:tc>
        <w:tc>
          <w:tcPr>
            <w:tcW w:w="1984" w:type="dxa"/>
            <w:shd w:val="clear" w:color="auto" w:fill="F2F2F2" w:themeFill="background1" w:themeFillShade="F2"/>
            <w:vAlign w:val="center"/>
          </w:tcPr>
          <w:p w:rsidR="00B23F69" w:rsidRPr="00DC567A" w:rsidRDefault="00B23F69" w:rsidP="00425648">
            <w:pPr>
              <w:spacing w:after="0" w:line="240" w:lineRule="auto"/>
              <w:jc w:val="center"/>
              <w:rPr>
                <w:rFonts w:ascii="Arial" w:hAnsi="Arial" w:cs="Arial"/>
                <w:sz w:val="18"/>
                <w:szCs w:val="18"/>
              </w:rPr>
            </w:pPr>
            <w:r w:rsidRPr="00DC567A">
              <w:rPr>
                <w:rFonts w:ascii="Arial" w:hAnsi="Arial" w:cs="Arial"/>
                <w:sz w:val="18"/>
                <w:szCs w:val="18"/>
              </w:rPr>
              <w:t>0.026</w:t>
            </w:r>
          </w:p>
        </w:tc>
        <w:tc>
          <w:tcPr>
            <w:tcW w:w="1984" w:type="dxa"/>
            <w:shd w:val="clear" w:color="auto" w:fill="F2F2F2" w:themeFill="background1" w:themeFillShade="F2"/>
            <w:vAlign w:val="center"/>
          </w:tcPr>
          <w:p w:rsidR="00B23F69" w:rsidRPr="00DC567A" w:rsidRDefault="00B23F69" w:rsidP="00425648">
            <w:pPr>
              <w:spacing w:after="0" w:line="240" w:lineRule="auto"/>
              <w:jc w:val="center"/>
              <w:rPr>
                <w:rFonts w:ascii="Arial" w:hAnsi="Arial" w:cs="Arial"/>
                <w:sz w:val="18"/>
                <w:szCs w:val="18"/>
              </w:rPr>
            </w:pPr>
            <w:r w:rsidRPr="00DC567A">
              <w:rPr>
                <w:rFonts w:ascii="Arial" w:hAnsi="Arial" w:cs="Arial"/>
                <w:sz w:val="18"/>
                <w:szCs w:val="18"/>
              </w:rPr>
              <w:t>0.026</w:t>
            </w:r>
          </w:p>
        </w:tc>
      </w:tr>
      <w:tr w:rsidR="00B23F69" w:rsidRPr="0075760B" w:rsidTr="00425648">
        <w:trPr>
          <w:trHeight w:val="304"/>
        </w:trPr>
        <w:tc>
          <w:tcPr>
            <w:tcW w:w="1268" w:type="dxa"/>
            <w:shd w:val="clear" w:color="auto" w:fill="F2F2F2" w:themeFill="background1" w:themeFillShade="F2"/>
            <w:vAlign w:val="center"/>
          </w:tcPr>
          <w:p w:rsidR="00B23F69" w:rsidRPr="00DC567A" w:rsidRDefault="00B23F69" w:rsidP="00425648">
            <w:pPr>
              <w:spacing w:after="0" w:line="240" w:lineRule="auto"/>
              <w:jc w:val="center"/>
              <w:rPr>
                <w:rFonts w:ascii="Arial" w:hAnsi="Arial" w:cs="Arial"/>
                <w:sz w:val="18"/>
                <w:szCs w:val="18"/>
              </w:rPr>
            </w:pPr>
            <w:r w:rsidRPr="00DC567A">
              <w:rPr>
                <w:rFonts w:ascii="Arial" w:hAnsi="Arial" w:cs="Arial"/>
                <w:sz w:val="18"/>
                <w:szCs w:val="18"/>
              </w:rPr>
              <w:t>12 months</w:t>
            </w:r>
          </w:p>
        </w:tc>
        <w:tc>
          <w:tcPr>
            <w:tcW w:w="1701" w:type="dxa"/>
            <w:shd w:val="clear" w:color="auto" w:fill="F2F2F2" w:themeFill="background1" w:themeFillShade="F2"/>
            <w:vAlign w:val="center"/>
          </w:tcPr>
          <w:p w:rsidR="00B23F69" w:rsidRPr="00DC567A" w:rsidRDefault="00B23F69" w:rsidP="00425648">
            <w:pPr>
              <w:spacing w:after="0" w:line="240" w:lineRule="auto"/>
              <w:jc w:val="center"/>
              <w:rPr>
                <w:rFonts w:ascii="Arial" w:hAnsi="Arial" w:cs="Arial"/>
                <w:sz w:val="18"/>
                <w:szCs w:val="18"/>
              </w:rPr>
            </w:pPr>
            <w:r w:rsidRPr="00DC567A">
              <w:rPr>
                <w:rFonts w:ascii="Arial" w:hAnsi="Arial" w:cs="Arial"/>
                <w:sz w:val="18"/>
                <w:szCs w:val="18"/>
              </w:rPr>
              <w:t>0.149</w:t>
            </w:r>
          </w:p>
        </w:tc>
        <w:tc>
          <w:tcPr>
            <w:tcW w:w="1418" w:type="dxa"/>
            <w:shd w:val="clear" w:color="auto" w:fill="F2F2F2" w:themeFill="background1" w:themeFillShade="F2"/>
            <w:vAlign w:val="center"/>
          </w:tcPr>
          <w:p w:rsidR="00B23F69" w:rsidRPr="00DC567A" w:rsidRDefault="00B23F69" w:rsidP="00425648">
            <w:pPr>
              <w:spacing w:after="0" w:line="240" w:lineRule="auto"/>
              <w:jc w:val="center"/>
              <w:rPr>
                <w:rFonts w:ascii="Arial" w:hAnsi="Arial" w:cs="Arial"/>
                <w:sz w:val="18"/>
                <w:szCs w:val="18"/>
                <w:lang w:eastAsia="en-GB"/>
              </w:rPr>
            </w:pPr>
            <w:r w:rsidRPr="00DC567A">
              <w:rPr>
                <w:rFonts w:ascii="Arial" w:hAnsi="Arial" w:cs="Arial"/>
                <w:sz w:val="18"/>
                <w:szCs w:val="18"/>
                <w:lang w:eastAsia="en-GB"/>
              </w:rPr>
              <w:t>3-12 months</w:t>
            </w:r>
          </w:p>
        </w:tc>
        <w:tc>
          <w:tcPr>
            <w:tcW w:w="1984" w:type="dxa"/>
            <w:shd w:val="clear" w:color="auto" w:fill="F2F2F2" w:themeFill="background1" w:themeFillShade="F2"/>
            <w:vAlign w:val="center"/>
          </w:tcPr>
          <w:p w:rsidR="00B23F69" w:rsidRPr="00DC567A" w:rsidRDefault="00B23F69" w:rsidP="00425648">
            <w:pPr>
              <w:spacing w:after="0" w:line="240" w:lineRule="auto"/>
              <w:jc w:val="center"/>
              <w:rPr>
                <w:rFonts w:ascii="Arial" w:hAnsi="Arial" w:cs="Arial"/>
                <w:sz w:val="18"/>
                <w:szCs w:val="18"/>
              </w:rPr>
            </w:pPr>
            <w:r w:rsidRPr="00DC567A">
              <w:rPr>
                <w:rFonts w:ascii="Arial" w:hAnsi="Arial" w:cs="Arial"/>
                <w:sz w:val="18"/>
                <w:szCs w:val="18"/>
              </w:rPr>
              <w:t>0.126</w:t>
            </w:r>
          </w:p>
        </w:tc>
        <w:tc>
          <w:tcPr>
            <w:tcW w:w="1984" w:type="dxa"/>
            <w:shd w:val="clear" w:color="auto" w:fill="F2F2F2" w:themeFill="background1" w:themeFillShade="F2"/>
            <w:vAlign w:val="center"/>
          </w:tcPr>
          <w:p w:rsidR="00B23F69" w:rsidRPr="00DC567A" w:rsidRDefault="00B23F69" w:rsidP="00425648">
            <w:pPr>
              <w:spacing w:after="0" w:line="240" w:lineRule="auto"/>
              <w:jc w:val="center"/>
              <w:rPr>
                <w:rFonts w:ascii="Arial" w:hAnsi="Arial" w:cs="Arial"/>
                <w:sz w:val="18"/>
                <w:szCs w:val="18"/>
              </w:rPr>
            </w:pPr>
            <w:r w:rsidRPr="00DC567A">
              <w:rPr>
                <w:rFonts w:ascii="Arial" w:hAnsi="Arial" w:cs="Arial"/>
                <w:sz w:val="18"/>
                <w:szCs w:val="18"/>
              </w:rPr>
              <w:t>0.044</w:t>
            </w:r>
          </w:p>
        </w:tc>
      </w:tr>
      <w:tr w:rsidR="00B23F69" w:rsidRPr="0075760B" w:rsidTr="00425648">
        <w:trPr>
          <w:trHeight w:val="304"/>
        </w:trPr>
        <w:tc>
          <w:tcPr>
            <w:tcW w:w="1268" w:type="dxa"/>
            <w:shd w:val="clear" w:color="auto" w:fill="F2F2F2" w:themeFill="background1" w:themeFillShade="F2"/>
            <w:vAlign w:val="center"/>
          </w:tcPr>
          <w:p w:rsidR="00B23F69" w:rsidRPr="00DC567A" w:rsidRDefault="00B23F69" w:rsidP="00425648">
            <w:pPr>
              <w:spacing w:after="0" w:line="240" w:lineRule="auto"/>
              <w:jc w:val="center"/>
              <w:rPr>
                <w:rFonts w:ascii="Arial" w:hAnsi="Arial" w:cs="Arial"/>
                <w:sz w:val="18"/>
                <w:szCs w:val="18"/>
              </w:rPr>
            </w:pPr>
            <w:r w:rsidRPr="00DC567A">
              <w:rPr>
                <w:rFonts w:ascii="Arial" w:hAnsi="Arial" w:cs="Arial"/>
                <w:sz w:val="18"/>
                <w:szCs w:val="18"/>
              </w:rPr>
              <w:t>24 months</w:t>
            </w:r>
          </w:p>
        </w:tc>
        <w:tc>
          <w:tcPr>
            <w:tcW w:w="1701" w:type="dxa"/>
            <w:shd w:val="clear" w:color="auto" w:fill="F2F2F2" w:themeFill="background1" w:themeFillShade="F2"/>
            <w:vAlign w:val="center"/>
          </w:tcPr>
          <w:p w:rsidR="00B23F69" w:rsidRPr="00DC567A" w:rsidRDefault="00B23F69" w:rsidP="00425648">
            <w:pPr>
              <w:spacing w:after="0" w:line="240" w:lineRule="auto"/>
              <w:jc w:val="center"/>
              <w:rPr>
                <w:rFonts w:ascii="Arial" w:hAnsi="Arial" w:cs="Arial"/>
                <w:sz w:val="18"/>
                <w:szCs w:val="18"/>
              </w:rPr>
            </w:pPr>
            <w:r w:rsidRPr="00DC567A">
              <w:rPr>
                <w:rFonts w:ascii="Arial" w:hAnsi="Arial" w:cs="Arial"/>
                <w:sz w:val="18"/>
                <w:szCs w:val="18"/>
              </w:rPr>
              <w:t>0.266</w:t>
            </w:r>
          </w:p>
        </w:tc>
        <w:tc>
          <w:tcPr>
            <w:tcW w:w="1418" w:type="dxa"/>
            <w:shd w:val="clear" w:color="auto" w:fill="F2F2F2" w:themeFill="background1" w:themeFillShade="F2"/>
            <w:vAlign w:val="center"/>
          </w:tcPr>
          <w:p w:rsidR="00B23F69" w:rsidRPr="00DC567A" w:rsidRDefault="00B23F69" w:rsidP="00425648">
            <w:pPr>
              <w:spacing w:after="0" w:line="240" w:lineRule="auto"/>
              <w:jc w:val="center"/>
              <w:rPr>
                <w:rFonts w:ascii="Arial" w:hAnsi="Arial" w:cs="Arial"/>
                <w:sz w:val="18"/>
                <w:szCs w:val="18"/>
              </w:rPr>
            </w:pPr>
            <w:r w:rsidRPr="00DC567A">
              <w:rPr>
                <w:rFonts w:ascii="Arial" w:hAnsi="Arial" w:cs="Arial"/>
                <w:sz w:val="18"/>
                <w:szCs w:val="18"/>
              </w:rPr>
              <w:t>12-24 months</w:t>
            </w:r>
          </w:p>
        </w:tc>
        <w:tc>
          <w:tcPr>
            <w:tcW w:w="1984" w:type="dxa"/>
            <w:shd w:val="clear" w:color="auto" w:fill="F2F2F2" w:themeFill="background1" w:themeFillShade="F2"/>
            <w:vAlign w:val="center"/>
          </w:tcPr>
          <w:p w:rsidR="00B23F69" w:rsidRPr="00DC567A" w:rsidRDefault="00B23F69" w:rsidP="00425648">
            <w:pPr>
              <w:spacing w:after="0" w:line="240" w:lineRule="auto"/>
              <w:jc w:val="center"/>
              <w:rPr>
                <w:rFonts w:ascii="Arial" w:hAnsi="Arial" w:cs="Arial"/>
                <w:sz w:val="18"/>
                <w:szCs w:val="18"/>
              </w:rPr>
            </w:pPr>
            <w:r w:rsidRPr="00DC567A">
              <w:rPr>
                <w:rFonts w:ascii="Arial" w:hAnsi="Arial" w:cs="Arial"/>
                <w:sz w:val="18"/>
                <w:szCs w:val="18"/>
              </w:rPr>
              <w:t>0.137</w:t>
            </w:r>
          </w:p>
        </w:tc>
        <w:tc>
          <w:tcPr>
            <w:tcW w:w="1984" w:type="dxa"/>
            <w:shd w:val="clear" w:color="auto" w:fill="F2F2F2" w:themeFill="background1" w:themeFillShade="F2"/>
            <w:vAlign w:val="center"/>
          </w:tcPr>
          <w:p w:rsidR="00B23F69" w:rsidRPr="00DC567A" w:rsidRDefault="00B23F69" w:rsidP="00425648">
            <w:pPr>
              <w:spacing w:after="0" w:line="240" w:lineRule="auto"/>
              <w:jc w:val="center"/>
              <w:rPr>
                <w:rFonts w:ascii="Arial" w:hAnsi="Arial" w:cs="Arial"/>
                <w:sz w:val="18"/>
                <w:szCs w:val="18"/>
              </w:rPr>
            </w:pPr>
            <w:r w:rsidRPr="00DC567A">
              <w:rPr>
                <w:rFonts w:ascii="Arial" w:hAnsi="Arial" w:cs="Arial"/>
                <w:sz w:val="18"/>
                <w:szCs w:val="18"/>
              </w:rPr>
              <w:t>0.036</w:t>
            </w:r>
          </w:p>
        </w:tc>
      </w:tr>
      <w:tr w:rsidR="00B23F69" w:rsidRPr="0075760B" w:rsidTr="00425648">
        <w:trPr>
          <w:trHeight w:val="304"/>
        </w:trPr>
        <w:tc>
          <w:tcPr>
            <w:tcW w:w="1268" w:type="dxa"/>
            <w:shd w:val="clear" w:color="auto" w:fill="F2F2F2" w:themeFill="background1" w:themeFillShade="F2"/>
            <w:vAlign w:val="center"/>
          </w:tcPr>
          <w:p w:rsidR="00B23F69" w:rsidRPr="00DC567A" w:rsidRDefault="00B23F69" w:rsidP="00425648">
            <w:pPr>
              <w:spacing w:after="0" w:line="240" w:lineRule="auto"/>
              <w:jc w:val="center"/>
              <w:rPr>
                <w:rFonts w:ascii="Arial" w:hAnsi="Arial" w:cs="Arial"/>
                <w:sz w:val="18"/>
                <w:szCs w:val="18"/>
              </w:rPr>
            </w:pPr>
            <w:r w:rsidRPr="00DC567A">
              <w:rPr>
                <w:rFonts w:ascii="Arial" w:hAnsi="Arial" w:cs="Arial"/>
                <w:sz w:val="18"/>
                <w:szCs w:val="18"/>
              </w:rPr>
              <w:t>36 months</w:t>
            </w:r>
          </w:p>
        </w:tc>
        <w:tc>
          <w:tcPr>
            <w:tcW w:w="1701" w:type="dxa"/>
            <w:shd w:val="clear" w:color="auto" w:fill="F2F2F2" w:themeFill="background1" w:themeFillShade="F2"/>
            <w:vAlign w:val="center"/>
          </w:tcPr>
          <w:p w:rsidR="00B23F69" w:rsidRPr="00DC567A" w:rsidRDefault="00B23F69" w:rsidP="00425648">
            <w:pPr>
              <w:spacing w:after="0" w:line="240" w:lineRule="auto"/>
              <w:jc w:val="center"/>
              <w:rPr>
                <w:rFonts w:ascii="Arial" w:hAnsi="Arial" w:cs="Arial"/>
                <w:sz w:val="18"/>
                <w:szCs w:val="18"/>
              </w:rPr>
            </w:pPr>
            <w:r w:rsidRPr="00DC567A">
              <w:rPr>
                <w:rFonts w:ascii="Arial" w:hAnsi="Arial" w:cs="Arial"/>
                <w:sz w:val="18"/>
                <w:szCs w:val="18"/>
              </w:rPr>
              <w:t>0.320</w:t>
            </w:r>
          </w:p>
        </w:tc>
        <w:tc>
          <w:tcPr>
            <w:tcW w:w="1418" w:type="dxa"/>
            <w:shd w:val="clear" w:color="auto" w:fill="F2F2F2" w:themeFill="background1" w:themeFillShade="F2"/>
            <w:vAlign w:val="center"/>
          </w:tcPr>
          <w:p w:rsidR="00B23F69" w:rsidRPr="00DC567A" w:rsidRDefault="00B23F69" w:rsidP="00425648">
            <w:pPr>
              <w:spacing w:after="0" w:line="240" w:lineRule="auto"/>
              <w:jc w:val="center"/>
              <w:rPr>
                <w:rFonts w:ascii="Arial" w:hAnsi="Arial" w:cs="Arial"/>
                <w:sz w:val="18"/>
                <w:szCs w:val="18"/>
              </w:rPr>
            </w:pPr>
            <w:r w:rsidRPr="00DC567A">
              <w:rPr>
                <w:rFonts w:ascii="Arial" w:hAnsi="Arial" w:cs="Arial"/>
                <w:sz w:val="18"/>
                <w:szCs w:val="18"/>
              </w:rPr>
              <w:t>24-36 months</w:t>
            </w:r>
          </w:p>
        </w:tc>
        <w:tc>
          <w:tcPr>
            <w:tcW w:w="1984" w:type="dxa"/>
            <w:shd w:val="clear" w:color="auto" w:fill="F2F2F2" w:themeFill="background1" w:themeFillShade="F2"/>
            <w:vAlign w:val="center"/>
          </w:tcPr>
          <w:p w:rsidR="00B23F69" w:rsidRPr="00DC567A" w:rsidRDefault="00B23F69" w:rsidP="00425648">
            <w:pPr>
              <w:spacing w:after="0" w:line="240" w:lineRule="auto"/>
              <w:jc w:val="center"/>
              <w:rPr>
                <w:rFonts w:ascii="Arial" w:hAnsi="Arial" w:cs="Arial"/>
                <w:sz w:val="18"/>
                <w:szCs w:val="18"/>
              </w:rPr>
            </w:pPr>
            <w:r w:rsidRPr="00DC567A">
              <w:rPr>
                <w:rFonts w:ascii="Arial" w:hAnsi="Arial" w:cs="Arial"/>
                <w:sz w:val="18"/>
                <w:szCs w:val="18"/>
              </w:rPr>
              <w:t>0.074</w:t>
            </w:r>
          </w:p>
        </w:tc>
        <w:tc>
          <w:tcPr>
            <w:tcW w:w="1984" w:type="dxa"/>
            <w:shd w:val="clear" w:color="auto" w:fill="F2F2F2" w:themeFill="background1" w:themeFillShade="F2"/>
            <w:vAlign w:val="center"/>
          </w:tcPr>
          <w:p w:rsidR="00B23F69" w:rsidRPr="00DC567A" w:rsidRDefault="00B23F69" w:rsidP="00425648">
            <w:pPr>
              <w:spacing w:after="0" w:line="240" w:lineRule="auto"/>
              <w:jc w:val="center"/>
              <w:rPr>
                <w:rFonts w:ascii="Arial" w:hAnsi="Arial" w:cs="Arial"/>
                <w:sz w:val="18"/>
                <w:szCs w:val="18"/>
              </w:rPr>
            </w:pPr>
            <w:r w:rsidRPr="00DC567A">
              <w:rPr>
                <w:rFonts w:ascii="Arial" w:hAnsi="Arial" w:cs="Arial"/>
                <w:sz w:val="18"/>
                <w:szCs w:val="18"/>
              </w:rPr>
              <w:t>0.019</w:t>
            </w:r>
          </w:p>
        </w:tc>
      </w:tr>
      <w:tr w:rsidR="00B23F69" w:rsidRPr="0075760B" w:rsidTr="00425648">
        <w:trPr>
          <w:trHeight w:val="304"/>
        </w:trPr>
        <w:tc>
          <w:tcPr>
            <w:tcW w:w="8355" w:type="dxa"/>
            <w:gridSpan w:val="5"/>
            <w:shd w:val="clear" w:color="auto" w:fill="F2F2F2" w:themeFill="background1" w:themeFillShade="F2"/>
            <w:vAlign w:val="center"/>
          </w:tcPr>
          <w:p w:rsidR="00B23F69" w:rsidRPr="0075760B" w:rsidRDefault="00B23F69" w:rsidP="00425648">
            <w:pPr>
              <w:spacing w:after="0" w:line="240" w:lineRule="auto"/>
              <w:rPr>
                <w:rFonts w:ascii="Arial" w:hAnsi="Arial" w:cs="Arial"/>
                <w:color w:val="FF0000"/>
                <w:sz w:val="18"/>
                <w:szCs w:val="18"/>
              </w:rPr>
            </w:pPr>
            <w:r w:rsidRPr="00DC567A">
              <w:rPr>
                <w:rFonts w:ascii="Arial" w:hAnsi="Arial" w:cs="Arial"/>
                <w:sz w:val="18"/>
                <w:szCs w:val="18"/>
              </w:rPr>
              <w:t>* conditional on not having achieved remission prior to the beginning of the interval</w:t>
            </w:r>
          </w:p>
        </w:tc>
      </w:tr>
    </w:tbl>
    <w:p w:rsidR="00B23F69" w:rsidRPr="00DC567A" w:rsidRDefault="00B23F69" w:rsidP="00425648">
      <w:pPr>
        <w:spacing w:line="480" w:lineRule="auto"/>
        <w:rPr>
          <w:rFonts w:ascii="Arial" w:hAnsi="Arial" w:cs="Arial"/>
        </w:rPr>
      </w:pPr>
    </w:p>
    <w:p w:rsidR="00B23F69" w:rsidRPr="00554AF0" w:rsidRDefault="00B23F69" w:rsidP="00425648">
      <w:pPr>
        <w:spacing w:after="0" w:line="480" w:lineRule="auto"/>
        <w:rPr>
          <w:rFonts w:ascii="Arial" w:hAnsi="Arial" w:cs="Arial"/>
        </w:rPr>
      </w:pPr>
      <w:r w:rsidRPr="00DC567A">
        <w:rPr>
          <w:rFonts w:ascii="Arial" w:hAnsi="Arial" w:cs="Arial"/>
        </w:rPr>
        <w:t xml:space="preserve">The economic analysis evaluated interventions for the treatment of adults with PTSD initiated more than three months after a traumatic event. The economic model was thus assumed to start at </w:t>
      </w:r>
      <w:r w:rsidRPr="00554AF0">
        <w:rPr>
          <w:rFonts w:ascii="Arial" w:hAnsi="Arial" w:cs="Arial"/>
        </w:rPr>
        <w:t>month 3 from PTSD onset. Therefore, remission data corresponding to 0-3 months after PTSD onset were not used in the economic analysis.</w:t>
      </w:r>
    </w:p>
    <w:p w:rsidR="00B23F69" w:rsidRPr="00554AF0" w:rsidRDefault="00B23F69" w:rsidP="00425648">
      <w:pPr>
        <w:spacing w:after="0" w:line="480" w:lineRule="auto"/>
        <w:rPr>
          <w:rFonts w:ascii="Arial" w:hAnsi="Arial" w:cs="Arial"/>
        </w:rPr>
      </w:pPr>
    </w:p>
    <w:p w:rsidR="00B23F69" w:rsidRPr="009D4107" w:rsidRDefault="00B23F69" w:rsidP="00425648">
      <w:pPr>
        <w:spacing w:after="0" w:line="480" w:lineRule="auto"/>
        <w:rPr>
          <w:rFonts w:ascii="Arial" w:hAnsi="Arial" w:cs="Arial"/>
        </w:rPr>
      </w:pPr>
      <w:r w:rsidRPr="00554AF0">
        <w:rPr>
          <w:rFonts w:ascii="Arial" w:hAnsi="Arial" w:cs="Arial"/>
        </w:rPr>
        <w:t xml:space="preserve">The estimated 3-month probability of remission over 3-12 months from </w:t>
      </w:r>
      <w:r w:rsidRPr="009D4107">
        <w:rPr>
          <w:rFonts w:ascii="Arial" w:hAnsi="Arial" w:cs="Arial"/>
        </w:rPr>
        <w:t>PTSD onset informed months 0-9 of the economic model: these data were applied onto the no treatment arm. They also informed all model arms in months 3-6 of the economic model in the base-case analysis, and all model arms in months 6-9 in all analyses of the economic model, as the course of PTSD after 6 months of treatment was assumed to be independent of the treatment received.</w:t>
      </w:r>
    </w:p>
    <w:p w:rsidR="00B23F69" w:rsidRPr="009D4107" w:rsidRDefault="00B23F69" w:rsidP="00425648">
      <w:pPr>
        <w:spacing w:after="0" w:line="480" w:lineRule="auto"/>
        <w:rPr>
          <w:rFonts w:ascii="Arial" w:hAnsi="Arial" w:cs="Arial"/>
        </w:rPr>
      </w:pPr>
    </w:p>
    <w:p w:rsidR="00B23F69" w:rsidRDefault="00B23F69" w:rsidP="00425648">
      <w:pPr>
        <w:spacing w:after="0" w:line="480" w:lineRule="auto"/>
        <w:rPr>
          <w:rFonts w:ascii="Arial" w:hAnsi="Arial" w:cs="Arial"/>
        </w:rPr>
      </w:pPr>
      <w:r w:rsidRPr="009D4107">
        <w:rPr>
          <w:rFonts w:ascii="Arial" w:hAnsi="Arial" w:cs="Arial"/>
        </w:rPr>
        <w:t>The 3-month probability of remission over 12-24 months from PTSD onset informed all model arms in months 9-21 of the economic model. The 3-month probability of remission over 24-36 months from PTSD onset informed all model arms in months 21-36 of the economic model; this 3-month probability was also utilised over the period of 36-39 months from PTSD onset (i.e. months 33-36 of the economic model) for simplicity.</w:t>
      </w:r>
    </w:p>
    <w:p w:rsidR="002A71FB" w:rsidRDefault="002A71FB" w:rsidP="00425648">
      <w:pPr>
        <w:spacing w:after="0" w:line="480" w:lineRule="auto"/>
        <w:rPr>
          <w:rFonts w:ascii="Arial" w:hAnsi="Arial" w:cs="Arial"/>
        </w:rPr>
      </w:pPr>
    </w:p>
    <w:p w:rsidR="00910375" w:rsidRDefault="00910375" w:rsidP="00425648">
      <w:pPr>
        <w:spacing w:after="0" w:line="480" w:lineRule="auto"/>
        <w:rPr>
          <w:rFonts w:ascii="Arial" w:hAnsi="Arial" w:cs="Arial"/>
        </w:rPr>
      </w:pPr>
    </w:p>
    <w:p w:rsidR="00910375" w:rsidRDefault="00910375" w:rsidP="00425648">
      <w:pPr>
        <w:spacing w:after="0" w:line="480" w:lineRule="auto"/>
        <w:rPr>
          <w:rFonts w:ascii="Arial" w:hAnsi="Arial" w:cs="Arial"/>
        </w:rPr>
      </w:pPr>
    </w:p>
    <w:p w:rsidR="002A71FB" w:rsidRPr="00161612" w:rsidRDefault="002A71FB" w:rsidP="00425648">
      <w:pPr>
        <w:spacing w:after="0" w:line="480" w:lineRule="auto"/>
        <w:rPr>
          <w:rFonts w:ascii="Arial" w:hAnsi="Arial" w:cs="Arial"/>
          <w:b/>
          <w:sz w:val="24"/>
          <w:szCs w:val="24"/>
        </w:rPr>
      </w:pPr>
      <w:r w:rsidRPr="00161612">
        <w:rPr>
          <w:rFonts w:ascii="Arial" w:hAnsi="Arial" w:cs="Arial"/>
          <w:b/>
          <w:sz w:val="24"/>
          <w:szCs w:val="24"/>
        </w:rPr>
        <w:lastRenderedPageBreak/>
        <w:t>References</w:t>
      </w:r>
    </w:p>
    <w:p w:rsidR="00910375" w:rsidRDefault="002A71FB" w:rsidP="002A71FB">
      <w:pPr>
        <w:pStyle w:val="ListParagraph"/>
        <w:numPr>
          <w:ilvl w:val="0"/>
          <w:numId w:val="20"/>
        </w:numPr>
        <w:spacing w:after="0" w:line="480" w:lineRule="auto"/>
        <w:ind w:left="284" w:hanging="284"/>
        <w:rPr>
          <w:rFonts w:ascii="Arial" w:hAnsi="Arial" w:cs="Arial"/>
        </w:rPr>
      </w:pPr>
      <w:r w:rsidRPr="00910375">
        <w:rPr>
          <w:rFonts w:ascii="Arial" w:hAnsi="Arial" w:cs="Arial"/>
        </w:rPr>
        <w:t xml:space="preserve">Breslau N, Kessler RC, </w:t>
      </w:r>
      <w:proofErr w:type="spellStart"/>
      <w:r w:rsidRPr="00910375">
        <w:rPr>
          <w:rFonts w:ascii="Arial" w:hAnsi="Arial" w:cs="Arial"/>
        </w:rPr>
        <w:t>Chilcoat</w:t>
      </w:r>
      <w:proofErr w:type="spellEnd"/>
      <w:r w:rsidRPr="00910375">
        <w:rPr>
          <w:rFonts w:ascii="Arial" w:hAnsi="Arial" w:cs="Arial"/>
        </w:rPr>
        <w:t xml:space="preserve"> HD, Schultz LR, Davis GC, </w:t>
      </w:r>
      <w:proofErr w:type="spellStart"/>
      <w:r w:rsidRPr="00910375">
        <w:rPr>
          <w:rFonts w:ascii="Arial" w:hAnsi="Arial" w:cs="Arial"/>
        </w:rPr>
        <w:t>Andreski</w:t>
      </w:r>
      <w:proofErr w:type="spellEnd"/>
      <w:r w:rsidRPr="00910375">
        <w:rPr>
          <w:rFonts w:ascii="Arial" w:hAnsi="Arial" w:cs="Arial"/>
        </w:rPr>
        <w:t xml:space="preserve"> P. Trauma and posttraumatic stress disorder in the community: the 1996 Detroit Area Survey</w:t>
      </w:r>
      <w:r w:rsidR="00910375">
        <w:rPr>
          <w:rFonts w:ascii="Arial" w:hAnsi="Arial" w:cs="Arial"/>
        </w:rPr>
        <w:t xml:space="preserve"> of Trauma. Arch Gen Psychiatry</w:t>
      </w:r>
      <w:r w:rsidRPr="00910375">
        <w:rPr>
          <w:rFonts w:ascii="Arial" w:hAnsi="Arial" w:cs="Arial"/>
        </w:rPr>
        <w:t xml:space="preserve"> 1998</w:t>
      </w:r>
      <w:proofErr w:type="gramStart"/>
      <w:r w:rsidRPr="00910375">
        <w:rPr>
          <w:rFonts w:ascii="Arial" w:hAnsi="Arial" w:cs="Arial"/>
        </w:rPr>
        <w:t>;55</w:t>
      </w:r>
      <w:proofErr w:type="gramEnd"/>
      <w:r w:rsidRPr="00910375">
        <w:rPr>
          <w:rFonts w:ascii="Arial" w:hAnsi="Arial" w:cs="Arial"/>
        </w:rPr>
        <w:t>(7):</w:t>
      </w:r>
      <w:r w:rsidR="00910375">
        <w:rPr>
          <w:rFonts w:ascii="Arial" w:hAnsi="Arial" w:cs="Arial"/>
        </w:rPr>
        <w:t xml:space="preserve"> </w:t>
      </w:r>
      <w:r w:rsidRPr="00910375">
        <w:rPr>
          <w:rFonts w:ascii="Arial" w:hAnsi="Arial" w:cs="Arial"/>
        </w:rPr>
        <w:t>626-32.</w:t>
      </w:r>
    </w:p>
    <w:p w:rsidR="00910375" w:rsidRDefault="002A71FB" w:rsidP="002A71FB">
      <w:pPr>
        <w:pStyle w:val="ListParagraph"/>
        <w:numPr>
          <w:ilvl w:val="0"/>
          <w:numId w:val="20"/>
        </w:numPr>
        <w:spacing w:after="0" w:line="480" w:lineRule="auto"/>
        <w:ind w:left="284" w:hanging="284"/>
        <w:rPr>
          <w:rFonts w:ascii="Arial" w:hAnsi="Arial" w:cs="Arial"/>
        </w:rPr>
      </w:pPr>
      <w:r w:rsidRPr="00910375">
        <w:rPr>
          <w:rFonts w:ascii="Arial" w:hAnsi="Arial" w:cs="Arial"/>
        </w:rPr>
        <w:t xml:space="preserve">Chapman C, Mills K, Slade T, McFarlane AC, Bryant RA, Creamer M, et al. Remission from post-traumatic stress disorder in the general population. </w:t>
      </w:r>
      <w:proofErr w:type="spellStart"/>
      <w:r w:rsidRPr="00910375">
        <w:rPr>
          <w:rFonts w:ascii="Arial" w:hAnsi="Arial" w:cs="Arial"/>
        </w:rPr>
        <w:t>Ps</w:t>
      </w:r>
      <w:r w:rsidR="00910375">
        <w:rPr>
          <w:rFonts w:ascii="Arial" w:hAnsi="Arial" w:cs="Arial"/>
        </w:rPr>
        <w:t>ychol</w:t>
      </w:r>
      <w:proofErr w:type="spellEnd"/>
      <w:r w:rsidR="00910375">
        <w:rPr>
          <w:rFonts w:ascii="Arial" w:hAnsi="Arial" w:cs="Arial"/>
        </w:rPr>
        <w:t xml:space="preserve"> Med 2012</w:t>
      </w:r>
      <w:proofErr w:type="gramStart"/>
      <w:r w:rsidR="00910375">
        <w:rPr>
          <w:rFonts w:ascii="Arial" w:hAnsi="Arial" w:cs="Arial"/>
        </w:rPr>
        <w:t>;42</w:t>
      </w:r>
      <w:proofErr w:type="gramEnd"/>
      <w:r w:rsidR="00910375">
        <w:rPr>
          <w:rFonts w:ascii="Arial" w:hAnsi="Arial" w:cs="Arial"/>
        </w:rPr>
        <w:t>(8): 1695-703.</w:t>
      </w:r>
    </w:p>
    <w:p w:rsidR="00910375" w:rsidRDefault="002A71FB" w:rsidP="002A71FB">
      <w:pPr>
        <w:pStyle w:val="ListParagraph"/>
        <w:numPr>
          <w:ilvl w:val="0"/>
          <w:numId w:val="20"/>
        </w:numPr>
        <w:spacing w:after="0" w:line="480" w:lineRule="auto"/>
        <w:ind w:left="284" w:hanging="284"/>
        <w:rPr>
          <w:rFonts w:ascii="Arial" w:hAnsi="Arial" w:cs="Arial"/>
        </w:rPr>
      </w:pPr>
      <w:proofErr w:type="spellStart"/>
      <w:r w:rsidRPr="00910375">
        <w:rPr>
          <w:rFonts w:ascii="Arial" w:hAnsi="Arial" w:cs="Arial"/>
        </w:rPr>
        <w:t>Morina</w:t>
      </w:r>
      <w:proofErr w:type="spellEnd"/>
      <w:r w:rsidRPr="00910375">
        <w:rPr>
          <w:rFonts w:ascii="Arial" w:hAnsi="Arial" w:cs="Arial"/>
        </w:rPr>
        <w:t xml:space="preserve"> N, </w:t>
      </w:r>
      <w:proofErr w:type="spellStart"/>
      <w:r w:rsidRPr="00910375">
        <w:rPr>
          <w:rFonts w:ascii="Arial" w:hAnsi="Arial" w:cs="Arial"/>
        </w:rPr>
        <w:t>Wicherts</w:t>
      </w:r>
      <w:proofErr w:type="spellEnd"/>
      <w:r w:rsidRPr="00910375">
        <w:rPr>
          <w:rFonts w:ascii="Arial" w:hAnsi="Arial" w:cs="Arial"/>
        </w:rPr>
        <w:t xml:space="preserve"> JM, </w:t>
      </w:r>
      <w:proofErr w:type="spellStart"/>
      <w:r w:rsidRPr="00910375">
        <w:rPr>
          <w:rFonts w:ascii="Arial" w:hAnsi="Arial" w:cs="Arial"/>
        </w:rPr>
        <w:t>Lobbrecht</w:t>
      </w:r>
      <w:proofErr w:type="spellEnd"/>
      <w:r w:rsidRPr="00910375">
        <w:rPr>
          <w:rFonts w:ascii="Arial" w:hAnsi="Arial" w:cs="Arial"/>
        </w:rPr>
        <w:t xml:space="preserve"> J, </w:t>
      </w:r>
      <w:proofErr w:type="spellStart"/>
      <w:r w:rsidRPr="00910375">
        <w:rPr>
          <w:rFonts w:ascii="Arial" w:hAnsi="Arial" w:cs="Arial"/>
        </w:rPr>
        <w:t>Priebe</w:t>
      </w:r>
      <w:proofErr w:type="spellEnd"/>
      <w:r w:rsidRPr="00910375">
        <w:rPr>
          <w:rFonts w:ascii="Arial" w:hAnsi="Arial" w:cs="Arial"/>
        </w:rPr>
        <w:t xml:space="preserve"> S. Remission from post-traumatic stress disorder in adults: a systematic review and meta-analysis of long term outcome studies. </w:t>
      </w:r>
      <w:proofErr w:type="spellStart"/>
      <w:r w:rsidRPr="00910375">
        <w:rPr>
          <w:rFonts w:ascii="Arial" w:hAnsi="Arial" w:cs="Arial"/>
        </w:rPr>
        <w:t>Clin</w:t>
      </w:r>
      <w:proofErr w:type="spellEnd"/>
      <w:r w:rsidRPr="00910375">
        <w:rPr>
          <w:rFonts w:ascii="Arial" w:hAnsi="Arial" w:cs="Arial"/>
        </w:rPr>
        <w:t xml:space="preserve"> </w:t>
      </w:r>
      <w:proofErr w:type="spellStart"/>
      <w:r w:rsidR="00910375">
        <w:rPr>
          <w:rFonts w:ascii="Arial" w:hAnsi="Arial" w:cs="Arial"/>
        </w:rPr>
        <w:t>Psychol</w:t>
      </w:r>
      <w:proofErr w:type="spellEnd"/>
      <w:r w:rsidR="00910375">
        <w:rPr>
          <w:rFonts w:ascii="Arial" w:hAnsi="Arial" w:cs="Arial"/>
        </w:rPr>
        <w:t xml:space="preserve"> Rev 2014</w:t>
      </w:r>
      <w:proofErr w:type="gramStart"/>
      <w:r w:rsidR="00910375">
        <w:rPr>
          <w:rFonts w:ascii="Arial" w:hAnsi="Arial" w:cs="Arial"/>
        </w:rPr>
        <w:t>;34</w:t>
      </w:r>
      <w:proofErr w:type="gramEnd"/>
      <w:r w:rsidR="00910375">
        <w:rPr>
          <w:rFonts w:ascii="Arial" w:hAnsi="Arial" w:cs="Arial"/>
        </w:rPr>
        <w:t>(3): 249-55.</w:t>
      </w:r>
    </w:p>
    <w:p w:rsidR="00910375" w:rsidRDefault="002A71FB" w:rsidP="002A71FB">
      <w:pPr>
        <w:pStyle w:val="ListParagraph"/>
        <w:numPr>
          <w:ilvl w:val="0"/>
          <w:numId w:val="20"/>
        </w:numPr>
        <w:spacing w:after="0" w:line="480" w:lineRule="auto"/>
        <w:ind w:left="284" w:hanging="284"/>
        <w:rPr>
          <w:rFonts w:ascii="Arial" w:hAnsi="Arial" w:cs="Arial"/>
        </w:rPr>
      </w:pPr>
      <w:proofErr w:type="spellStart"/>
      <w:r w:rsidRPr="00910375">
        <w:rPr>
          <w:rFonts w:ascii="Arial" w:hAnsi="Arial" w:cs="Arial"/>
        </w:rPr>
        <w:t>Pietrzak</w:t>
      </w:r>
      <w:proofErr w:type="spellEnd"/>
      <w:r w:rsidRPr="00910375">
        <w:rPr>
          <w:rFonts w:ascii="Arial" w:hAnsi="Arial" w:cs="Arial"/>
        </w:rPr>
        <w:t xml:space="preserve"> RH, </w:t>
      </w:r>
      <w:proofErr w:type="spellStart"/>
      <w:r w:rsidRPr="00910375">
        <w:rPr>
          <w:rFonts w:ascii="Arial" w:hAnsi="Arial" w:cs="Arial"/>
        </w:rPr>
        <w:t>Feder</w:t>
      </w:r>
      <w:proofErr w:type="spellEnd"/>
      <w:r w:rsidRPr="00910375">
        <w:rPr>
          <w:rFonts w:ascii="Arial" w:hAnsi="Arial" w:cs="Arial"/>
        </w:rPr>
        <w:t xml:space="preserve"> A, Singh R, Schechter CB, </w:t>
      </w:r>
      <w:proofErr w:type="spellStart"/>
      <w:r w:rsidRPr="00910375">
        <w:rPr>
          <w:rFonts w:ascii="Arial" w:hAnsi="Arial" w:cs="Arial"/>
        </w:rPr>
        <w:t>Bromet</w:t>
      </w:r>
      <w:proofErr w:type="spellEnd"/>
      <w:r w:rsidRPr="00910375">
        <w:rPr>
          <w:rFonts w:ascii="Arial" w:hAnsi="Arial" w:cs="Arial"/>
        </w:rPr>
        <w:t xml:space="preserve"> EJ, Katz CL, et al. Trajectories of PTSD risk and resilience in World Trade </w:t>
      </w:r>
      <w:proofErr w:type="spellStart"/>
      <w:r w:rsidRPr="00910375">
        <w:rPr>
          <w:rFonts w:ascii="Arial" w:hAnsi="Arial" w:cs="Arial"/>
        </w:rPr>
        <w:t>Center</w:t>
      </w:r>
      <w:proofErr w:type="spellEnd"/>
      <w:r w:rsidRPr="00910375">
        <w:rPr>
          <w:rFonts w:ascii="Arial" w:hAnsi="Arial" w:cs="Arial"/>
        </w:rPr>
        <w:t xml:space="preserve"> responders: an 8-year prospective cohort study. </w:t>
      </w:r>
      <w:proofErr w:type="spellStart"/>
      <w:r w:rsidR="00910375">
        <w:rPr>
          <w:rFonts w:ascii="Arial" w:hAnsi="Arial" w:cs="Arial"/>
        </w:rPr>
        <w:t>Psychol</w:t>
      </w:r>
      <w:proofErr w:type="spellEnd"/>
      <w:r w:rsidR="00910375">
        <w:rPr>
          <w:rFonts w:ascii="Arial" w:hAnsi="Arial" w:cs="Arial"/>
        </w:rPr>
        <w:t xml:space="preserve"> Med 2014</w:t>
      </w:r>
      <w:proofErr w:type="gramStart"/>
      <w:r w:rsidR="00910375">
        <w:rPr>
          <w:rFonts w:ascii="Arial" w:hAnsi="Arial" w:cs="Arial"/>
        </w:rPr>
        <w:t>;44</w:t>
      </w:r>
      <w:proofErr w:type="gramEnd"/>
      <w:r w:rsidR="00910375">
        <w:rPr>
          <w:rFonts w:ascii="Arial" w:hAnsi="Arial" w:cs="Arial"/>
        </w:rPr>
        <w:t>(1): 205-19.</w:t>
      </w:r>
    </w:p>
    <w:p w:rsidR="00910375" w:rsidRDefault="002A71FB" w:rsidP="002A71FB">
      <w:pPr>
        <w:pStyle w:val="ListParagraph"/>
        <w:numPr>
          <w:ilvl w:val="0"/>
          <w:numId w:val="20"/>
        </w:numPr>
        <w:spacing w:after="0" w:line="480" w:lineRule="auto"/>
        <w:ind w:left="284" w:hanging="284"/>
        <w:rPr>
          <w:rFonts w:ascii="Arial" w:hAnsi="Arial" w:cs="Arial"/>
        </w:rPr>
      </w:pPr>
      <w:proofErr w:type="spellStart"/>
      <w:r w:rsidRPr="00910375">
        <w:rPr>
          <w:rFonts w:ascii="Arial" w:hAnsi="Arial" w:cs="Arial"/>
        </w:rPr>
        <w:t>Resick</w:t>
      </w:r>
      <w:proofErr w:type="spellEnd"/>
      <w:r w:rsidRPr="00910375">
        <w:rPr>
          <w:rFonts w:ascii="Arial" w:hAnsi="Arial" w:cs="Arial"/>
        </w:rPr>
        <w:t xml:space="preserve"> PA, Williams LF, </w:t>
      </w:r>
      <w:proofErr w:type="spellStart"/>
      <w:r w:rsidRPr="00910375">
        <w:rPr>
          <w:rFonts w:ascii="Arial" w:hAnsi="Arial" w:cs="Arial"/>
        </w:rPr>
        <w:t>Suvak</w:t>
      </w:r>
      <w:proofErr w:type="spellEnd"/>
      <w:r w:rsidRPr="00910375">
        <w:rPr>
          <w:rFonts w:ascii="Arial" w:hAnsi="Arial" w:cs="Arial"/>
        </w:rPr>
        <w:t xml:space="preserve"> MK, Monson CM, Gradus JL. Long-term outcomes of cognitive-</w:t>
      </w:r>
      <w:proofErr w:type="spellStart"/>
      <w:r w:rsidRPr="00910375">
        <w:rPr>
          <w:rFonts w:ascii="Arial" w:hAnsi="Arial" w:cs="Arial"/>
        </w:rPr>
        <w:t>behavioral</w:t>
      </w:r>
      <w:proofErr w:type="spellEnd"/>
      <w:r w:rsidRPr="00910375">
        <w:rPr>
          <w:rFonts w:ascii="Arial" w:hAnsi="Arial" w:cs="Arial"/>
        </w:rPr>
        <w:t xml:space="preserve"> treatments for posttraumatic stress disorder among female rape survivors. Journal of Con</w:t>
      </w:r>
      <w:r w:rsidR="00910375">
        <w:rPr>
          <w:rFonts w:ascii="Arial" w:hAnsi="Arial" w:cs="Arial"/>
        </w:rPr>
        <w:t>sulting and Clinical Psychology</w:t>
      </w:r>
      <w:r w:rsidRPr="00910375">
        <w:rPr>
          <w:rFonts w:ascii="Arial" w:hAnsi="Arial" w:cs="Arial"/>
        </w:rPr>
        <w:t xml:space="preserve"> 2012</w:t>
      </w:r>
      <w:proofErr w:type="gramStart"/>
      <w:r w:rsidRPr="00910375">
        <w:rPr>
          <w:rFonts w:ascii="Arial" w:hAnsi="Arial" w:cs="Arial"/>
        </w:rPr>
        <w:t>;80</w:t>
      </w:r>
      <w:proofErr w:type="gramEnd"/>
      <w:r w:rsidRPr="00910375">
        <w:rPr>
          <w:rFonts w:ascii="Arial" w:hAnsi="Arial" w:cs="Arial"/>
        </w:rPr>
        <w:t>(2)</w:t>
      </w:r>
      <w:r w:rsidR="00910375">
        <w:rPr>
          <w:rFonts w:ascii="Arial" w:hAnsi="Arial" w:cs="Arial"/>
        </w:rPr>
        <w:t xml:space="preserve"> </w:t>
      </w:r>
      <w:r w:rsidRPr="00910375">
        <w:rPr>
          <w:rFonts w:ascii="Arial" w:hAnsi="Arial" w:cs="Arial"/>
        </w:rPr>
        <w:t>:201-10.</w:t>
      </w:r>
    </w:p>
    <w:p w:rsidR="00910375" w:rsidRDefault="002A71FB" w:rsidP="002A71FB">
      <w:pPr>
        <w:pStyle w:val="ListParagraph"/>
        <w:numPr>
          <w:ilvl w:val="0"/>
          <w:numId w:val="20"/>
        </w:numPr>
        <w:spacing w:after="0" w:line="480" w:lineRule="auto"/>
        <w:ind w:left="284" w:hanging="284"/>
        <w:rPr>
          <w:rFonts w:ascii="Arial" w:hAnsi="Arial" w:cs="Arial"/>
        </w:rPr>
      </w:pPr>
      <w:proofErr w:type="spellStart"/>
      <w:r w:rsidRPr="00910375">
        <w:rPr>
          <w:rFonts w:ascii="Arial" w:hAnsi="Arial" w:cs="Arial"/>
        </w:rPr>
        <w:t>Rosellini</w:t>
      </w:r>
      <w:proofErr w:type="spellEnd"/>
      <w:r w:rsidRPr="00910375">
        <w:rPr>
          <w:rFonts w:ascii="Arial" w:hAnsi="Arial" w:cs="Arial"/>
        </w:rPr>
        <w:t xml:space="preserve"> AJ, Liu H, </w:t>
      </w:r>
      <w:proofErr w:type="spellStart"/>
      <w:r w:rsidRPr="00910375">
        <w:rPr>
          <w:rFonts w:ascii="Arial" w:hAnsi="Arial" w:cs="Arial"/>
        </w:rPr>
        <w:t>Petukhova</w:t>
      </w:r>
      <w:proofErr w:type="spellEnd"/>
      <w:r w:rsidRPr="00910375">
        <w:rPr>
          <w:rFonts w:ascii="Arial" w:hAnsi="Arial" w:cs="Arial"/>
        </w:rPr>
        <w:t xml:space="preserve"> MV, Sampson NA, Aguilar-</w:t>
      </w:r>
      <w:proofErr w:type="spellStart"/>
      <w:r w:rsidRPr="00910375">
        <w:rPr>
          <w:rFonts w:ascii="Arial" w:hAnsi="Arial" w:cs="Arial"/>
        </w:rPr>
        <w:t>Gaxiola</w:t>
      </w:r>
      <w:proofErr w:type="spellEnd"/>
      <w:r w:rsidRPr="00910375">
        <w:rPr>
          <w:rFonts w:ascii="Arial" w:hAnsi="Arial" w:cs="Arial"/>
        </w:rPr>
        <w:t xml:space="preserve"> S, Alonso J, et al. Recovery from DSM-IV post-traumatic stress disorder in the WHO World Mental Health surveys. </w:t>
      </w:r>
      <w:proofErr w:type="spellStart"/>
      <w:r w:rsidR="00910375">
        <w:rPr>
          <w:rFonts w:ascii="Arial" w:hAnsi="Arial" w:cs="Arial"/>
        </w:rPr>
        <w:t>Psychol</w:t>
      </w:r>
      <w:proofErr w:type="spellEnd"/>
      <w:r w:rsidR="00910375">
        <w:rPr>
          <w:rFonts w:ascii="Arial" w:hAnsi="Arial" w:cs="Arial"/>
        </w:rPr>
        <w:t xml:space="preserve"> Med</w:t>
      </w:r>
      <w:r w:rsidR="00910375" w:rsidRPr="00910375">
        <w:rPr>
          <w:rFonts w:ascii="Arial" w:hAnsi="Arial" w:cs="Arial"/>
        </w:rPr>
        <w:t xml:space="preserve"> 2018</w:t>
      </w:r>
      <w:proofErr w:type="gramStart"/>
      <w:r w:rsidR="00910375" w:rsidRPr="00910375">
        <w:rPr>
          <w:rFonts w:ascii="Arial" w:hAnsi="Arial" w:cs="Arial"/>
        </w:rPr>
        <w:t>;48</w:t>
      </w:r>
      <w:proofErr w:type="gramEnd"/>
      <w:r w:rsidR="00910375" w:rsidRPr="00910375">
        <w:rPr>
          <w:rFonts w:ascii="Arial" w:hAnsi="Arial" w:cs="Arial"/>
        </w:rPr>
        <w:t>(3): 437-50.</w:t>
      </w:r>
    </w:p>
    <w:p w:rsidR="00910375" w:rsidRDefault="002A71FB" w:rsidP="002A71FB">
      <w:pPr>
        <w:pStyle w:val="ListParagraph"/>
        <w:numPr>
          <w:ilvl w:val="0"/>
          <w:numId w:val="20"/>
        </w:numPr>
        <w:spacing w:after="0" w:line="480" w:lineRule="auto"/>
        <w:ind w:left="284" w:hanging="284"/>
        <w:rPr>
          <w:rFonts w:ascii="Arial" w:hAnsi="Arial" w:cs="Arial"/>
        </w:rPr>
      </w:pPr>
      <w:r w:rsidRPr="00910375">
        <w:rPr>
          <w:rFonts w:ascii="Arial" w:hAnsi="Arial" w:cs="Arial"/>
        </w:rPr>
        <w:t xml:space="preserve">Solomon Z, </w:t>
      </w:r>
      <w:proofErr w:type="spellStart"/>
      <w:r w:rsidRPr="00910375">
        <w:rPr>
          <w:rFonts w:ascii="Arial" w:hAnsi="Arial" w:cs="Arial"/>
        </w:rPr>
        <w:t>Mikulincer</w:t>
      </w:r>
      <w:proofErr w:type="spellEnd"/>
      <w:r w:rsidRPr="00910375">
        <w:rPr>
          <w:rFonts w:ascii="Arial" w:hAnsi="Arial" w:cs="Arial"/>
        </w:rPr>
        <w:t xml:space="preserve"> M. Trajectories of PTSD: a 20-year longitudinal study. Am J P</w:t>
      </w:r>
      <w:r w:rsidR="00910375">
        <w:rPr>
          <w:rFonts w:ascii="Arial" w:hAnsi="Arial" w:cs="Arial"/>
        </w:rPr>
        <w:t>sychiatry 2006</w:t>
      </w:r>
      <w:proofErr w:type="gramStart"/>
      <w:r w:rsidR="00910375">
        <w:rPr>
          <w:rFonts w:ascii="Arial" w:hAnsi="Arial" w:cs="Arial"/>
        </w:rPr>
        <w:t>;163</w:t>
      </w:r>
      <w:proofErr w:type="gramEnd"/>
      <w:r w:rsidR="00910375">
        <w:rPr>
          <w:rFonts w:ascii="Arial" w:hAnsi="Arial" w:cs="Arial"/>
        </w:rPr>
        <w:t>(4): 659-66.</w:t>
      </w:r>
    </w:p>
    <w:p w:rsidR="002A71FB" w:rsidRPr="00910375" w:rsidRDefault="002A71FB" w:rsidP="00B92DB2">
      <w:pPr>
        <w:pStyle w:val="ListParagraph"/>
        <w:numPr>
          <w:ilvl w:val="0"/>
          <w:numId w:val="20"/>
        </w:numPr>
        <w:spacing w:after="0" w:line="480" w:lineRule="auto"/>
        <w:ind w:left="284" w:hanging="284"/>
        <w:rPr>
          <w:rFonts w:ascii="Arial" w:hAnsi="Arial" w:cs="Arial"/>
        </w:rPr>
      </w:pPr>
      <w:proofErr w:type="spellStart"/>
      <w:r w:rsidRPr="00FF6136">
        <w:rPr>
          <w:rFonts w:ascii="Arial" w:hAnsi="Arial" w:cs="Arial"/>
        </w:rPr>
        <w:t>Steinert</w:t>
      </w:r>
      <w:proofErr w:type="spellEnd"/>
      <w:r w:rsidRPr="00FF6136">
        <w:rPr>
          <w:rFonts w:ascii="Arial" w:hAnsi="Arial" w:cs="Arial"/>
        </w:rPr>
        <w:t xml:space="preserve"> C, Hofmann M, </w:t>
      </w:r>
      <w:proofErr w:type="spellStart"/>
      <w:r w:rsidRPr="00FF6136">
        <w:rPr>
          <w:rFonts w:ascii="Arial" w:hAnsi="Arial" w:cs="Arial"/>
        </w:rPr>
        <w:t>Leichsenring</w:t>
      </w:r>
      <w:proofErr w:type="spellEnd"/>
      <w:r w:rsidRPr="00FF6136">
        <w:rPr>
          <w:rFonts w:ascii="Arial" w:hAnsi="Arial" w:cs="Arial"/>
        </w:rPr>
        <w:t xml:space="preserve"> F, Kruse J. The course of PTSD in naturalistic long-term studies: high variability of outcomes. A syste</w:t>
      </w:r>
      <w:r w:rsidR="00910375" w:rsidRPr="00FF6136">
        <w:rPr>
          <w:rFonts w:ascii="Arial" w:hAnsi="Arial" w:cs="Arial"/>
        </w:rPr>
        <w:t>matic review. Nord J Psychiatry</w:t>
      </w:r>
      <w:r w:rsidRPr="00FF6136">
        <w:rPr>
          <w:rFonts w:ascii="Arial" w:hAnsi="Arial" w:cs="Arial"/>
        </w:rPr>
        <w:t xml:space="preserve"> 2015</w:t>
      </w:r>
      <w:proofErr w:type="gramStart"/>
      <w:r w:rsidRPr="00FF6136">
        <w:rPr>
          <w:rFonts w:ascii="Arial" w:hAnsi="Arial" w:cs="Arial"/>
        </w:rPr>
        <w:t>;69</w:t>
      </w:r>
      <w:proofErr w:type="gramEnd"/>
      <w:r w:rsidRPr="00FF6136">
        <w:rPr>
          <w:rFonts w:ascii="Arial" w:hAnsi="Arial" w:cs="Arial"/>
        </w:rPr>
        <w:t>(7):</w:t>
      </w:r>
      <w:r w:rsidR="00910375" w:rsidRPr="00FF6136">
        <w:rPr>
          <w:rFonts w:ascii="Arial" w:hAnsi="Arial" w:cs="Arial"/>
        </w:rPr>
        <w:t xml:space="preserve"> </w:t>
      </w:r>
      <w:r w:rsidRPr="00FF6136">
        <w:rPr>
          <w:rFonts w:ascii="Arial" w:hAnsi="Arial" w:cs="Arial"/>
        </w:rPr>
        <w:t xml:space="preserve">483-96. </w:t>
      </w:r>
    </w:p>
    <w:sectPr w:rsidR="002A71FB" w:rsidRPr="00910375" w:rsidSect="00910375">
      <w:footerReference w:type="default" r:id="rId8"/>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B37" w:rsidRDefault="00874B37">
      <w:pPr>
        <w:spacing w:after="0" w:line="240" w:lineRule="auto"/>
      </w:pPr>
      <w:r>
        <w:separator/>
      </w:r>
    </w:p>
  </w:endnote>
  <w:endnote w:type="continuationSeparator" w:id="0">
    <w:p w:rsidR="00874B37" w:rsidRDefault="00874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none)">
    <w:altName w:val="Times New Roman"/>
    <w:panose1 w:val="00000000000000000000"/>
    <w:charset w:val="00"/>
    <w:family w:val="auto"/>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254996"/>
      <w:docPartObj>
        <w:docPartGallery w:val="Page Numbers (Bottom of Page)"/>
        <w:docPartUnique/>
      </w:docPartObj>
    </w:sdtPr>
    <w:sdtEndPr>
      <w:rPr>
        <w:noProof/>
      </w:rPr>
    </w:sdtEndPr>
    <w:sdtContent>
      <w:p w:rsidR="00C3377D" w:rsidRDefault="00C3377D">
        <w:pPr>
          <w:pStyle w:val="Footer"/>
          <w:jc w:val="right"/>
        </w:pPr>
        <w:r>
          <w:fldChar w:fldCharType="begin"/>
        </w:r>
        <w:r>
          <w:instrText xml:space="preserve"> PAGE   \* MERGEFORMAT </w:instrText>
        </w:r>
        <w:r>
          <w:fldChar w:fldCharType="separate"/>
        </w:r>
        <w:r w:rsidR="00F94519">
          <w:rPr>
            <w:noProof/>
          </w:rPr>
          <w:t>1</w:t>
        </w:r>
        <w:r>
          <w:rPr>
            <w:noProof/>
          </w:rPr>
          <w:fldChar w:fldCharType="end"/>
        </w:r>
      </w:p>
    </w:sdtContent>
  </w:sdt>
  <w:p w:rsidR="00C3377D" w:rsidRDefault="00C33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B37" w:rsidRDefault="00874B37">
      <w:pPr>
        <w:spacing w:after="0" w:line="240" w:lineRule="auto"/>
      </w:pPr>
      <w:r>
        <w:separator/>
      </w:r>
    </w:p>
  </w:footnote>
  <w:footnote w:type="continuationSeparator" w:id="0">
    <w:p w:rsidR="00874B37" w:rsidRDefault="00874B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0BE5"/>
    <w:multiLevelType w:val="multilevel"/>
    <w:tmpl w:val="E6168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F2B4A"/>
    <w:multiLevelType w:val="hybridMultilevel"/>
    <w:tmpl w:val="EC2C0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704A9"/>
    <w:multiLevelType w:val="hybridMultilevel"/>
    <w:tmpl w:val="056E98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7B37E7"/>
    <w:multiLevelType w:val="hybridMultilevel"/>
    <w:tmpl w:val="5CF6D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4410A7"/>
    <w:multiLevelType w:val="hybridMultilevel"/>
    <w:tmpl w:val="E44254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CA6A0C"/>
    <w:multiLevelType w:val="hybridMultilevel"/>
    <w:tmpl w:val="2BF2576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34489C"/>
    <w:multiLevelType w:val="multilevel"/>
    <w:tmpl w:val="164473B8"/>
    <w:lvl w:ilvl="0">
      <w:start w:val="8"/>
      <w:numFmt w:val="upperLetter"/>
      <w:lvlText w:val="Appendix %1:"/>
      <w:lvlJc w:val="left"/>
      <w:pPr>
        <w:tabs>
          <w:tab w:val="num" w:pos="283"/>
        </w:tabs>
        <w:ind w:left="0" w:firstLine="0"/>
      </w:pPr>
      <w:rPr>
        <w:rFonts w:asciiTheme="majorHAnsi" w:hAnsiTheme="majorHAnsi" w:cstheme="majorHAnsi" w:hint="default"/>
        <w:b/>
        <w:color w:val="000000"/>
        <w:sz w:val="44"/>
      </w:rPr>
    </w:lvl>
    <w:lvl w:ilvl="1">
      <w:start w:val="1"/>
      <w:numFmt w:val="decimal"/>
      <w:lvlText w:val="%1.%2"/>
      <w:lvlJc w:val="right"/>
      <w:pPr>
        <w:tabs>
          <w:tab w:val="num" w:pos="0"/>
        </w:tabs>
        <w:ind w:left="0" w:hanging="284"/>
      </w:pPr>
      <w:rPr>
        <w:rFonts w:asciiTheme="majorHAnsi" w:hAnsiTheme="majorHAnsi" w:cstheme="majorHAnsi" w:hint="default"/>
        <w:b/>
        <w:color w:val="000000"/>
        <w:sz w:val="32"/>
      </w:rPr>
    </w:lvl>
    <w:lvl w:ilvl="2">
      <w:start w:val="1"/>
      <w:numFmt w:val="decimal"/>
      <w:lvlText w:val="%1.%2.%3"/>
      <w:lvlJc w:val="right"/>
      <w:pPr>
        <w:tabs>
          <w:tab w:val="num" w:pos="0"/>
        </w:tabs>
        <w:ind w:left="0" w:hanging="284"/>
      </w:pPr>
      <w:rPr>
        <w:rFonts w:asciiTheme="majorHAnsi" w:hAnsiTheme="majorHAnsi" w:cstheme="majorHAnsi" w:hint="default"/>
        <w:b/>
        <w:color w:val="000000"/>
        <w:sz w:val="24"/>
      </w:rPr>
    </w:lvl>
    <w:lvl w:ilvl="3">
      <w:start w:val="1"/>
      <w:numFmt w:val="decimal"/>
      <w:lvlText w:val="%1.%2.%3.%4"/>
      <w:lvlJc w:val="right"/>
      <w:pPr>
        <w:tabs>
          <w:tab w:val="num" w:pos="0"/>
        </w:tabs>
        <w:ind w:left="0" w:hanging="284"/>
      </w:pPr>
      <w:rPr>
        <w:rFonts w:asciiTheme="majorHAnsi" w:hAnsiTheme="majorHAnsi" w:cstheme="majorHAnsi" w:hint="default"/>
        <w:b/>
        <w:color w:val="00000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D3B71D6"/>
    <w:multiLevelType w:val="hybridMultilevel"/>
    <w:tmpl w:val="1F22D7E6"/>
    <w:lvl w:ilvl="0" w:tplc="51465CB6">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F34D44"/>
    <w:multiLevelType w:val="hybridMultilevel"/>
    <w:tmpl w:val="7D34C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4615EB"/>
    <w:multiLevelType w:val="hybridMultilevel"/>
    <w:tmpl w:val="18B427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684021"/>
    <w:multiLevelType w:val="hybridMultilevel"/>
    <w:tmpl w:val="C17E8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0744BE"/>
    <w:multiLevelType w:val="multilevel"/>
    <w:tmpl w:val="56B60502"/>
    <w:lvl w:ilvl="0">
      <w:start w:val="1"/>
      <w:numFmt w:val="bullet"/>
      <w:pStyle w:val="Bullet1"/>
      <w:lvlText w:val=""/>
      <w:lvlJc w:val="left"/>
      <w:pPr>
        <w:tabs>
          <w:tab w:val="num" w:pos="0"/>
        </w:tabs>
        <w:ind w:left="284" w:hanging="284"/>
      </w:pPr>
      <w:rPr>
        <w:rFonts w:ascii="Symbol" w:hAnsi="Symbol" w:hint="default"/>
      </w:rPr>
    </w:lvl>
    <w:lvl w:ilvl="1">
      <w:start w:val="1"/>
      <w:numFmt w:val="bullet"/>
      <w:pStyle w:val="Bullet2"/>
      <w:lvlText w:val="o"/>
      <w:lvlJc w:val="left"/>
      <w:pPr>
        <w:tabs>
          <w:tab w:val="num" w:pos="567"/>
        </w:tabs>
        <w:ind w:left="567" w:hanging="283"/>
      </w:pPr>
      <w:rPr>
        <w:rFonts w:ascii="Courier New" w:eastAsia="Dotum" w:hAnsi="Courier New" w:cs="Courier New" w:hint="default"/>
      </w:rPr>
    </w:lvl>
    <w:lvl w:ilvl="2">
      <w:start w:val="1"/>
      <w:numFmt w:val="bullet"/>
      <w:pStyle w:val="Bullet3"/>
      <w:lvlText w:val="–"/>
      <w:lvlJc w:val="left"/>
      <w:pPr>
        <w:tabs>
          <w:tab w:val="num" w:pos="851"/>
        </w:tabs>
        <w:ind w:left="851" w:hanging="284"/>
      </w:pPr>
      <w:rPr>
        <w:rFonts w:ascii="(none)" w:hAnsi="(none)" w:hint="default"/>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12" w15:restartNumberingAfterBreak="0">
    <w:nsid w:val="4D237427"/>
    <w:multiLevelType w:val="multilevel"/>
    <w:tmpl w:val="C0B8F566"/>
    <w:styleLink w:val="TableNoteList"/>
    <w:lvl w:ilvl="0">
      <w:start w:val="1"/>
      <w:numFmt w:val="lowerLetter"/>
      <w:lvlText w:val="%1)"/>
      <w:lvlJc w:val="left"/>
      <w:pPr>
        <w:tabs>
          <w:tab w:val="num" w:pos="397"/>
        </w:tabs>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E46252F"/>
    <w:multiLevelType w:val="hybridMultilevel"/>
    <w:tmpl w:val="7576BF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836679"/>
    <w:multiLevelType w:val="hybridMultilevel"/>
    <w:tmpl w:val="F888248A"/>
    <w:lvl w:ilvl="0" w:tplc="DC66F9E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F95CA0"/>
    <w:multiLevelType w:val="hybridMultilevel"/>
    <w:tmpl w:val="7012E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BB70A1"/>
    <w:multiLevelType w:val="hybridMultilevel"/>
    <w:tmpl w:val="2C4CBD0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15:restartNumberingAfterBreak="0">
    <w:nsid w:val="720633C0"/>
    <w:multiLevelType w:val="hybridMultilevel"/>
    <w:tmpl w:val="FF9C9DDE"/>
    <w:lvl w:ilvl="0" w:tplc="D9AAC65A">
      <w:start w:val="1"/>
      <w:numFmt w:val="bullet"/>
      <w:lvlText w:val="•"/>
      <w:lvlJc w:val="left"/>
      <w:pPr>
        <w:tabs>
          <w:tab w:val="num" w:pos="720"/>
        </w:tabs>
        <w:ind w:left="720" w:hanging="360"/>
      </w:pPr>
      <w:rPr>
        <w:rFonts w:ascii="Arial" w:hAnsi="Arial" w:hint="default"/>
      </w:rPr>
    </w:lvl>
    <w:lvl w:ilvl="1" w:tplc="E376B98E" w:tentative="1">
      <w:start w:val="1"/>
      <w:numFmt w:val="bullet"/>
      <w:lvlText w:val="•"/>
      <w:lvlJc w:val="left"/>
      <w:pPr>
        <w:tabs>
          <w:tab w:val="num" w:pos="1440"/>
        </w:tabs>
        <w:ind w:left="1440" w:hanging="360"/>
      </w:pPr>
      <w:rPr>
        <w:rFonts w:ascii="Arial" w:hAnsi="Arial" w:hint="default"/>
      </w:rPr>
    </w:lvl>
    <w:lvl w:ilvl="2" w:tplc="2CA06966" w:tentative="1">
      <w:start w:val="1"/>
      <w:numFmt w:val="bullet"/>
      <w:lvlText w:val="•"/>
      <w:lvlJc w:val="left"/>
      <w:pPr>
        <w:tabs>
          <w:tab w:val="num" w:pos="2160"/>
        </w:tabs>
        <w:ind w:left="2160" w:hanging="360"/>
      </w:pPr>
      <w:rPr>
        <w:rFonts w:ascii="Arial" w:hAnsi="Arial" w:hint="default"/>
      </w:rPr>
    </w:lvl>
    <w:lvl w:ilvl="3" w:tplc="0FB2913E" w:tentative="1">
      <w:start w:val="1"/>
      <w:numFmt w:val="bullet"/>
      <w:lvlText w:val="•"/>
      <w:lvlJc w:val="left"/>
      <w:pPr>
        <w:tabs>
          <w:tab w:val="num" w:pos="2880"/>
        </w:tabs>
        <w:ind w:left="2880" w:hanging="360"/>
      </w:pPr>
      <w:rPr>
        <w:rFonts w:ascii="Arial" w:hAnsi="Arial" w:hint="default"/>
      </w:rPr>
    </w:lvl>
    <w:lvl w:ilvl="4" w:tplc="89A061D8" w:tentative="1">
      <w:start w:val="1"/>
      <w:numFmt w:val="bullet"/>
      <w:lvlText w:val="•"/>
      <w:lvlJc w:val="left"/>
      <w:pPr>
        <w:tabs>
          <w:tab w:val="num" w:pos="3600"/>
        </w:tabs>
        <w:ind w:left="3600" w:hanging="360"/>
      </w:pPr>
      <w:rPr>
        <w:rFonts w:ascii="Arial" w:hAnsi="Arial" w:hint="default"/>
      </w:rPr>
    </w:lvl>
    <w:lvl w:ilvl="5" w:tplc="12AC9A90" w:tentative="1">
      <w:start w:val="1"/>
      <w:numFmt w:val="bullet"/>
      <w:lvlText w:val="•"/>
      <w:lvlJc w:val="left"/>
      <w:pPr>
        <w:tabs>
          <w:tab w:val="num" w:pos="4320"/>
        </w:tabs>
        <w:ind w:left="4320" w:hanging="360"/>
      </w:pPr>
      <w:rPr>
        <w:rFonts w:ascii="Arial" w:hAnsi="Arial" w:hint="default"/>
      </w:rPr>
    </w:lvl>
    <w:lvl w:ilvl="6" w:tplc="180CE526" w:tentative="1">
      <w:start w:val="1"/>
      <w:numFmt w:val="bullet"/>
      <w:lvlText w:val="•"/>
      <w:lvlJc w:val="left"/>
      <w:pPr>
        <w:tabs>
          <w:tab w:val="num" w:pos="5040"/>
        </w:tabs>
        <w:ind w:left="5040" w:hanging="360"/>
      </w:pPr>
      <w:rPr>
        <w:rFonts w:ascii="Arial" w:hAnsi="Arial" w:hint="default"/>
      </w:rPr>
    </w:lvl>
    <w:lvl w:ilvl="7" w:tplc="620CFCA8" w:tentative="1">
      <w:start w:val="1"/>
      <w:numFmt w:val="bullet"/>
      <w:lvlText w:val="•"/>
      <w:lvlJc w:val="left"/>
      <w:pPr>
        <w:tabs>
          <w:tab w:val="num" w:pos="5760"/>
        </w:tabs>
        <w:ind w:left="5760" w:hanging="360"/>
      </w:pPr>
      <w:rPr>
        <w:rFonts w:ascii="Arial" w:hAnsi="Arial" w:hint="default"/>
      </w:rPr>
    </w:lvl>
    <w:lvl w:ilvl="8" w:tplc="83443F0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37A5C01"/>
    <w:multiLevelType w:val="hybridMultilevel"/>
    <w:tmpl w:val="C524B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0"/>
  </w:num>
  <w:num w:numId="4">
    <w:abstractNumId w:val="11"/>
  </w:num>
  <w:num w:numId="5">
    <w:abstractNumId w:val="1"/>
  </w:num>
  <w:num w:numId="6">
    <w:abstractNumId w:val="13"/>
  </w:num>
  <w:num w:numId="7">
    <w:abstractNumId w:val="18"/>
  </w:num>
  <w:num w:numId="8">
    <w:abstractNumId w:val="5"/>
  </w:num>
  <w:num w:numId="9">
    <w:abstractNumId w:val="3"/>
  </w:num>
  <w:num w:numId="10">
    <w:abstractNumId w:val="2"/>
  </w:num>
  <w:num w:numId="11">
    <w:abstractNumId w:val="0"/>
  </w:num>
  <w:num w:numId="12">
    <w:abstractNumId w:val="7"/>
  </w:num>
  <w:num w:numId="13">
    <w:abstractNumId w:val="4"/>
  </w:num>
  <w:num w:numId="14">
    <w:abstractNumId w:val="17"/>
  </w:num>
  <w:num w:numId="15">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2"/>
  </w:num>
  <w:num w:numId="19">
    <w:abstractNumId w:val="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spee0vemev9fkezw9rxf5e8vdxdvadz0per&quot;&gt;PTSD adult HE paper references&lt;record-ids&gt;&lt;item&gt;5&lt;/item&gt;&lt;item&gt;6&lt;/item&gt;&lt;item&gt;7&lt;/item&gt;&lt;item&gt;8&lt;/item&gt;&lt;item&gt;9&lt;/item&gt;&lt;item&gt;10&lt;/item&gt;&lt;item&gt;11&lt;/item&gt;&lt;item&gt;12&lt;/item&gt;&lt;/record-ids&gt;&lt;/item&gt;&lt;/Libraries&gt;"/>
    <w:docVar w:name="REFMGR.InstantFormat" w:val="&lt;ENInstantFormat&gt;&lt;Enabled&gt;0&lt;/Enabled&gt;&lt;ScanUnformatted&gt;1&lt;/ScanUnformatted&gt;&lt;ScanChanges&gt;1&lt;/ScanChanges&gt;&lt;/ENInstantFormat&gt;"/>
  </w:docVars>
  <w:rsids>
    <w:rsidRoot w:val="00B23F69"/>
    <w:rsid w:val="000A5531"/>
    <w:rsid w:val="000E019C"/>
    <w:rsid w:val="00161612"/>
    <w:rsid w:val="001B4EE6"/>
    <w:rsid w:val="001D054E"/>
    <w:rsid w:val="0024049D"/>
    <w:rsid w:val="002A71FB"/>
    <w:rsid w:val="0034437B"/>
    <w:rsid w:val="00425648"/>
    <w:rsid w:val="00492F1C"/>
    <w:rsid w:val="00496FD5"/>
    <w:rsid w:val="00512CDB"/>
    <w:rsid w:val="00705B99"/>
    <w:rsid w:val="007064C1"/>
    <w:rsid w:val="007162CF"/>
    <w:rsid w:val="00746F55"/>
    <w:rsid w:val="00874B37"/>
    <w:rsid w:val="00910375"/>
    <w:rsid w:val="009142C4"/>
    <w:rsid w:val="009847A2"/>
    <w:rsid w:val="00995608"/>
    <w:rsid w:val="009D29A7"/>
    <w:rsid w:val="009D444C"/>
    <w:rsid w:val="00AC179E"/>
    <w:rsid w:val="00B23F69"/>
    <w:rsid w:val="00C11118"/>
    <w:rsid w:val="00C3377D"/>
    <w:rsid w:val="00D14F30"/>
    <w:rsid w:val="00D32968"/>
    <w:rsid w:val="00D33D27"/>
    <w:rsid w:val="00D41DAC"/>
    <w:rsid w:val="00D52782"/>
    <w:rsid w:val="00D54EEA"/>
    <w:rsid w:val="00DF369B"/>
    <w:rsid w:val="00EC1317"/>
    <w:rsid w:val="00EC2EF7"/>
    <w:rsid w:val="00F32E9F"/>
    <w:rsid w:val="00F6429B"/>
    <w:rsid w:val="00F94519"/>
    <w:rsid w:val="00FE36CE"/>
    <w:rsid w:val="00FE5941"/>
    <w:rsid w:val="00FF6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06CE0"/>
  <w15:chartTrackingRefBased/>
  <w15:docId w15:val="{4B076F10-AF23-497B-AE00-09A74917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F69"/>
  </w:style>
  <w:style w:type="paragraph" w:styleId="Heading1">
    <w:name w:val="heading 1"/>
    <w:basedOn w:val="Normal"/>
    <w:next w:val="Normal"/>
    <w:link w:val="Heading1Char"/>
    <w:uiPriority w:val="9"/>
    <w:qFormat/>
    <w:rsid w:val="00B23F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23F69"/>
    <w:pPr>
      <w:keepNext/>
      <w:keepLines/>
      <w:spacing w:before="40" w:after="0"/>
      <w:outlineLvl w:val="1"/>
    </w:pPr>
    <w:rPr>
      <w:rFonts w:ascii="Arial" w:eastAsiaTheme="majorEastAsia" w:hAnsi="Arial" w:cstheme="majorBidi"/>
      <w:b/>
      <w:szCs w:val="26"/>
    </w:rPr>
  </w:style>
  <w:style w:type="paragraph" w:styleId="Heading3">
    <w:name w:val="heading 3"/>
    <w:basedOn w:val="Normal"/>
    <w:next w:val="Normal"/>
    <w:link w:val="Heading3Char"/>
    <w:uiPriority w:val="9"/>
    <w:unhideWhenUsed/>
    <w:qFormat/>
    <w:rsid w:val="00B23F69"/>
    <w:pPr>
      <w:keepNext/>
      <w:keepLines/>
      <w:spacing w:before="40" w:after="0"/>
      <w:outlineLvl w:val="2"/>
    </w:pPr>
    <w:rPr>
      <w:rFonts w:ascii="Arial" w:eastAsiaTheme="majorEastAsia" w:hAnsi="Arial" w:cstheme="majorBidi"/>
      <w:b/>
      <w:color w:val="000000" w:themeColor="text1"/>
      <w:szCs w:val="24"/>
    </w:rPr>
  </w:style>
  <w:style w:type="paragraph" w:styleId="Heading4">
    <w:name w:val="heading 4"/>
    <w:basedOn w:val="Normal"/>
    <w:next w:val="Normal"/>
    <w:link w:val="Heading4Char"/>
    <w:uiPriority w:val="9"/>
    <w:unhideWhenUsed/>
    <w:qFormat/>
    <w:rsid w:val="00B23F6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F6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23F69"/>
    <w:rPr>
      <w:rFonts w:ascii="Arial" w:eastAsiaTheme="majorEastAsia" w:hAnsi="Arial" w:cstheme="majorBidi"/>
      <w:b/>
      <w:szCs w:val="26"/>
    </w:rPr>
  </w:style>
  <w:style w:type="character" w:customStyle="1" w:styleId="Heading3Char">
    <w:name w:val="Heading 3 Char"/>
    <w:basedOn w:val="DefaultParagraphFont"/>
    <w:link w:val="Heading3"/>
    <w:uiPriority w:val="9"/>
    <w:rsid w:val="00B23F69"/>
    <w:rPr>
      <w:rFonts w:ascii="Arial" w:eastAsiaTheme="majorEastAsia" w:hAnsi="Arial" w:cstheme="majorBidi"/>
      <w:b/>
      <w:color w:val="000000" w:themeColor="text1"/>
      <w:szCs w:val="24"/>
    </w:rPr>
  </w:style>
  <w:style w:type="character" w:customStyle="1" w:styleId="Heading4Char">
    <w:name w:val="Heading 4 Char"/>
    <w:basedOn w:val="DefaultParagraphFont"/>
    <w:link w:val="Heading4"/>
    <w:uiPriority w:val="9"/>
    <w:rsid w:val="00B23F69"/>
    <w:rPr>
      <w:rFonts w:asciiTheme="majorHAnsi" w:eastAsiaTheme="majorEastAsia" w:hAnsiTheme="majorHAnsi" w:cstheme="majorBidi"/>
      <w:i/>
      <w:iCs/>
      <w:color w:val="2E74B5" w:themeColor="accent1" w:themeShade="BF"/>
    </w:rPr>
  </w:style>
  <w:style w:type="paragraph" w:styleId="Title">
    <w:name w:val="Title"/>
    <w:basedOn w:val="Normal"/>
    <w:next w:val="Normal"/>
    <w:link w:val="TitleChar"/>
    <w:uiPriority w:val="10"/>
    <w:qFormat/>
    <w:rsid w:val="00B23F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3F69"/>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unhideWhenUsed/>
    <w:rsid w:val="00B23F69"/>
    <w:rPr>
      <w:sz w:val="16"/>
      <w:szCs w:val="16"/>
    </w:rPr>
  </w:style>
  <w:style w:type="paragraph" w:styleId="CommentText">
    <w:name w:val="annotation text"/>
    <w:basedOn w:val="Normal"/>
    <w:link w:val="CommentTextChar"/>
    <w:uiPriority w:val="99"/>
    <w:unhideWhenUsed/>
    <w:rsid w:val="00B23F69"/>
    <w:pPr>
      <w:spacing w:line="240" w:lineRule="auto"/>
    </w:pPr>
    <w:rPr>
      <w:sz w:val="20"/>
      <w:szCs w:val="20"/>
    </w:rPr>
  </w:style>
  <w:style w:type="character" w:customStyle="1" w:styleId="CommentTextChar">
    <w:name w:val="Comment Text Char"/>
    <w:basedOn w:val="DefaultParagraphFont"/>
    <w:link w:val="CommentText"/>
    <w:uiPriority w:val="99"/>
    <w:rsid w:val="00B23F69"/>
    <w:rPr>
      <w:sz w:val="20"/>
      <w:szCs w:val="20"/>
    </w:rPr>
  </w:style>
  <w:style w:type="paragraph" w:styleId="CommentSubject">
    <w:name w:val="annotation subject"/>
    <w:basedOn w:val="CommentText"/>
    <w:next w:val="CommentText"/>
    <w:link w:val="CommentSubjectChar"/>
    <w:uiPriority w:val="99"/>
    <w:semiHidden/>
    <w:unhideWhenUsed/>
    <w:rsid w:val="00B23F69"/>
    <w:rPr>
      <w:b/>
      <w:bCs/>
    </w:rPr>
  </w:style>
  <w:style w:type="character" w:customStyle="1" w:styleId="CommentSubjectChar">
    <w:name w:val="Comment Subject Char"/>
    <w:basedOn w:val="CommentTextChar"/>
    <w:link w:val="CommentSubject"/>
    <w:uiPriority w:val="99"/>
    <w:semiHidden/>
    <w:rsid w:val="00B23F69"/>
    <w:rPr>
      <w:b/>
      <w:bCs/>
      <w:sz w:val="20"/>
      <w:szCs w:val="20"/>
    </w:rPr>
  </w:style>
  <w:style w:type="paragraph" w:styleId="BalloonText">
    <w:name w:val="Balloon Text"/>
    <w:basedOn w:val="Normal"/>
    <w:link w:val="BalloonTextChar"/>
    <w:uiPriority w:val="99"/>
    <w:semiHidden/>
    <w:unhideWhenUsed/>
    <w:rsid w:val="00B23F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F69"/>
    <w:rPr>
      <w:rFonts w:ascii="Segoe UI" w:hAnsi="Segoe UI" w:cs="Segoe UI"/>
      <w:sz w:val="18"/>
      <w:szCs w:val="18"/>
    </w:rPr>
  </w:style>
  <w:style w:type="paragraph" w:styleId="ListParagraph">
    <w:name w:val="List Paragraph"/>
    <w:basedOn w:val="Normal"/>
    <w:uiPriority w:val="34"/>
    <w:qFormat/>
    <w:rsid w:val="00B23F69"/>
    <w:pPr>
      <w:ind w:left="720"/>
      <w:contextualSpacing/>
    </w:pPr>
  </w:style>
  <w:style w:type="paragraph" w:styleId="FootnoteText">
    <w:name w:val="footnote text"/>
    <w:basedOn w:val="Normal"/>
    <w:link w:val="FootnoteTextChar"/>
    <w:uiPriority w:val="99"/>
    <w:semiHidden/>
    <w:unhideWhenUsed/>
    <w:rsid w:val="00B23F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3F69"/>
    <w:rPr>
      <w:sz w:val="20"/>
      <w:szCs w:val="20"/>
    </w:rPr>
  </w:style>
  <w:style w:type="character" w:styleId="FootnoteReference">
    <w:name w:val="footnote reference"/>
    <w:basedOn w:val="DefaultParagraphFont"/>
    <w:uiPriority w:val="99"/>
    <w:semiHidden/>
    <w:unhideWhenUsed/>
    <w:rsid w:val="00B23F69"/>
    <w:rPr>
      <w:vertAlign w:val="superscript"/>
    </w:rPr>
  </w:style>
  <w:style w:type="table" w:styleId="TableGrid">
    <w:name w:val="Table Grid"/>
    <w:basedOn w:val="TableNormal"/>
    <w:uiPriority w:val="39"/>
    <w:rsid w:val="00B23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3F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F69"/>
  </w:style>
  <w:style w:type="paragraph" w:styleId="Footer">
    <w:name w:val="footer"/>
    <w:basedOn w:val="Normal"/>
    <w:link w:val="FooterChar"/>
    <w:uiPriority w:val="99"/>
    <w:unhideWhenUsed/>
    <w:rsid w:val="00B23F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F69"/>
  </w:style>
  <w:style w:type="paragraph" w:styleId="HTMLPreformatted">
    <w:name w:val="HTML Preformatted"/>
    <w:basedOn w:val="Normal"/>
    <w:link w:val="HTMLPreformattedChar"/>
    <w:uiPriority w:val="99"/>
    <w:semiHidden/>
    <w:unhideWhenUsed/>
    <w:rsid w:val="00B23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B23F69"/>
    <w:rPr>
      <w:rFonts w:ascii="Courier New" w:hAnsi="Courier New" w:cs="Courier New"/>
      <w:sz w:val="20"/>
      <w:szCs w:val="20"/>
      <w:lang w:eastAsia="en-GB"/>
    </w:rPr>
  </w:style>
  <w:style w:type="paragraph" w:customStyle="1" w:styleId="TableTextLeft">
    <w:name w:val="~TableTextLeft"/>
    <w:basedOn w:val="Normal"/>
    <w:link w:val="TableTextLeftChar"/>
    <w:qFormat/>
    <w:rsid w:val="00B23F69"/>
    <w:pPr>
      <w:spacing w:before="40" w:after="20" w:line="240" w:lineRule="auto"/>
    </w:pPr>
    <w:rPr>
      <w:sz w:val="20"/>
    </w:rPr>
  </w:style>
  <w:style w:type="character" w:customStyle="1" w:styleId="TableTextLeftChar">
    <w:name w:val="~TableTextLeft Char"/>
    <w:basedOn w:val="DefaultParagraphFont"/>
    <w:link w:val="TableTextLeft"/>
    <w:locked/>
    <w:rsid w:val="00B23F69"/>
    <w:rPr>
      <w:sz w:val="20"/>
    </w:rPr>
  </w:style>
  <w:style w:type="paragraph" w:customStyle="1" w:styleId="TableHeadingLeft">
    <w:name w:val="~TableHeadingLeft"/>
    <w:basedOn w:val="TableTextLeft"/>
    <w:qFormat/>
    <w:rsid w:val="00B23F69"/>
    <w:pPr>
      <w:keepNext/>
    </w:pPr>
    <w:rPr>
      <w:b/>
      <w:color w:val="000000" w:themeColor="text1"/>
      <w:szCs w:val="26"/>
    </w:rPr>
  </w:style>
  <w:style w:type="paragraph" w:styleId="Caption">
    <w:name w:val="caption"/>
    <w:aliases w:val="~Caption"/>
    <w:basedOn w:val="Normal"/>
    <w:next w:val="Normal"/>
    <w:link w:val="CaptionChar"/>
    <w:qFormat/>
    <w:rsid w:val="00B23F69"/>
    <w:pPr>
      <w:keepNext/>
      <w:tabs>
        <w:tab w:val="left" w:pos="993"/>
      </w:tabs>
      <w:spacing w:before="300" w:after="0" w:line="240" w:lineRule="auto"/>
      <w:ind w:left="993" w:hanging="993"/>
    </w:pPr>
    <w:rPr>
      <w:rFonts w:eastAsia="Calibri" w:cs="Arial"/>
      <w:b/>
      <w:szCs w:val="20"/>
    </w:rPr>
  </w:style>
  <w:style w:type="character" w:customStyle="1" w:styleId="CaptionChar">
    <w:name w:val="Caption Char"/>
    <w:aliases w:val="~Caption Char"/>
    <w:basedOn w:val="DefaultParagraphFont"/>
    <w:link w:val="Caption"/>
    <w:rsid w:val="00B23F69"/>
    <w:rPr>
      <w:rFonts w:eastAsia="Calibri" w:cs="Arial"/>
      <w:b/>
      <w:szCs w:val="20"/>
    </w:rPr>
  </w:style>
  <w:style w:type="paragraph" w:customStyle="1" w:styleId="Bullet1">
    <w:name w:val="~Bullet1"/>
    <w:basedOn w:val="Normal"/>
    <w:qFormat/>
    <w:rsid w:val="00B23F69"/>
    <w:pPr>
      <w:numPr>
        <w:numId w:val="4"/>
      </w:numPr>
      <w:tabs>
        <w:tab w:val="left" w:pos="284"/>
      </w:tabs>
      <w:spacing w:before="60" w:after="60" w:line="240" w:lineRule="auto"/>
    </w:pPr>
    <w:rPr>
      <w:rFonts w:eastAsia="Calibri" w:cs="Arial"/>
      <w:szCs w:val="20"/>
    </w:rPr>
  </w:style>
  <w:style w:type="paragraph" w:customStyle="1" w:styleId="Bullet2">
    <w:name w:val="~Bullet2"/>
    <w:basedOn w:val="Bullet1"/>
    <w:qFormat/>
    <w:rsid w:val="00B23F69"/>
    <w:pPr>
      <w:numPr>
        <w:ilvl w:val="1"/>
      </w:numPr>
      <w:tabs>
        <w:tab w:val="clear" w:pos="284"/>
      </w:tabs>
    </w:pPr>
  </w:style>
  <w:style w:type="paragraph" w:customStyle="1" w:styleId="Bullet3">
    <w:name w:val="~Bullet3"/>
    <w:basedOn w:val="Bullet2"/>
    <w:qFormat/>
    <w:rsid w:val="00B23F69"/>
    <w:pPr>
      <w:numPr>
        <w:ilvl w:val="2"/>
      </w:numPr>
    </w:pPr>
  </w:style>
  <w:style w:type="paragraph" w:customStyle="1" w:styleId="BodyTextNum">
    <w:name w:val="~BodyTextNum"/>
    <w:basedOn w:val="Normal"/>
    <w:qFormat/>
    <w:rsid w:val="00B23F69"/>
    <w:pPr>
      <w:tabs>
        <w:tab w:val="left" w:pos="284"/>
      </w:tabs>
      <w:spacing w:before="180" w:after="0" w:line="240" w:lineRule="auto"/>
      <w:ind w:left="284" w:hanging="284"/>
    </w:pPr>
  </w:style>
  <w:style w:type="paragraph" w:customStyle="1" w:styleId="xl65">
    <w:name w:val="xl65"/>
    <w:basedOn w:val="Normal"/>
    <w:rsid w:val="00B23F69"/>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23F69"/>
    <w:rPr>
      <w:color w:val="0000FF"/>
      <w:u w:val="single"/>
    </w:rPr>
  </w:style>
  <w:style w:type="character" w:customStyle="1" w:styleId="apple-converted-space">
    <w:name w:val="apple-converted-space"/>
    <w:basedOn w:val="DefaultParagraphFont"/>
    <w:rsid w:val="00B23F69"/>
  </w:style>
  <w:style w:type="character" w:customStyle="1" w:styleId="highlight">
    <w:name w:val="highlight"/>
    <w:basedOn w:val="DefaultParagraphFont"/>
    <w:rsid w:val="00B23F69"/>
  </w:style>
  <w:style w:type="character" w:customStyle="1" w:styleId="ui-ncbitoggler-master-text">
    <w:name w:val="ui-ncbitoggler-master-text"/>
    <w:basedOn w:val="DefaultParagraphFont"/>
    <w:rsid w:val="00B23F69"/>
  </w:style>
  <w:style w:type="paragraph" w:styleId="NormalWeb">
    <w:name w:val="Normal (Web)"/>
    <w:basedOn w:val="Normal"/>
    <w:uiPriority w:val="99"/>
    <w:semiHidden/>
    <w:unhideWhenUsed/>
    <w:rsid w:val="00B23F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B23F69"/>
    <w:pPr>
      <w:spacing w:after="0" w:line="240" w:lineRule="auto"/>
    </w:pPr>
  </w:style>
  <w:style w:type="paragraph" w:customStyle="1" w:styleId="AppHead">
    <w:name w:val="~AppHead"/>
    <w:basedOn w:val="Normal"/>
    <w:next w:val="Normal"/>
    <w:qFormat/>
    <w:rsid w:val="00B23F69"/>
    <w:pPr>
      <w:keepNext/>
      <w:tabs>
        <w:tab w:val="num" w:pos="283"/>
        <w:tab w:val="left" w:pos="2552"/>
      </w:tabs>
      <w:spacing w:before="300" w:after="0" w:line="240" w:lineRule="auto"/>
      <w:outlineLvl w:val="0"/>
    </w:pPr>
    <w:rPr>
      <w:b/>
      <w:sz w:val="44"/>
    </w:rPr>
  </w:style>
  <w:style w:type="paragraph" w:customStyle="1" w:styleId="AppSubHead">
    <w:name w:val="~AppSubHead"/>
    <w:basedOn w:val="AppHead"/>
    <w:next w:val="Normal"/>
    <w:qFormat/>
    <w:rsid w:val="00B23F69"/>
    <w:pPr>
      <w:tabs>
        <w:tab w:val="clear" w:pos="283"/>
        <w:tab w:val="clear" w:pos="2552"/>
        <w:tab w:val="num" w:pos="0"/>
      </w:tabs>
      <w:ind w:hanging="284"/>
    </w:pPr>
    <w:rPr>
      <w:sz w:val="32"/>
    </w:rPr>
  </w:style>
  <w:style w:type="paragraph" w:customStyle="1" w:styleId="AppMinorSubHead">
    <w:name w:val="~AppMinorSubHead"/>
    <w:basedOn w:val="AppSubHead"/>
    <w:next w:val="Normal"/>
    <w:qFormat/>
    <w:rsid w:val="00B23F69"/>
    <w:rPr>
      <w:sz w:val="24"/>
      <w:szCs w:val="24"/>
    </w:rPr>
  </w:style>
  <w:style w:type="paragraph" w:customStyle="1" w:styleId="AppLevel4Head">
    <w:name w:val="~AppLevel4Head"/>
    <w:basedOn w:val="AppMinorSubHead"/>
    <w:next w:val="Normal"/>
    <w:qFormat/>
    <w:rsid w:val="00B23F69"/>
    <w:rPr>
      <w:sz w:val="22"/>
      <w:szCs w:val="22"/>
    </w:rPr>
  </w:style>
  <w:style w:type="character" w:styleId="LineNumber">
    <w:name w:val="line number"/>
    <w:basedOn w:val="DefaultParagraphFont"/>
    <w:uiPriority w:val="99"/>
    <w:semiHidden/>
    <w:unhideWhenUsed/>
    <w:rsid w:val="00B23F69"/>
  </w:style>
  <w:style w:type="character" w:styleId="Emphasis">
    <w:name w:val="Emphasis"/>
    <w:basedOn w:val="DefaultParagraphFont"/>
    <w:uiPriority w:val="20"/>
    <w:qFormat/>
    <w:rsid w:val="00B23F69"/>
    <w:rPr>
      <w:i/>
      <w:iCs/>
    </w:rPr>
  </w:style>
  <w:style w:type="paragraph" w:customStyle="1" w:styleId="EndNoteBibliographyTitle">
    <w:name w:val="EndNote Bibliography Title"/>
    <w:basedOn w:val="Normal"/>
    <w:link w:val="EndNoteBibliographyTitleChar"/>
    <w:rsid w:val="00B23F6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23F69"/>
    <w:rPr>
      <w:rFonts w:ascii="Calibri" w:hAnsi="Calibri" w:cs="Calibri"/>
      <w:noProof/>
      <w:lang w:val="en-US"/>
    </w:rPr>
  </w:style>
  <w:style w:type="paragraph" w:customStyle="1" w:styleId="EndNoteBibliography">
    <w:name w:val="EndNote Bibliography"/>
    <w:basedOn w:val="Normal"/>
    <w:link w:val="EndNoteBibliographyChar"/>
    <w:rsid w:val="00B23F6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23F69"/>
    <w:rPr>
      <w:rFonts w:ascii="Calibri" w:hAnsi="Calibri" w:cs="Calibri"/>
      <w:noProof/>
      <w:lang w:val="en-US"/>
    </w:rPr>
  </w:style>
  <w:style w:type="numbering" w:customStyle="1" w:styleId="TableNoteList">
    <w:name w:val="~TableNoteList"/>
    <w:uiPriority w:val="99"/>
    <w:rsid w:val="00B23F69"/>
    <w:pPr>
      <w:numPr>
        <w:numId w:val="18"/>
      </w:numPr>
    </w:pPr>
  </w:style>
  <w:style w:type="paragraph" w:customStyle="1" w:styleId="BodyHeading">
    <w:name w:val="~BodyHeading"/>
    <w:basedOn w:val="Normal"/>
    <w:next w:val="Normal"/>
    <w:qFormat/>
    <w:rsid w:val="00B23F69"/>
    <w:pPr>
      <w:keepNext/>
      <w:spacing w:before="300" w:after="0" w:line="240" w:lineRule="auto"/>
    </w:pPr>
    <w:rPr>
      <w:b/>
    </w:rPr>
  </w:style>
  <w:style w:type="paragraph" w:customStyle="1" w:styleId="TableTextRight">
    <w:name w:val="~TableTextRight"/>
    <w:basedOn w:val="TableTextLeft"/>
    <w:qFormat/>
    <w:rsid w:val="00B23F69"/>
    <w:pPr>
      <w:jc w:val="right"/>
    </w:pPr>
  </w:style>
  <w:style w:type="table" w:customStyle="1" w:styleId="TableGrid1">
    <w:name w:val="Table Grid1"/>
    <w:basedOn w:val="TableNormal"/>
    <w:next w:val="TableGrid"/>
    <w:uiPriority w:val="39"/>
    <w:rsid w:val="00B23F69"/>
    <w:pPr>
      <w:spacing w:after="0" w:line="240" w:lineRule="auto"/>
      <w:ind w:left="1304" w:hanging="567"/>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ingCentre">
    <w:name w:val="~TableHeadingCentre"/>
    <w:basedOn w:val="TableHeadingLeft"/>
    <w:qFormat/>
    <w:rsid w:val="00B23F69"/>
    <w:pPr>
      <w:keepNext w:val="0"/>
      <w:jc w:val="center"/>
    </w:pPr>
  </w:style>
  <w:style w:type="paragraph" w:customStyle="1" w:styleId="TableTextCentre">
    <w:name w:val="~TableTextCentre"/>
    <w:basedOn w:val="TableTextLeft"/>
    <w:qFormat/>
    <w:rsid w:val="00B23F69"/>
    <w:pPr>
      <w:jc w:val="center"/>
    </w:pPr>
  </w:style>
  <w:style w:type="table" w:customStyle="1" w:styleId="TableGrid2">
    <w:name w:val="Table Grid2"/>
    <w:basedOn w:val="TableNormal"/>
    <w:next w:val="TableGrid"/>
    <w:uiPriority w:val="39"/>
    <w:rsid w:val="00B23F6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igitizei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Ifigeneia</dc:creator>
  <cp:keywords/>
  <dc:description/>
  <cp:lastModifiedBy>Mavranezouli, Ifigeneia</cp:lastModifiedBy>
  <cp:revision>27</cp:revision>
  <dcterms:created xsi:type="dcterms:W3CDTF">2019-05-11T02:02:00Z</dcterms:created>
  <dcterms:modified xsi:type="dcterms:W3CDTF">2019-12-16T13:40:00Z</dcterms:modified>
</cp:coreProperties>
</file>