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53386" w14:textId="30A81E89" w:rsidR="00AB6F69" w:rsidRPr="00FC1746" w:rsidRDefault="00AB6F69" w:rsidP="00AB6F69">
      <w:pPr>
        <w:rPr>
          <w:rFonts w:ascii="Calibri" w:eastAsia="Calibri" w:hAnsi="Calibri" w:cs="Times New Roman"/>
          <w:sz w:val="20"/>
          <w:szCs w:val="20"/>
        </w:rPr>
      </w:pPr>
      <w:bookmarkStart w:id="0" w:name="_GoBack"/>
      <w:bookmarkEnd w:id="0"/>
      <w:r>
        <w:rPr>
          <w:rFonts w:ascii="Calibri" w:eastAsia="Calibri" w:hAnsi="Calibri" w:cs="Times New Roman"/>
          <w:sz w:val="20"/>
          <w:szCs w:val="20"/>
        </w:rPr>
        <w:t>S</w:t>
      </w:r>
      <w:r w:rsidR="00DC17FB">
        <w:rPr>
          <w:rFonts w:ascii="Calibri" w:eastAsia="Calibri" w:hAnsi="Calibri" w:cs="Times New Roman"/>
          <w:sz w:val="20"/>
          <w:szCs w:val="20"/>
        </w:rPr>
        <w:t>2</w:t>
      </w:r>
      <w:r>
        <w:rPr>
          <w:rFonts w:ascii="Calibri" w:eastAsia="Calibri" w:hAnsi="Calibri" w:cs="Times New Roman"/>
          <w:sz w:val="20"/>
          <w:szCs w:val="20"/>
        </w:rPr>
        <w:t xml:space="preserve"> </w:t>
      </w:r>
      <w:r w:rsidRPr="00CD3305">
        <w:rPr>
          <w:rFonts w:ascii="Calibri" w:eastAsia="Calibri" w:hAnsi="Calibri" w:cs="Times New Roman"/>
          <w:sz w:val="20"/>
          <w:szCs w:val="20"/>
        </w:rPr>
        <w:t>Table.</w:t>
      </w:r>
      <w:r w:rsidRPr="00FC1746">
        <w:rPr>
          <w:rFonts w:ascii="Calibri" w:eastAsia="Calibri" w:hAnsi="Calibri" w:cs="Times New Roman"/>
          <w:sz w:val="20"/>
          <w:szCs w:val="20"/>
        </w:rPr>
        <w:t xml:space="preserve"> Inclusion / exclusion criteria use</w:t>
      </w:r>
      <w:r>
        <w:rPr>
          <w:rFonts w:ascii="Calibri" w:eastAsia="Calibri" w:hAnsi="Calibri" w:cs="Times New Roman"/>
          <w:sz w:val="20"/>
          <w:szCs w:val="20"/>
        </w:rPr>
        <w:t>d</w:t>
      </w:r>
      <w:r w:rsidRPr="00FC1746">
        <w:rPr>
          <w:rFonts w:ascii="Calibri" w:eastAsia="Calibri" w:hAnsi="Calibri" w:cs="Times New Roman"/>
          <w:sz w:val="20"/>
          <w:szCs w:val="20"/>
        </w:rPr>
        <w:t xml:space="preserve"> for the </w:t>
      </w:r>
      <w:r>
        <w:rPr>
          <w:rFonts w:ascii="Calibri" w:eastAsia="Calibri" w:hAnsi="Calibri" w:cs="Times New Roman"/>
          <w:sz w:val="20"/>
          <w:szCs w:val="20"/>
        </w:rPr>
        <w:t>selection</w:t>
      </w:r>
      <w:r w:rsidRPr="00FC1746">
        <w:rPr>
          <w:rFonts w:ascii="Calibri" w:eastAsia="Calibri" w:hAnsi="Calibri" w:cs="Times New Roman"/>
          <w:sz w:val="20"/>
          <w:szCs w:val="20"/>
        </w:rPr>
        <w:t xml:space="preserve"> of sustainability indicators</w:t>
      </w:r>
    </w:p>
    <w:p w14:paraId="5E66451D" w14:textId="50091A4E" w:rsidR="00AB6F69" w:rsidRPr="00FC1746" w:rsidRDefault="00AB6F69" w:rsidP="00AB6F69">
      <w:pPr>
        <w:numPr>
          <w:ilvl w:val="0"/>
          <w:numId w:val="1"/>
        </w:numPr>
        <w:pBdr>
          <w:top w:val="single" w:sz="4" w:space="1" w:color="auto"/>
        </w:pBdr>
        <w:spacing w:after="0" w:line="240" w:lineRule="auto"/>
        <w:contextualSpacing/>
        <w:jc w:val="both"/>
        <w:rPr>
          <w:rFonts w:ascii="Calibri" w:eastAsia="Calibri" w:hAnsi="Calibri" w:cs="Times New Roman"/>
          <w:sz w:val="20"/>
          <w:szCs w:val="20"/>
        </w:rPr>
      </w:pPr>
      <w:r w:rsidRPr="00FC1746">
        <w:rPr>
          <w:rFonts w:ascii="Calibri" w:eastAsia="Calibri" w:hAnsi="Calibri" w:cs="Times New Roman"/>
          <w:b/>
          <w:sz w:val="20"/>
          <w:szCs w:val="20"/>
        </w:rPr>
        <w:t>Cross correlation</w:t>
      </w:r>
      <w:r w:rsidRPr="00FC1746">
        <w:rPr>
          <w:rFonts w:ascii="Calibri" w:eastAsia="Calibri" w:hAnsi="Calibri" w:cs="Times New Roman"/>
          <w:sz w:val="20"/>
          <w:szCs w:val="20"/>
        </w:rPr>
        <w:t xml:space="preserve">. Were </w:t>
      </w:r>
      <w:r w:rsidRPr="00FC1746">
        <w:rPr>
          <w:rFonts w:ascii="Calibri" w:eastAsia="Calibri" w:hAnsi="Calibri" w:cs="Times New Roman"/>
          <w:i/>
          <w:sz w:val="20"/>
          <w:szCs w:val="20"/>
        </w:rPr>
        <w:t>excluded</w:t>
      </w:r>
      <w:r w:rsidRPr="00FC1746">
        <w:rPr>
          <w:rFonts w:ascii="Calibri" w:eastAsia="Calibri" w:hAnsi="Calibri" w:cs="Times New Roman"/>
          <w:sz w:val="20"/>
          <w:szCs w:val="20"/>
        </w:rPr>
        <w:t xml:space="preserve"> ind</w:t>
      </w:r>
      <w:r w:rsidR="00060AA2">
        <w:rPr>
          <w:rFonts w:ascii="Calibri" w:eastAsia="Calibri" w:hAnsi="Calibri" w:cs="Times New Roman"/>
          <w:sz w:val="20"/>
          <w:szCs w:val="20"/>
        </w:rPr>
        <w:t>icators which are closely cross-</w:t>
      </w:r>
      <w:r w:rsidRPr="00FC1746">
        <w:rPr>
          <w:rFonts w:ascii="Calibri" w:eastAsia="Calibri" w:hAnsi="Calibri" w:cs="Times New Roman"/>
          <w:sz w:val="20"/>
          <w:szCs w:val="20"/>
        </w:rPr>
        <w:t xml:space="preserve">correlated to another indicator already considered in the list. For instance, “proportion of population under global poverty line” and “percentage of population living under the poverty threshold” are very closely correlated. We would only keep one of those two indicators.   </w:t>
      </w:r>
    </w:p>
    <w:p w14:paraId="14765489" w14:textId="77777777" w:rsidR="00AB6F69" w:rsidRPr="00FC1746" w:rsidRDefault="00AB6F69" w:rsidP="00AB6F69">
      <w:pPr>
        <w:numPr>
          <w:ilvl w:val="0"/>
          <w:numId w:val="1"/>
        </w:numPr>
        <w:spacing w:after="0" w:line="240" w:lineRule="auto"/>
        <w:contextualSpacing/>
        <w:jc w:val="both"/>
        <w:rPr>
          <w:rFonts w:ascii="Calibri" w:eastAsia="Calibri" w:hAnsi="Calibri" w:cs="Times New Roman"/>
          <w:sz w:val="20"/>
          <w:szCs w:val="20"/>
        </w:rPr>
      </w:pPr>
      <w:r w:rsidRPr="00FC1746">
        <w:rPr>
          <w:rFonts w:ascii="Calibri" w:eastAsia="Calibri" w:hAnsi="Calibri" w:cs="Times New Roman"/>
          <w:b/>
          <w:sz w:val="20"/>
          <w:szCs w:val="20"/>
        </w:rPr>
        <w:t>Conceptual relevance</w:t>
      </w:r>
      <w:r w:rsidRPr="00FC1746">
        <w:rPr>
          <w:rFonts w:ascii="Calibri" w:eastAsia="Calibri" w:hAnsi="Calibri" w:cs="Times New Roman"/>
          <w:sz w:val="20"/>
          <w:szCs w:val="20"/>
        </w:rPr>
        <w:t xml:space="preserve">. Were </w:t>
      </w:r>
      <w:r w:rsidRPr="00FC1746">
        <w:rPr>
          <w:rFonts w:ascii="Calibri" w:eastAsia="Calibri" w:hAnsi="Calibri" w:cs="Times New Roman"/>
          <w:i/>
          <w:sz w:val="20"/>
          <w:szCs w:val="20"/>
        </w:rPr>
        <w:t>included</w:t>
      </w:r>
      <w:r w:rsidRPr="00FC1746">
        <w:rPr>
          <w:rFonts w:ascii="Calibri" w:eastAsia="Calibri" w:hAnsi="Calibri" w:cs="Times New Roman"/>
          <w:sz w:val="20"/>
          <w:szCs w:val="20"/>
        </w:rPr>
        <w:t xml:space="preserve"> indicators that could clearly be related to one of the four dimensions of the metric, that is: ecological, economic, social and food and nutrition dimensions – see also composite indicator criterion below. </w:t>
      </w:r>
    </w:p>
    <w:p w14:paraId="1A95CDEF" w14:textId="77777777" w:rsidR="00AB6F69" w:rsidRPr="00FC1746" w:rsidRDefault="00AB6F69" w:rsidP="00AB6F69">
      <w:pPr>
        <w:numPr>
          <w:ilvl w:val="0"/>
          <w:numId w:val="1"/>
        </w:numPr>
        <w:spacing w:after="0" w:line="240" w:lineRule="auto"/>
        <w:contextualSpacing/>
        <w:jc w:val="both"/>
        <w:rPr>
          <w:rFonts w:ascii="Calibri" w:eastAsia="Calibri" w:hAnsi="Calibri" w:cs="Times New Roman"/>
          <w:sz w:val="20"/>
          <w:szCs w:val="20"/>
        </w:rPr>
      </w:pPr>
      <w:r w:rsidRPr="00FC1746">
        <w:rPr>
          <w:rFonts w:ascii="Calibri" w:eastAsia="Calibri" w:hAnsi="Calibri" w:cs="Times New Roman"/>
          <w:b/>
          <w:sz w:val="20"/>
          <w:szCs w:val="20"/>
        </w:rPr>
        <w:t>Global scale</w:t>
      </w:r>
      <w:r w:rsidRPr="00FC1746">
        <w:rPr>
          <w:rFonts w:ascii="Calibri" w:eastAsia="Calibri" w:hAnsi="Calibri" w:cs="Times New Roman"/>
          <w:sz w:val="20"/>
          <w:szCs w:val="20"/>
        </w:rPr>
        <w:t xml:space="preserve">. Were </w:t>
      </w:r>
      <w:r w:rsidRPr="00FC1746">
        <w:rPr>
          <w:rFonts w:ascii="Calibri" w:eastAsia="Calibri" w:hAnsi="Calibri" w:cs="Times New Roman"/>
          <w:i/>
          <w:sz w:val="20"/>
          <w:szCs w:val="20"/>
        </w:rPr>
        <w:t>included</w:t>
      </w:r>
      <w:r w:rsidRPr="00FC1746">
        <w:rPr>
          <w:rFonts w:ascii="Calibri" w:eastAsia="Calibri" w:hAnsi="Calibri" w:cs="Times New Roman"/>
          <w:sz w:val="20"/>
          <w:szCs w:val="20"/>
        </w:rPr>
        <w:t xml:space="preserve"> only indicators for which a database which covers at least 70 countries is available.</w:t>
      </w:r>
    </w:p>
    <w:p w14:paraId="000A0C37" w14:textId="77777777" w:rsidR="00AB6F69" w:rsidRPr="00FC1746" w:rsidRDefault="00AB6F69" w:rsidP="00AB6F69">
      <w:pPr>
        <w:numPr>
          <w:ilvl w:val="0"/>
          <w:numId w:val="1"/>
        </w:numPr>
        <w:spacing w:after="0" w:line="240" w:lineRule="auto"/>
        <w:contextualSpacing/>
        <w:jc w:val="both"/>
        <w:rPr>
          <w:rFonts w:ascii="Calibri" w:eastAsia="Calibri" w:hAnsi="Calibri" w:cs="Times New Roman"/>
          <w:sz w:val="20"/>
          <w:szCs w:val="20"/>
        </w:rPr>
      </w:pPr>
      <w:r w:rsidRPr="00FC1746">
        <w:rPr>
          <w:rFonts w:ascii="Calibri" w:eastAsia="Calibri" w:hAnsi="Calibri" w:cs="Times New Roman"/>
          <w:b/>
          <w:sz w:val="20"/>
          <w:szCs w:val="20"/>
        </w:rPr>
        <w:t>Global validity</w:t>
      </w:r>
      <w:r w:rsidRPr="00FC1746">
        <w:rPr>
          <w:rFonts w:ascii="Calibri" w:eastAsia="Calibri" w:hAnsi="Calibri" w:cs="Times New Roman"/>
          <w:sz w:val="20"/>
          <w:szCs w:val="20"/>
        </w:rPr>
        <w:t xml:space="preserve">. Were </w:t>
      </w:r>
      <w:r w:rsidRPr="00FC1746">
        <w:rPr>
          <w:rFonts w:ascii="Calibri" w:eastAsia="Calibri" w:hAnsi="Calibri" w:cs="Times New Roman"/>
          <w:i/>
          <w:sz w:val="20"/>
          <w:szCs w:val="20"/>
        </w:rPr>
        <w:t>excluded</w:t>
      </w:r>
      <w:r w:rsidRPr="00FC1746">
        <w:rPr>
          <w:rFonts w:ascii="Calibri" w:eastAsia="Calibri" w:hAnsi="Calibri" w:cs="Times New Roman"/>
          <w:sz w:val="20"/>
          <w:szCs w:val="20"/>
        </w:rPr>
        <w:t xml:space="preserve"> indicators that refer to processes that are specific to some specific regions of the world. For instance, “Percentage of agricultural land lost yearly to desertification” was excluded as desertification is a phenomenon that by definition can only occur in some specific regions of the world.   </w:t>
      </w:r>
    </w:p>
    <w:p w14:paraId="1C834AE9" w14:textId="77777777" w:rsidR="00AB6F69" w:rsidRPr="00FC1746" w:rsidRDefault="00AB6F69" w:rsidP="00AB6F69">
      <w:pPr>
        <w:numPr>
          <w:ilvl w:val="0"/>
          <w:numId w:val="1"/>
        </w:numPr>
        <w:spacing w:after="0" w:line="240" w:lineRule="auto"/>
        <w:contextualSpacing/>
        <w:jc w:val="both"/>
        <w:rPr>
          <w:rFonts w:ascii="Calibri" w:eastAsia="Calibri" w:hAnsi="Calibri" w:cs="Times New Roman"/>
          <w:sz w:val="20"/>
          <w:szCs w:val="20"/>
        </w:rPr>
      </w:pPr>
      <w:r w:rsidRPr="00FC1746">
        <w:rPr>
          <w:rFonts w:ascii="Calibri" w:eastAsia="Calibri" w:hAnsi="Calibri" w:cs="Times New Roman"/>
          <w:b/>
          <w:sz w:val="20"/>
          <w:szCs w:val="20"/>
        </w:rPr>
        <w:t>Time period</w:t>
      </w:r>
      <w:r w:rsidRPr="00FC1746">
        <w:rPr>
          <w:rFonts w:ascii="Calibri" w:eastAsia="Calibri" w:hAnsi="Calibri" w:cs="Times New Roman"/>
          <w:sz w:val="20"/>
          <w:szCs w:val="20"/>
        </w:rPr>
        <w:t xml:space="preserve">. Were </w:t>
      </w:r>
      <w:r w:rsidRPr="00FC1746">
        <w:rPr>
          <w:rFonts w:ascii="Calibri" w:eastAsia="Calibri" w:hAnsi="Calibri" w:cs="Times New Roman"/>
          <w:i/>
          <w:sz w:val="20"/>
          <w:szCs w:val="20"/>
        </w:rPr>
        <w:t>excluded</w:t>
      </w:r>
      <w:r w:rsidRPr="00FC1746">
        <w:rPr>
          <w:rFonts w:ascii="Calibri" w:eastAsia="Calibri" w:hAnsi="Calibri" w:cs="Times New Roman"/>
          <w:sz w:val="20"/>
          <w:szCs w:val="20"/>
        </w:rPr>
        <w:t xml:space="preserve"> indicators for which the database had information only prior to the year 2000.</w:t>
      </w:r>
    </w:p>
    <w:p w14:paraId="73DD9792" w14:textId="77777777" w:rsidR="00AB6F69" w:rsidRPr="00FC1746" w:rsidRDefault="00AB6F69" w:rsidP="00AB6F69">
      <w:pPr>
        <w:numPr>
          <w:ilvl w:val="0"/>
          <w:numId w:val="1"/>
        </w:numPr>
        <w:spacing w:after="0" w:line="240" w:lineRule="auto"/>
        <w:contextualSpacing/>
        <w:jc w:val="both"/>
        <w:rPr>
          <w:rFonts w:ascii="Calibri" w:eastAsia="Calibri" w:hAnsi="Calibri" w:cs="Times New Roman"/>
          <w:sz w:val="20"/>
          <w:szCs w:val="20"/>
        </w:rPr>
      </w:pPr>
      <w:r w:rsidRPr="00FC1746">
        <w:rPr>
          <w:rFonts w:ascii="Calibri" w:eastAsia="Calibri" w:hAnsi="Calibri" w:cs="Times New Roman"/>
          <w:b/>
          <w:sz w:val="20"/>
          <w:szCs w:val="20"/>
        </w:rPr>
        <w:t>Latent variables</w:t>
      </w:r>
      <w:r w:rsidRPr="00FC1746">
        <w:rPr>
          <w:rFonts w:ascii="Calibri" w:eastAsia="Calibri" w:hAnsi="Calibri" w:cs="Times New Roman"/>
          <w:sz w:val="20"/>
          <w:szCs w:val="20"/>
        </w:rPr>
        <w:t xml:space="preserve">. Were </w:t>
      </w:r>
      <w:r w:rsidRPr="00FC1746">
        <w:rPr>
          <w:rFonts w:ascii="Calibri" w:eastAsia="Calibri" w:hAnsi="Calibri" w:cs="Times New Roman"/>
          <w:i/>
          <w:sz w:val="20"/>
          <w:szCs w:val="20"/>
        </w:rPr>
        <w:t>excluded</w:t>
      </w:r>
      <w:r w:rsidRPr="00FC1746">
        <w:rPr>
          <w:rFonts w:ascii="Calibri" w:eastAsia="Calibri" w:hAnsi="Calibri" w:cs="Times New Roman"/>
          <w:sz w:val="20"/>
          <w:szCs w:val="20"/>
        </w:rPr>
        <w:t xml:space="preserve"> indicators that are based on latent variables. For instance, indicators of “resilience” or “economic vulnerability” were excluded as there is no agreed measure/unit of resilience or economic vulnerability.</w:t>
      </w:r>
    </w:p>
    <w:p w14:paraId="170CBC18" w14:textId="77777777" w:rsidR="00AB6F69" w:rsidRPr="00FC1746" w:rsidRDefault="00AB6F69" w:rsidP="00AB6F69">
      <w:pPr>
        <w:numPr>
          <w:ilvl w:val="0"/>
          <w:numId w:val="1"/>
        </w:numPr>
        <w:spacing w:after="0" w:line="240" w:lineRule="auto"/>
        <w:contextualSpacing/>
        <w:jc w:val="both"/>
        <w:rPr>
          <w:rFonts w:ascii="Calibri" w:eastAsia="Calibri" w:hAnsi="Calibri" w:cs="Times New Roman"/>
          <w:sz w:val="20"/>
          <w:szCs w:val="20"/>
        </w:rPr>
      </w:pPr>
      <w:r w:rsidRPr="00FC1746">
        <w:rPr>
          <w:rFonts w:ascii="Calibri" w:eastAsia="Calibri" w:hAnsi="Calibri" w:cs="Times New Roman"/>
          <w:b/>
          <w:sz w:val="20"/>
          <w:szCs w:val="20"/>
        </w:rPr>
        <w:t>Clear methodology</w:t>
      </w:r>
      <w:r w:rsidRPr="00FC1746">
        <w:rPr>
          <w:rFonts w:ascii="Calibri" w:eastAsia="Calibri" w:hAnsi="Calibri" w:cs="Times New Roman"/>
          <w:sz w:val="20"/>
          <w:szCs w:val="20"/>
        </w:rPr>
        <w:t xml:space="preserve">. Were </w:t>
      </w:r>
      <w:r w:rsidRPr="00FC1746">
        <w:rPr>
          <w:rFonts w:ascii="Calibri" w:eastAsia="Calibri" w:hAnsi="Calibri" w:cs="Times New Roman"/>
          <w:i/>
          <w:sz w:val="20"/>
          <w:szCs w:val="20"/>
        </w:rPr>
        <w:t>excluded</w:t>
      </w:r>
      <w:r w:rsidRPr="00FC1746">
        <w:rPr>
          <w:rFonts w:ascii="Calibri" w:eastAsia="Calibri" w:hAnsi="Calibri" w:cs="Times New Roman"/>
          <w:sz w:val="20"/>
          <w:szCs w:val="20"/>
        </w:rPr>
        <w:t xml:space="preserve"> indicators for which the methodology used to construct the database was not clearly detailed in the original database. </w:t>
      </w:r>
    </w:p>
    <w:p w14:paraId="5E98A887" w14:textId="77777777" w:rsidR="00AB6F69" w:rsidRPr="00FC1746" w:rsidRDefault="00AB6F69" w:rsidP="00AB6F69">
      <w:pPr>
        <w:numPr>
          <w:ilvl w:val="0"/>
          <w:numId w:val="1"/>
        </w:numPr>
        <w:spacing w:after="0" w:line="240" w:lineRule="auto"/>
        <w:contextualSpacing/>
        <w:jc w:val="both"/>
        <w:rPr>
          <w:rFonts w:ascii="Calibri" w:eastAsia="Calibri" w:hAnsi="Calibri" w:cs="Times New Roman"/>
          <w:sz w:val="20"/>
          <w:szCs w:val="20"/>
        </w:rPr>
      </w:pPr>
      <w:r w:rsidRPr="00FC1746">
        <w:rPr>
          <w:rFonts w:ascii="Calibri" w:eastAsia="Calibri" w:hAnsi="Calibri" w:cs="Times New Roman"/>
          <w:b/>
          <w:sz w:val="20"/>
          <w:szCs w:val="20"/>
        </w:rPr>
        <w:t>Non-composite indicators</w:t>
      </w:r>
      <w:r w:rsidRPr="00FC1746">
        <w:rPr>
          <w:rFonts w:ascii="Calibri" w:eastAsia="Calibri" w:hAnsi="Calibri" w:cs="Times New Roman"/>
          <w:sz w:val="20"/>
          <w:szCs w:val="20"/>
        </w:rPr>
        <w:t xml:space="preserve">. Were </w:t>
      </w:r>
      <w:r w:rsidRPr="00FC1746">
        <w:rPr>
          <w:rFonts w:ascii="Calibri" w:eastAsia="Calibri" w:hAnsi="Calibri" w:cs="Times New Roman"/>
          <w:i/>
          <w:sz w:val="20"/>
          <w:szCs w:val="20"/>
        </w:rPr>
        <w:t>excluded</w:t>
      </w:r>
      <w:r w:rsidRPr="00FC1746">
        <w:rPr>
          <w:rFonts w:ascii="Calibri" w:eastAsia="Calibri" w:hAnsi="Calibri" w:cs="Times New Roman"/>
          <w:sz w:val="20"/>
          <w:szCs w:val="20"/>
        </w:rPr>
        <w:t xml:space="preserve"> indicators based on composite indices that fall into two different dimensions of the metric. For instance, the ratio “natural capital used / GDP” which is sometimes proposed in the literature as an indicator of sustainability would not be included as it clearly lies at the interface between the environmental and economic dimensions.  </w:t>
      </w:r>
    </w:p>
    <w:p w14:paraId="21862BA5" w14:textId="77777777" w:rsidR="00AB6F69" w:rsidRPr="00FC1746" w:rsidRDefault="00AB6F69" w:rsidP="00AB6F69">
      <w:pPr>
        <w:numPr>
          <w:ilvl w:val="0"/>
          <w:numId w:val="1"/>
        </w:numPr>
        <w:pBdr>
          <w:bottom w:val="single" w:sz="4" w:space="1" w:color="auto"/>
        </w:pBdr>
        <w:spacing w:after="0" w:line="240" w:lineRule="auto"/>
        <w:contextualSpacing/>
        <w:jc w:val="both"/>
        <w:rPr>
          <w:rFonts w:ascii="Calibri" w:eastAsia="Calibri" w:hAnsi="Calibri" w:cs="Times New Roman"/>
          <w:sz w:val="20"/>
          <w:szCs w:val="20"/>
        </w:rPr>
      </w:pPr>
      <w:r w:rsidRPr="00FC1746">
        <w:rPr>
          <w:rFonts w:ascii="Calibri" w:eastAsia="Calibri" w:hAnsi="Calibri" w:cs="Times New Roman"/>
          <w:b/>
          <w:sz w:val="20"/>
          <w:szCs w:val="20"/>
        </w:rPr>
        <w:t>Comparability</w:t>
      </w:r>
      <w:r w:rsidRPr="00FC1746">
        <w:rPr>
          <w:rFonts w:ascii="Calibri" w:eastAsia="Calibri" w:hAnsi="Calibri" w:cs="Times New Roman"/>
          <w:sz w:val="20"/>
          <w:szCs w:val="20"/>
        </w:rPr>
        <w:t xml:space="preserve">. Were </w:t>
      </w:r>
      <w:r w:rsidRPr="00FC1746">
        <w:rPr>
          <w:rFonts w:ascii="Calibri" w:eastAsia="Calibri" w:hAnsi="Calibri" w:cs="Times New Roman"/>
          <w:i/>
          <w:sz w:val="20"/>
          <w:szCs w:val="20"/>
        </w:rPr>
        <w:t>excluded</w:t>
      </w:r>
      <w:r w:rsidRPr="00FC1746">
        <w:rPr>
          <w:rFonts w:ascii="Calibri" w:eastAsia="Calibri" w:hAnsi="Calibri" w:cs="Times New Roman"/>
          <w:sz w:val="20"/>
          <w:szCs w:val="20"/>
        </w:rPr>
        <w:t xml:space="preserve"> (or amended) indicators that were based on absolute numbers that do not allow for comparison between countries – for instance the total number of km of paved roads would not be included. Instead the road density was considered, that is, the total number of km of paved road per 100 square km of land area.</w:t>
      </w:r>
    </w:p>
    <w:p w14:paraId="3345224C" w14:textId="77777777" w:rsidR="00AB6F69" w:rsidRPr="00FC1746" w:rsidRDefault="00AB6F69" w:rsidP="00AB6F69">
      <w:pPr>
        <w:spacing w:before="120"/>
        <w:rPr>
          <w:rFonts w:ascii="Calibri" w:eastAsia="Calibri" w:hAnsi="Calibri" w:cs="Times New Roman"/>
          <w:sz w:val="18"/>
          <w:szCs w:val="18"/>
        </w:rPr>
      </w:pPr>
    </w:p>
    <w:p w14:paraId="193E8230" w14:textId="77777777" w:rsidR="00AB6F69" w:rsidRDefault="00AB6F69" w:rsidP="000C02D6">
      <w:pPr>
        <w:spacing w:after="120"/>
        <w:jc w:val="both"/>
        <w:rPr>
          <w:rFonts w:ascii="Calibri" w:eastAsia="Times New Roman" w:hAnsi="Calibri" w:cs="Times New Roman"/>
          <w:sz w:val="20"/>
          <w:szCs w:val="20"/>
          <w:lang w:eastAsia="en-GB"/>
        </w:rPr>
      </w:pPr>
    </w:p>
    <w:sectPr w:rsidR="00AB6F69" w:rsidSect="00232904">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104AD" w14:textId="77777777" w:rsidR="00E42107" w:rsidRDefault="00E42107">
      <w:pPr>
        <w:spacing w:after="0" w:line="240" w:lineRule="auto"/>
      </w:pPr>
      <w:r>
        <w:separator/>
      </w:r>
    </w:p>
  </w:endnote>
  <w:endnote w:type="continuationSeparator" w:id="0">
    <w:p w14:paraId="59A810EA" w14:textId="77777777" w:rsidR="00E42107" w:rsidRDefault="00E4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862188"/>
      <w:docPartObj>
        <w:docPartGallery w:val="Page Numbers (Bottom of Page)"/>
        <w:docPartUnique/>
      </w:docPartObj>
    </w:sdtPr>
    <w:sdtEndPr>
      <w:rPr>
        <w:noProof/>
      </w:rPr>
    </w:sdtEndPr>
    <w:sdtContent>
      <w:p w14:paraId="1E0B06AC" w14:textId="12BDEE02" w:rsidR="00321661" w:rsidRDefault="00321661">
        <w:pPr>
          <w:pStyle w:val="Footer"/>
          <w:jc w:val="right"/>
        </w:pPr>
        <w:r>
          <w:fldChar w:fldCharType="begin"/>
        </w:r>
        <w:r>
          <w:instrText xml:space="preserve"> PAGE   \* MERGEFORMAT </w:instrText>
        </w:r>
        <w:r>
          <w:fldChar w:fldCharType="separate"/>
        </w:r>
        <w:r w:rsidR="00232904">
          <w:rPr>
            <w:noProof/>
          </w:rPr>
          <w:t>1</w:t>
        </w:r>
        <w:r>
          <w:rPr>
            <w:noProof/>
          </w:rPr>
          <w:fldChar w:fldCharType="end"/>
        </w:r>
      </w:p>
    </w:sdtContent>
  </w:sdt>
  <w:p w14:paraId="280BC2A3" w14:textId="77777777" w:rsidR="00321661" w:rsidRDefault="003216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D0D9C" w14:textId="77777777" w:rsidR="00E42107" w:rsidRDefault="00E42107">
      <w:pPr>
        <w:spacing w:after="0" w:line="240" w:lineRule="auto"/>
      </w:pPr>
      <w:r>
        <w:separator/>
      </w:r>
    </w:p>
  </w:footnote>
  <w:footnote w:type="continuationSeparator" w:id="0">
    <w:p w14:paraId="6817C49B" w14:textId="77777777" w:rsidR="00E42107" w:rsidRDefault="00E42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A28EA"/>
    <w:multiLevelType w:val="hybridMultilevel"/>
    <w:tmpl w:val="C79E93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9D11CA"/>
    <w:multiLevelType w:val="hybridMultilevel"/>
    <w:tmpl w:val="63C86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D6"/>
    <w:rsid w:val="00011C79"/>
    <w:rsid w:val="00060AA2"/>
    <w:rsid w:val="0008313B"/>
    <w:rsid w:val="000B608E"/>
    <w:rsid w:val="000C02D6"/>
    <w:rsid w:val="000C11C4"/>
    <w:rsid w:val="000D3ABD"/>
    <w:rsid w:val="000D5DCF"/>
    <w:rsid w:val="001366B8"/>
    <w:rsid w:val="001B5B41"/>
    <w:rsid w:val="001D3608"/>
    <w:rsid w:val="00207C20"/>
    <w:rsid w:val="002225E6"/>
    <w:rsid w:val="00232904"/>
    <w:rsid w:val="002D1F2C"/>
    <w:rsid w:val="00317796"/>
    <w:rsid w:val="00317E4B"/>
    <w:rsid w:val="00321661"/>
    <w:rsid w:val="0035304C"/>
    <w:rsid w:val="00402ABB"/>
    <w:rsid w:val="0044305C"/>
    <w:rsid w:val="004520EB"/>
    <w:rsid w:val="004620D2"/>
    <w:rsid w:val="0049599E"/>
    <w:rsid w:val="004E3D65"/>
    <w:rsid w:val="0050734D"/>
    <w:rsid w:val="00586670"/>
    <w:rsid w:val="00594FD1"/>
    <w:rsid w:val="005A1E5B"/>
    <w:rsid w:val="00616775"/>
    <w:rsid w:val="00690598"/>
    <w:rsid w:val="006B5424"/>
    <w:rsid w:val="00773A99"/>
    <w:rsid w:val="007A3302"/>
    <w:rsid w:val="007A5B84"/>
    <w:rsid w:val="007F471B"/>
    <w:rsid w:val="00811B5D"/>
    <w:rsid w:val="0083015F"/>
    <w:rsid w:val="00862836"/>
    <w:rsid w:val="00866CC1"/>
    <w:rsid w:val="00875A39"/>
    <w:rsid w:val="008B53C1"/>
    <w:rsid w:val="008E4582"/>
    <w:rsid w:val="008F767C"/>
    <w:rsid w:val="009168E8"/>
    <w:rsid w:val="00A43907"/>
    <w:rsid w:val="00A7002E"/>
    <w:rsid w:val="00A8577F"/>
    <w:rsid w:val="00A868CB"/>
    <w:rsid w:val="00AB6F69"/>
    <w:rsid w:val="00B17A8D"/>
    <w:rsid w:val="00B27FD8"/>
    <w:rsid w:val="00B34403"/>
    <w:rsid w:val="00B4454A"/>
    <w:rsid w:val="00B53D1D"/>
    <w:rsid w:val="00B6061F"/>
    <w:rsid w:val="00B71C34"/>
    <w:rsid w:val="00B872FD"/>
    <w:rsid w:val="00CA5C89"/>
    <w:rsid w:val="00D008B8"/>
    <w:rsid w:val="00D57F72"/>
    <w:rsid w:val="00D86C9B"/>
    <w:rsid w:val="00DC17FB"/>
    <w:rsid w:val="00DF4E6F"/>
    <w:rsid w:val="00E00431"/>
    <w:rsid w:val="00E42107"/>
    <w:rsid w:val="00E7508F"/>
    <w:rsid w:val="00E942CB"/>
    <w:rsid w:val="00F479FF"/>
    <w:rsid w:val="00F7263F"/>
    <w:rsid w:val="00F74124"/>
    <w:rsid w:val="00FA197E"/>
    <w:rsid w:val="00FB335F"/>
    <w:rsid w:val="00FE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B5CB"/>
  <w15:chartTrackingRefBased/>
  <w15:docId w15:val="{E6AEE8EC-E463-4009-B427-6F283B09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2D6"/>
  </w:style>
  <w:style w:type="paragraph" w:styleId="Heading2">
    <w:name w:val="heading 2"/>
    <w:basedOn w:val="Normal"/>
    <w:next w:val="Normal"/>
    <w:link w:val="Heading2Char"/>
    <w:qFormat/>
    <w:rsid w:val="00B17A8D"/>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02D6"/>
    <w:rPr>
      <w:sz w:val="16"/>
      <w:szCs w:val="16"/>
    </w:rPr>
  </w:style>
  <w:style w:type="paragraph" w:styleId="CommentText">
    <w:name w:val="annotation text"/>
    <w:basedOn w:val="Normal"/>
    <w:link w:val="CommentTextChar"/>
    <w:uiPriority w:val="99"/>
    <w:semiHidden/>
    <w:unhideWhenUsed/>
    <w:rsid w:val="000C02D6"/>
    <w:pPr>
      <w:spacing w:line="240" w:lineRule="auto"/>
    </w:pPr>
    <w:rPr>
      <w:sz w:val="20"/>
      <w:szCs w:val="20"/>
    </w:rPr>
  </w:style>
  <w:style w:type="character" w:customStyle="1" w:styleId="CommentTextChar">
    <w:name w:val="Comment Text Char"/>
    <w:basedOn w:val="DefaultParagraphFont"/>
    <w:link w:val="CommentText"/>
    <w:uiPriority w:val="99"/>
    <w:semiHidden/>
    <w:rsid w:val="000C02D6"/>
    <w:rPr>
      <w:sz w:val="20"/>
      <w:szCs w:val="20"/>
    </w:rPr>
  </w:style>
  <w:style w:type="paragraph" w:styleId="Footer">
    <w:name w:val="footer"/>
    <w:basedOn w:val="Normal"/>
    <w:link w:val="FooterChar"/>
    <w:uiPriority w:val="99"/>
    <w:unhideWhenUsed/>
    <w:rsid w:val="000C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2D6"/>
  </w:style>
  <w:style w:type="paragraph" w:styleId="BalloonText">
    <w:name w:val="Balloon Text"/>
    <w:basedOn w:val="Normal"/>
    <w:link w:val="BalloonTextChar"/>
    <w:uiPriority w:val="99"/>
    <w:semiHidden/>
    <w:unhideWhenUsed/>
    <w:rsid w:val="000C0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2D6"/>
    <w:rPr>
      <w:rFonts w:ascii="Segoe UI" w:hAnsi="Segoe UI" w:cs="Segoe UI"/>
      <w:sz w:val="18"/>
      <w:szCs w:val="18"/>
    </w:rPr>
  </w:style>
  <w:style w:type="table" w:customStyle="1" w:styleId="TableGrid11">
    <w:name w:val="Table Grid11"/>
    <w:basedOn w:val="TableNormal"/>
    <w:next w:val="TableGrid"/>
    <w:uiPriority w:val="39"/>
    <w:rsid w:val="009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6C9B"/>
    <w:pPr>
      <w:spacing w:after="0" w:line="240" w:lineRule="auto"/>
    </w:pPr>
  </w:style>
  <w:style w:type="character" w:customStyle="1" w:styleId="Heading2Char">
    <w:name w:val="Heading 2 Char"/>
    <w:basedOn w:val="DefaultParagraphFont"/>
    <w:link w:val="Heading2"/>
    <w:rsid w:val="00B17A8D"/>
    <w:rPr>
      <w:rFonts w:ascii="Times New Roman" w:eastAsia="Times New Roman" w:hAnsi="Times New Roman" w:cs="Times New Roman"/>
      <w:b/>
      <w:bCs/>
      <w:color w:val="000000"/>
      <w:kern w:val="28"/>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3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Béné</dc:creator>
  <cp:keywords/>
  <dc:description/>
  <cp:lastModifiedBy>Admin</cp:lastModifiedBy>
  <cp:revision>20</cp:revision>
  <dcterms:created xsi:type="dcterms:W3CDTF">2019-09-13T15:42:00Z</dcterms:created>
  <dcterms:modified xsi:type="dcterms:W3CDTF">2020-03-28T13:29:00Z</dcterms:modified>
</cp:coreProperties>
</file>