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43B1" w14:textId="77777777" w:rsidR="00DB53DB" w:rsidRPr="00D248FB" w:rsidRDefault="003101F1" w:rsidP="003101F1">
      <w:pPr>
        <w:rPr>
          <w:rFonts w:ascii="Arial" w:hAnsi="Arial" w:cs="Arial"/>
          <w:b/>
          <w:sz w:val="36"/>
        </w:rPr>
      </w:pPr>
      <w:r w:rsidRPr="00D248FB">
        <w:rPr>
          <w:rFonts w:ascii="Arial" w:hAnsi="Arial" w:cs="Arial"/>
          <w:b/>
          <w:sz w:val="36"/>
        </w:rPr>
        <w:t xml:space="preserve">Supplementary </w:t>
      </w:r>
      <w:r w:rsidR="00556E65" w:rsidRPr="00D248FB">
        <w:rPr>
          <w:rFonts w:ascii="Arial" w:hAnsi="Arial" w:cs="Arial"/>
          <w:b/>
          <w:sz w:val="36"/>
        </w:rPr>
        <w:t>materials and m</w:t>
      </w:r>
      <w:r w:rsidR="00220DCC" w:rsidRPr="00D248FB">
        <w:rPr>
          <w:rFonts w:ascii="Arial" w:hAnsi="Arial" w:cs="Arial"/>
          <w:b/>
          <w:sz w:val="36"/>
        </w:rPr>
        <w:t>ethods</w:t>
      </w:r>
    </w:p>
    <w:p w14:paraId="03079846" w14:textId="77777777" w:rsidR="003101F1" w:rsidRPr="00D248FB" w:rsidRDefault="003101F1" w:rsidP="003101F1">
      <w:pPr>
        <w:rPr>
          <w:rFonts w:ascii="Arial" w:hAnsi="Arial" w:cs="Arial"/>
          <w:b/>
        </w:rPr>
      </w:pPr>
    </w:p>
    <w:p w14:paraId="55696708" w14:textId="77777777" w:rsidR="00091853" w:rsidRPr="00D248FB" w:rsidRDefault="00091853" w:rsidP="00091853">
      <w:pPr>
        <w:spacing w:line="480" w:lineRule="auto"/>
        <w:jc w:val="both"/>
        <w:rPr>
          <w:rFonts w:ascii="Arial" w:hAnsi="Arial" w:cs="Arial"/>
          <w:i/>
          <w:sz w:val="32"/>
        </w:rPr>
      </w:pPr>
      <w:r w:rsidRPr="00D248FB">
        <w:rPr>
          <w:rFonts w:ascii="Arial" w:hAnsi="Arial" w:cs="Arial"/>
          <w:i/>
          <w:sz w:val="32"/>
        </w:rPr>
        <w:t>In vitro isotope peptide labelling</w:t>
      </w:r>
    </w:p>
    <w:p w14:paraId="47A28130" w14:textId="635A155A" w:rsidR="00091853" w:rsidRPr="00D248FB" w:rsidRDefault="00DB1FEF" w:rsidP="00091853">
      <w:pPr>
        <w:spacing w:line="480" w:lineRule="auto"/>
        <w:jc w:val="both"/>
        <w:rPr>
          <w:rFonts w:ascii="Arial" w:hAnsi="Arial" w:cs="Arial"/>
        </w:rPr>
      </w:pPr>
      <w:r>
        <w:rPr>
          <w:rFonts w:ascii="Arial" w:hAnsi="Arial" w:cs="Arial"/>
        </w:rPr>
        <w:t>4</w:t>
      </w:r>
      <w:r w:rsidR="00091853" w:rsidRPr="00D248FB">
        <w:rPr>
          <w:rFonts w:ascii="Arial" w:hAnsi="Arial" w:cs="Arial"/>
        </w:rPr>
        <w:t>00µg of total extracts from four pooled control (100</w:t>
      </w:r>
      <w:r w:rsidR="00384331" w:rsidRPr="00D248FB">
        <w:rPr>
          <w:rFonts w:ascii="Arial" w:hAnsi="Arial" w:cs="Arial"/>
        </w:rPr>
        <w:t>µ</w:t>
      </w:r>
      <w:r w:rsidR="00091853" w:rsidRPr="00D248FB">
        <w:rPr>
          <w:rFonts w:ascii="Arial" w:hAnsi="Arial" w:cs="Arial"/>
        </w:rPr>
        <w:t>g/each) and four pooled schizophrenia (100</w:t>
      </w:r>
      <w:r w:rsidR="00384331" w:rsidRPr="00D248FB">
        <w:rPr>
          <w:rFonts w:ascii="Arial" w:hAnsi="Arial" w:cs="Arial"/>
        </w:rPr>
        <w:t>µ</w:t>
      </w:r>
      <w:r w:rsidR="00091853" w:rsidRPr="00D248FB">
        <w:rPr>
          <w:rFonts w:ascii="Arial" w:hAnsi="Arial" w:cs="Arial"/>
        </w:rPr>
        <w:t>g/each) lysates were reduced with 5mM dithiothreitol at 56ºC for 30 minutes and alkylated with 15mM iodoacetamide in 50mM Tris pH 8 in the dark at room temperature for 30 minutes. Each extract was digested with 5ng/µL trypsin in Tris 50mM, 1mM CaCl</w:t>
      </w:r>
      <w:r w:rsidR="00091853" w:rsidRPr="00D248FB">
        <w:rPr>
          <w:rFonts w:ascii="Arial" w:hAnsi="Arial" w:cs="Arial"/>
          <w:vertAlign w:val="subscript"/>
        </w:rPr>
        <w:t>2</w:t>
      </w:r>
      <w:r w:rsidR="00091853" w:rsidRPr="00D248FB">
        <w:rPr>
          <w:rFonts w:ascii="Arial" w:hAnsi="Arial" w:cs="Arial"/>
        </w:rPr>
        <w:t xml:space="preserve"> pH 8 at 37ºC for 16 h. Peptides were desalted by reversed-phase in a Sep-Pak C</w:t>
      </w:r>
      <w:r w:rsidR="00091853" w:rsidRPr="00D248FB">
        <w:rPr>
          <w:rFonts w:ascii="Arial" w:hAnsi="Arial" w:cs="Arial"/>
          <w:vertAlign w:val="subscript"/>
        </w:rPr>
        <w:t>18</w:t>
      </w:r>
      <w:r w:rsidR="00091853" w:rsidRPr="00D248FB">
        <w:rPr>
          <w:rFonts w:ascii="Arial" w:hAnsi="Arial" w:cs="Arial"/>
        </w:rPr>
        <w:t xml:space="preserve"> cartridge (100mg, Waters). Peptide mixtures were resuspended in 500 µl of 1M HEPES pH 7.5 and subjected to a reductive dimethylation reaction as described previously</w:t>
      </w:r>
      <w:r w:rsidR="00F570F9" w:rsidRPr="00D248FB">
        <w:rPr>
          <w:rFonts w:ascii="Arial" w:hAnsi="Arial" w:cs="Arial"/>
        </w:rPr>
        <w:t xml:space="preserve"> </w:t>
      </w:r>
      <w:r w:rsidR="0015468F" w:rsidRPr="00D248FB">
        <w:rPr>
          <w:rStyle w:val="Refdenotaalpie"/>
          <w:rFonts w:ascii="Arial" w:hAnsi="Arial" w:cs="Arial"/>
        </w:rPr>
        <w:fldChar w:fldCharType="begin" w:fldLock="1"/>
      </w:r>
      <w:r w:rsidR="003D1ADE" w:rsidRPr="00D248FB">
        <w:rPr>
          <w:rFonts w:ascii="Arial" w:hAnsi="Arial" w:cs="Arial"/>
        </w:rPr>
        <w:instrText>ADDIN CSL_CITATION {"citationItems":[{"id":"ITEM-1","itemData":{"abstract":"The addition of the monosaccharide beta-N-acetyl-D-glucosamine to proteins (O-GlcNAc glycosylation) is an intracellular, post-translational modification that shares features with phosphorylation. Understanding the cellular mechanisms and signaling pathways that regulate O-GlcNAc glycosylation has been challenging because of the difficulty of detecting and quantifying the modification. Here, we describe a new strategy for monitoring the dynamics of O-GlcNAc glycosylation using quantitative mass spectrometry-based proteomics. Our method, which we have termed quantitative isotopic and chemoenzymatic tagging (QUIC-Tag), combines selective, chemoenzymatic tagging of O-GlcNAc proteins with an efficient isotopic labeling strategy. Using the method, we detect changes in O-GlcNAc glycosylation on several proteins involved in the regulation of transcription and mRNA translocation. We also provide the first evidence that O-GlcNAc glycosylation is dynamically modulated by excitatory stimulation of the brain in vivo. Finally, we use electron-transfer dissociation mass spectrometry to identify exact sites of O-GlcNAc modification. Together, our studies suggest that O-GlcNAc glycosylation occurs reversibly in neurons and, akin to phosphorylation, may have important roles in mediating the communication between neurons.","author":[{"dropping-particle":"","family":"Khidekel","given":"N.","non-dropping-particle":"","parse-names":false,"suffix":""},{"dropping-particle":"","family":"Ficarro","given":"S.B.","non-dropping-particle":"","parse-names":false,"suffix":""},{"dropping-particle":"","family":"Clark","given":"P.M.","non-dropping-particle":"","parse-names":false,"suffix":""},{"dropping-particle":"","family":"Bryan","given":"M.C.","non-dropping-particle":"","parse-names":false,"suffix":""},{"dropping-particle":"","family":"Swaney","given":"D.L.","non-dropping-particle":"","parse-names":false,"suffix":""},{"dropping-particle":"","family":"Rexach","given":"J.E.","non-dropping-particle":"","parse-names":false,"suffix":""},{"dropping-particle":"","family":"Sun","given":"Y.E.","non-dropping-particle":"","parse-names":false,"suffix":""},{"dropping-particle":"","family":"Coon","given":"J.J.","non-dropping-particle":"","parse-names":false,"suffix":""},{"dropping-particle":"","family":"Peters","given":"E.C.","non-dropping-particle":"","parse-names":false,"suffix":""},{"dropping-particle":"","family":"Hsieh-Wilson","given":"L.C.","non-dropping-particle":"","parse-names":false,"suffix":""}],"container-title":"Nature Chemical Biology","id":"ITEM-1","issue":"6","issued":{"date-parts":[["2007"]]},"page":"339-348","title":"Probing the dynamics of O-GlcNAc glycosylation in the brain using quantitative proteomics","type":"article-journal","volume":"3"},"uris":["http://www.mendeley.com/documents/?uuid=597d016b-1624-3988-8609-1d8125cfd402"]}],"mendeley":{"formattedCitation":"(Khidekel et al. 2007)","plainTextFormattedCitation":"(Khidekel et al. 2007)","previouslyFormattedCitation":"(Khidekel et al. 2007)"},"properties":{"noteIndex":0},"schema":"https://github.com/citation-style-language/schema/raw/master/csl-citation.json"}</w:instrText>
      </w:r>
      <w:r w:rsidR="0015468F" w:rsidRPr="00D248FB">
        <w:rPr>
          <w:rStyle w:val="Refdenotaalpie"/>
          <w:rFonts w:ascii="Arial" w:hAnsi="Arial" w:cs="Arial"/>
        </w:rPr>
        <w:fldChar w:fldCharType="separate"/>
      </w:r>
      <w:r w:rsidR="003D1ADE" w:rsidRPr="00D248FB">
        <w:rPr>
          <w:rFonts w:ascii="Arial" w:hAnsi="Arial" w:cs="Arial"/>
          <w:bCs/>
        </w:rPr>
        <w:t>(Khidekel et al.</w:t>
      </w:r>
      <w:r w:rsidR="00384331" w:rsidRPr="00D248FB">
        <w:rPr>
          <w:rFonts w:ascii="Arial" w:hAnsi="Arial" w:cs="Arial"/>
          <w:bCs/>
        </w:rPr>
        <w:t>,</w:t>
      </w:r>
      <w:r w:rsidR="003D1ADE" w:rsidRPr="00D248FB">
        <w:rPr>
          <w:rFonts w:ascii="Arial" w:hAnsi="Arial" w:cs="Arial"/>
          <w:bCs/>
        </w:rPr>
        <w:t xml:space="preserve"> 2007)</w:t>
      </w:r>
      <w:r w:rsidR="0015468F" w:rsidRPr="00D248FB">
        <w:rPr>
          <w:rStyle w:val="Refdenotaalpie"/>
          <w:rFonts w:ascii="Arial" w:hAnsi="Arial" w:cs="Arial"/>
        </w:rPr>
        <w:fldChar w:fldCharType="end"/>
      </w:r>
      <w:r w:rsidR="00091853" w:rsidRPr="00D248FB">
        <w:rPr>
          <w:rFonts w:ascii="Arial" w:hAnsi="Arial" w:cs="Arial"/>
        </w:rPr>
        <w:t>. Briefly, 20µl of a 600mM stock of NaCNBH3 or NaCNBD</w:t>
      </w:r>
      <w:r>
        <w:rPr>
          <w:rFonts w:ascii="Arial" w:hAnsi="Arial" w:cs="Arial"/>
        </w:rPr>
        <w:t>3</w:t>
      </w:r>
      <w:r w:rsidR="00091853" w:rsidRPr="00D248FB">
        <w:rPr>
          <w:rFonts w:ascii="Arial" w:hAnsi="Arial" w:cs="Arial"/>
        </w:rPr>
        <w:t xml:space="preserve"> in water and 20µl of 4% aqueous formaldehyde-d0 (light labelling reaction) or 20µl of 4% aqueous formaldehyde-d2 (heavy labelling reaction) for the control or SZ samples respectively were added to the peptide solution, incubated for 10 minutes at room temperature and then quenched by adding 450µl of 10% Trifluoroacetic acid (TFA) (pH&lt;3-4) and incubated for 1 hour. The light and heavy dimethylated peptide solutions were mixed 1:1. Peptides were desalted by reversed-phase in a Sep-Pak C</w:t>
      </w:r>
      <w:r w:rsidR="00091853" w:rsidRPr="00D248FB">
        <w:rPr>
          <w:rFonts w:ascii="Arial" w:hAnsi="Arial" w:cs="Arial"/>
          <w:vertAlign w:val="subscript"/>
        </w:rPr>
        <w:t>18</w:t>
      </w:r>
      <w:r w:rsidR="00091853" w:rsidRPr="00D248FB">
        <w:rPr>
          <w:rFonts w:ascii="Arial" w:hAnsi="Arial" w:cs="Arial"/>
        </w:rPr>
        <w:t xml:space="preserve"> cartridge. Peptide mixtures were resuspended in 5% acetonitrile (ACN) and 4% formic acid. </w:t>
      </w:r>
    </w:p>
    <w:p w14:paraId="4042F2C4" w14:textId="77777777" w:rsidR="00091853" w:rsidRPr="00D248FB" w:rsidRDefault="00091853" w:rsidP="00091853">
      <w:pPr>
        <w:spacing w:line="480" w:lineRule="auto"/>
        <w:jc w:val="both"/>
        <w:rPr>
          <w:rFonts w:ascii="Arial" w:hAnsi="Arial" w:cs="Arial"/>
          <w:i/>
        </w:rPr>
      </w:pPr>
    </w:p>
    <w:p w14:paraId="63682B5B" w14:textId="77777777" w:rsidR="00091853" w:rsidRPr="00D248FB" w:rsidRDefault="00091853" w:rsidP="00091853">
      <w:pPr>
        <w:spacing w:line="480" w:lineRule="auto"/>
        <w:jc w:val="both"/>
        <w:rPr>
          <w:rFonts w:ascii="Arial" w:hAnsi="Arial" w:cs="Arial"/>
          <w:i/>
          <w:sz w:val="32"/>
        </w:rPr>
      </w:pPr>
      <w:r w:rsidRPr="00D248FB">
        <w:rPr>
          <w:rFonts w:ascii="Arial" w:hAnsi="Arial" w:cs="Arial"/>
          <w:i/>
          <w:sz w:val="32"/>
        </w:rPr>
        <w:t>Mass spectrometry analysis</w:t>
      </w:r>
    </w:p>
    <w:p w14:paraId="2E544050" w14:textId="77777777" w:rsidR="00091853" w:rsidRPr="00D248FB" w:rsidRDefault="00091853" w:rsidP="00091853">
      <w:pPr>
        <w:spacing w:line="480" w:lineRule="auto"/>
        <w:jc w:val="both"/>
        <w:rPr>
          <w:rFonts w:ascii="Arial" w:hAnsi="Arial" w:cs="Arial"/>
        </w:rPr>
      </w:pPr>
      <w:r w:rsidRPr="00D248FB">
        <w:rPr>
          <w:rFonts w:ascii="Arial" w:hAnsi="Arial" w:cs="Arial"/>
        </w:rPr>
        <w:t>Dimethylated peptide mixtures were subjected to strong cation exchange chromatography on a polysulphoethyl A column. Twelve fractions were collected over 48</w:t>
      </w:r>
      <w:r w:rsidR="007E0B76" w:rsidRPr="00D248FB">
        <w:rPr>
          <w:rFonts w:ascii="Arial" w:hAnsi="Arial" w:cs="Arial"/>
        </w:rPr>
        <w:t xml:space="preserve"> </w:t>
      </w:r>
      <w:r w:rsidRPr="00D248FB">
        <w:rPr>
          <w:rFonts w:ascii="Arial" w:hAnsi="Arial" w:cs="Arial"/>
        </w:rPr>
        <w:t>min</w:t>
      </w:r>
      <w:r w:rsidR="007E0B76" w:rsidRPr="00D248FB">
        <w:rPr>
          <w:rFonts w:ascii="Arial" w:hAnsi="Arial" w:cs="Arial"/>
        </w:rPr>
        <w:t>utes</w:t>
      </w:r>
      <w:r w:rsidRPr="00D248FB">
        <w:rPr>
          <w:rFonts w:ascii="Arial" w:hAnsi="Arial" w:cs="Arial"/>
        </w:rPr>
        <w:t xml:space="preserve"> in a gradient of KCl in 5mM potassium phosphate, 30% ACN, and dried by vacuum centrifugation. Peptides were resuspended in 1ml 0.1% trifluoroacetic acid, desalted by reversed-phase in a Sep-Pak C</w:t>
      </w:r>
      <w:r w:rsidRPr="00D248FB">
        <w:rPr>
          <w:rFonts w:ascii="Arial" w:hAnsi="Arial" w:cs="Arial"/>
          <w:vertAlign w:val="subscript"/>
        </w:rPr>
        <w:t>18</w:t>
      </w:r>
      <w:r w:rsidRPr="00D248FB">
        <w:rPr>
          <w:rFonts w:ascii="Arial" w:hAnsi="Arial" w:cs="Arial"/>
        </w:rPr>
        <w:t xml:space="preserve"> cartridge and dried by vacuum centrifugation. Peptide mixtures were resuspended in 5% ACN and 4% formic acid for LC-MS/MS analysis. Each peptide fraction was separated by reverse phase chromatography on a capillary column and analysed online on a hybrid linear </w:t>
      </w:r>
      <w:r w:rsidRPr="00D248FB">
        <w:rPr>
          <w:rFonts w:ascii="Arial" w:hAnsi="Arial" w:cs="Arial"/>
        </w:rPr>
        <w:lastRenderedPageBreak/>
        <w:t>ion trap Orbitrap (LTQ-Orbitrap XL, Thermo Scientific) mass spectrometer. For each cycle, one full MS scan acquired at high mass resolution (AGC target = 1</w:t>
      </w:r>
      <w:r w:rsidRPr="00D248FB">
        <w:rPr>
          <w:rFonts w:ascii="Cambria Math" w:hAnsi="Cambria Math" w:cs="Cambria Math"/>
        </w:rPr>
        <w:t> </w:t>
      </w:r>
      <w:r w:rsidRPr="00D248FB">
        <w:rPr>
          <w:rFonts w:ascii="Arial" w:hAnsi="Arial" w:cs="Arial"/>
        </w:rPr>
        <w:t>×</w:t>
      </w:r>
      <w:r w:rsidRPr="00D248FB">
        <w:rPr>
          <w:rFonts w:ascii="Cambria Math" w:hAnsi="Cambria Math" w:cs="Cambria Math"/>
        </w:rPr>
        <w:t> </w:t>
      </w:r>
      <w:r w:rsidRPr="00D248FB">
        <w:rPr>
          <w:rFonts w:ascii="Arial" w:hAnsi="Arial" w:cs="Arial"/>
        </w:rPr>
        <w:t>10</w:t>
      </w:r>
      <w:r w:rsidRPr="00D248FB">
        <w:rPr>
          <w:rFonts w:ascii="Arial" w:hAnsi="Arial" w:cs="Arial"/>
          <w:vertAlign w:val="superscript"/>
        </w:rPr>
        <w:t>6</w:t>
      </w:r>
      <w:r w:rsidRPr="00D248FB">
        <w:rPr>
          <w:rFonts w:ascii="Arial" w:hAnsi="Arial" w:cs="Arial"/>
        </w:rPr>
        <w:t>, maximum ion injection time = 1,000</w:t>
      </w:r>
      <w:r w:rsidRPr="00D248FB">
        <w:rPr>
          <w:rFonts w:ascii="Cambria Math" w:hAnsi="Cambria Math" w:cs="Cambria Math"/>
        </w:rPr>
        <w:t> </w:t>
      </w:r>
      <w:r w:rsidRPr="00D248FB">
        <w:rPr>
          <w:rFonts w:ascii="Arial" w:hAnsi="Arial" w:cs="Arial"/>
        </w:rPr>
        <w:t xml:space="preserve">ms) in the </w:t>
      </w:r>
      <w:r w:rsidR="007E0B76" w:rsidRPr="00D248FB">
        <w:rPr>
          <w:rFonts w:ascii="Arial" w:hAnsi="Arial" w:cs="Arial"/>
        </w:rPr>
        <w:t>O</w:t>
      </w:r>
      <w:r w:rsidRPr="00D248FB">
        <w:rPr>
          <w:rFonts w:ascii="Arial" w:hAnsi="Arial" w:cs="Arial"/>
        </w:rPr>
        <w:t>rbitrap analyser was followed by 10</w:t>
      </w:r>
      <w:r w:rsidRPr="00D248FB">
        <w:rPr>
          <w:rFonts w:ascii="Cambria Math" w:hAnsi="Cambria Math" w:cs="Cambria Math"/>
        </w:rPr>
        <w:t> </w:t>
      </w:r>
      <w:r w:rsidRPr="00D248FB">
        <w:rPr>
          <w:rFonts w:ascii="Arial" w:hAnsi="Arial" w:cs="Arial"/>
        </w:rPr>
        <w:t>MS/MS spectra on the linear ion trap (AGC target = 5</w:t>
      </w:r>
      <w:r w:rsidRPr="00D248FB">
        <w:rPr>
          <w:rFonts w:ascii="Cambria Math" w:hAnsi="Cambria Math" w:cs="Cambria Math"/>
        </w:rPr>
        <w:t> </w:t>
      </w:r>
      <w:r w:rsidRPr="00D248FB">
        <w:rPr>
          <w:rFonts w:ascii="Arial" w:hAnsi="Arial" w:cs="Arial"/>
        </w:rPr>
        <w:t>×</w:t>
      </w:r>
      <w:r w:rsidRPr="00D248FB">
        <w:rPr>
          <w:rFonts w:ascii="Cambria Math" w:hAnsi="Cambria Math" w:cs="Cambria Math"/>
        </w:rPr>
        <w:t> </w:t>
      </w:r>
      <w:r w:rsidRPr="00D248FB">
        <w:rPr>
          <w:rFonts w:ascii="Arial" w:hAnsi="Arial" w:cs="Arial"/>
        </w:rPr>
        <w:t>10</w:t>
      </w:r>
      <w:r w:rsidRPr="00D248FB">
        <w:rPr>
          <w:rFonts w:ascii="Arial" w:hAnsi="Arial" w:cs="Arial"/>
          <w:vertAlign w:val="superscript"/>
        </w:rPr>
        <w:t>3</w:t>
      </w:r>
      <w:r w:rsidRPr="00D248FB">
        <w:rPr>
          <w:rFonts w:ascii="Arial" w:hAnsi="Arial" w:cs="Arial"/>
        </w:rPr>
        <w:t>, maximum ion injection time = 120</w:t>
      </w:r>
      <w:r w:rsidRPr="00D248FB">
        <w:rPr>
          <w:rFonts w:ascii="Cambria Math" w:hAnsi="Cambria Math" w:cs="Cambria Math"/>
        </w:rPr>
        <w:t> </w:t>
      </w:r>
      <w:r w:rsidRPr="00D248FB">
        <w:rPr>
          <w:rFonts w:ascii="Arial" w:hAnsi="Arial" w:cs="Arial"/>
        </w:rPr>
        <w:t>ms) for the ten most abundant ions. Fragmented precursor ions were dynamically excluded from further selection for 35s. Ions were also excluded if their charge was either &lt;2 or unassigned. All spectra were acquired in centroid mode.</w:t>
      </w:r>
    </w:p>
    <w:p w14:paraId="7134195F" w14:textId="77777777" w:rsidR="00091853" w:rsidRPr="00D248FB" w:rsidRDefault="00091853" w:rsidP="00091853">
      <w:pPr>
        <w:spacing w:line="480" w:lineRule="auto"/>
        <w:jc w:val="both"/>
        <w:rPr>
          <w:rFonts w:ascii="Arial" w:hAnsi="Arial" w:cs="Arial"/>
        </w:rPr>
      </w:pPr>
    </w:p>
    <w:p w14:paraId="76BE4952" w14:textId="77777777" w:rsidR="00091853" w:rsidRPr="00D248FB" w:rsidRDefault="00091853" w:rsidP="00091853">
      <w:pPr>
        <w:spacing w:line="480" w:lineRule="auto"/>
        <w:jc w:val="both"/>
        <w:rPr>
          <w:rFonts w:ascii="Arial" w:hAnsi="Arial" w:cs="Arial"/>
          <w:i/>
          <w:sz w:val="32"/>
        </w:rPr>
      </w:pPr>
      <w:r w:rsidRPr="00D248FB">
        <w:rPr>
          <w:rFonts w:ascii="Arial" w:hAnsi="Arial" w:cs="Arial"/>
          <w:i/>
          <w:sz w:val="32"/>
        </w:rPr>
        <w:t>Protein database searches, peptide quantification and data analysis</w:t>
      </w:r>
    </w:p>
    <w:p w14:paraId="7D0FB9B5" w14:textId="142BDED1" w:rsidR="00091853" w:rsidRPr="00D248FB" w:rsidRDefault="00091853" w:rsidP="00091853">
      <w:pPr>
        <w:spacing w:line="480" w:lineRule="auto"/>
        <w:jc w:val="both"/>
        <w:rPr>
          <w:rFonts w:ascii="Arial" w:hAnsi="Arial" w:cs="Arial"/>
        </w:rPr>
      </w:pPr>
      <w:r w:rsidRPr="00D248FB">
        <w:rPr>
          <w:rFonts w:ascii="Arial" w:hAnsi="Arial" w:cs="Arial"/>
        </w:rPr>
        <w:t xml:space="preserve">Raw files were converted to mzXML format using ReAdW 2015.1.0 </w:t>
      </w:r>
      <w:r w:rsidR="007E0B76" w:rsidRPr="00D248FB">
        <w:rPr>
          <w:rFonts w:ascii="Arial" w:hAnsi="Arial" w:cs="Arial"/>
        </w:rPr>
        <w:t>and</w:t>
      </w:r>
      <w:r w:rsidRPr="00D248FB">
        <w:rPr>
          <w:rFonts w:ascii="Arial" w:hAnsi="Arial" w:cs="Arial"/>
        </w:rPr>
        <w:t xml:space="preserve"> default parameters. MS/MS spectra were searched against a concatenated target-decoy </w:t>
      </w:r>
      <w:r w:rsidRPr="00D248FB">
        <w:rPr>
          <w:rFonts w:ascii="Arial" w:eastAsia="Calibri" w:hAnsi="Arial" w:cs="Arial"/>
          <w:bCs/>
          <w:color w:val="000000"/>
        </w:rPr>
        <w:t xml:space="preserve">Uniprot human protein database (UP000005640 version 05-23-2017, n=71,567 target sequences) </w:t>
      </w:r>
      <w:r w:rsidRPr="00D248FB">
        <w:rPr>
          <w:rFonts w:ascii="Arial" w:hAnsi="Arial" w:cs="Arial"/>
        </w:rPr>
        <w:t>using the Comet search algorithm</w:t>
      </w:r>
      <w:r w:rsidR="007E0B76" w:rsidRPr="00D248FB">
        <w:rPr>
          <w:rFonts w:ascii="Arial" w:hAnsi="Arial" w:cs="Arial"/>
        </w:rPr>
        <w:t xml:space="preserve"> (version 2015025)</w:t>
      </w:r>
      <w:r w:rsidRPr="00D248FB">
        <w:rPr>
          <w:rFonts w:ascii="Arial" w:hAnsi="Arial" w:cs="Arial"/>
        </w:rPr>
        <w:t>. Search parameters included full tryptic enzyme specificity with up to two missed cleavages permitted, mass tolerance of 50 ppm for the precursor and 1 Da for fragments ions, fixed modifications of carboxamidomethylation on cysteines (+57.02146) and dimethylation on lysines and peptide N-termini (+28.03130), and as variable modifications methionine oxidation (+15.99491) and the difference between heavy (</w:t>
      </w:r>
      <w:r w:rsidR="00DB1FEF">
        <w:rPr>
          <w:rFonts w:ascii="Arial" w:eastAsia="Arial" w:hAnsi="Arial" w:cs="Arial"/>
        </w:rPr>
        <w:t>6 hydrogen to deuterium</w:t>
      </w:r>
      <w:r w:rsidRPr="00D248FB">
        <w:rPr>
          <w:rFonts w:ascii="Arial" w:hAnsi="Arial" w:cs="Arial"/>
        </w:rPr>
        <w:t xml:space="preserve">) and light dimethyl on lysines and peptide N-termini (+6.03766). The </w:t>
      </w:r>
      <w:r w:rsidR="00DB1FEF">
        <w:rPr>
          <w:rFonts w:ascii="Arial" w:hAnsi="Arial" w:cs="Arial"/>
        </w:rPr>
        <w:t xml:space="preserve">RAW </w:t>
      </w:r>
      <w:r w:rsidRPr="00D248FB">
        <w:rPr>
          <w:rFonts w:ascii="Arial" w:hAnsi="Arial" w:cs="Arial"/>
        </w:rPr>
        <w:t xml:space="preserve">mass spectrometry proteomics data have been deposited </w:t>
      </w:r>
      <w:r w:rsidR="007E0B76" w:rsidRPr="00D248FB">
        <w:rPr>
          <w:rFonts w:ascii="Arial" w:hAnsi="Arial" w:cs="Arial"/>
        </w:rPr>
        <w:t>in</w:t>
      </w:r>
      <w:r w:rsidRPr="00D248FB">
        <w:rPr>
          <w:rFonts w:ascii="Arial" w:hAnsi="Arial" w:cs="Arial"/>
        </w:rPr>
        <w:t xml:space="preserve"> the ProteomeXchange Consortium via the PRIDE</w:t>
      </w:r>
      <w:r w:rsidR="00F570F9" w:rsidRPr="00D248FB">
        <w:rPr>
          <w:rFonts w:ascii="Arial" w:hAnsi="Arial" w:cs="Arial"/>
        </w:rPr>
        <w:t xml:space="preserve"> </w:t>
      </w:r>
      <w:r w:rsidRPr="00D248FB">
        <w:rPr>
          <w:rFonts w:ascii="Arial" w:hAnsi="Arial" w:cs="Arial"/>
        </w:rPr>
        <w:t>partner repository with the dataset identifier PXD008216</w:t>
      </w:r>
      <w:r w:rsidR="007E0B76" w:rsidRPr="00D248FB">
        <w:rPr>
          <w:rFonts w:ascii="Arial" w:hAnsi="Arial" w:cs="Arial"/>
        </w:rPr>
        <w:t xml:space="preserve"> </w:t>
      </w:r>
      <w:r w:rsidR="0015468F" w:rsidRPr="00D248FB">
        <w:rPr>
          <w:rStyle w:val="Refdenotaalpie"/>
          <w:rFonts w:ascii="Arial" w:hAnsi="Arial" w:cs="Arial"/>
        </w:rPr>
        <w:fldChar w:fldCharType="begin" w:fldLock="1"/>
      </w:r>
      <w:r w:rsidR="007E0B76" w:rsidRPr="00D248FB">
        <w:rPr>
          <w:rFonts w:ascii="Arial" w:hAnsi="Arial" w:cs="Arial"/>
        </w:rPr>
        <w:instrText>ADDIN CSL_CITATION {"citationItems":[{"id":"ITEM-1","itemData":{"abstract":"The PRoteomics IDEntifications (PRIDE) database is one of the world-leading data repositories of mass spectrometry (MS)-based proteomics data. Since the beginning of 2014, PRIDE Archive (http://www.ebi.ac.uk/pride/archive/) is the new PRIDE archival system, replacing the original PRIDE database. Here we summarize the developments in PRIDE resources and related tools since the previous update manuscript in the Database Issue in 2013. PRIDE Archive constitutes a complete redevelopment of the original PRIDE, comprising a new storage backend, data submission system and web interface, among other components. PRIDE Archive supports the most-widely used PSI (Proteomics Standards Initiative) data standard formats (mzML and mzIdentML) and implements the data requirements and guidelines of the ProteomeXchange Consortium. The wide adoption of ProteomeXchange within the community has triggered an unprecedented increase in the number of submitted data sets (around 150 data sets per month). We outline some statistics on the current PRIDE Archive data contents. We also report on the status of the PRIDE related stand-alone tools: PRIDE Inspector, PRIDE Converter 2 and the ProteomeXchange submission tool. Finally, we will give a brief update on the resources under development 'PRIDE Cluster' and 'PRIDE Proteomes', which provide a complementary view and quality-scored information of the peptide and protein identification data available in PRIDE Archive.","author":[{"dropping-particle":"","family":"Vizcaíno","given":"J.A.","non-dropping-particle":"","parse-names":false,"suffix":""},{"dropping-particle":"","family":"Csordas","given":"A.","non-dropping-particle":"","parse-names":false,"suffix":""},{"dropping-particle":"","family":"Del-Toro","given":"N.","non-dropping-particle":"","parse-names":false,"suffix":""},{"dropping-particle":"","family":"Dianes","given":"J.A.","non-dropping-particle":"","parse-names":false,"suffix":""},{"dropping-particle":"","family":"Griss","given":"J.","non-dropping-particle":"","parse-names":false,"suffix":""},{"dropping-particle":"","family":"Lavidas","given":"I.","non-dropping-particle":"","parse-names":false,"suffix":""},{"dropping-particle":"","family":"Mayer","given":"G.","non-dropping-particle":"","parse-names":false,"suffix":""},{"dropping-particle":"","family":"Perez-Riverol","given":"Y.","non-dropping-particle":"","parse-names":false,"suffix":""},{"dropping-particle":"","family":"Reisinger","given":"F.","non-dropping-particle":"","parse-names":false,"suffix":""},{"dropping-particle":"","family":"Ternent","given":"T.","non-dropping-particle":"","parse-names":false,"suffix":""},{"dropping-particle":"","family":"Xu","given":"Q.-W.","non-dropping-particle":"","parse-names":false,"suffix":""},{"dropping-particle":"","family":"Wang","given":"R.","non-dropping-particle":"","parse-names":false,"suffix":""},{"dropping-particle":"","family":"Hermjakob","given":"H.","non-dropping-particle":"","parse-names":false,"suffix":""}],"container-title":"Nucleic Acids Research","id":"ITEM-1","issue":"D1","issued":{"date-parts":[["2016"]]},"page":"D447-D456","title":"2016 update of the PRIDE database and its related tools","type":"article-journal","volume":"44"},"uris":["http://www.mendeley.com/documents/?uuid=87e1dcd5-e137-3ef1-af57-000b9d73b547"]}],"mendeley":{"formattedCitation":"(Vizcaíno et al. 2016)","plainTextFormattedCitation":"(Vizcaíno et al. 2016)","previouslyFormattedCitation":"(Vizcaíno et al. 2016)"},"properties":{"noteIndex":0},"schema":"https://github.com/citation-style-language/schema/raw/master/csl-citation.json"}</w:instrText>
      </w:r>
      <w:r w:rsidR="0015468F" w:rsidRPr="00D248FB">
        <w:rPr>
          <w:rStyle w:val="Refdenotaalpie"/>
          <w:rFonts w:ascii="Arial" w:hAnsi="Arial" w:cs="Arial"/>
        </w:rPr>
        <w:fldChar w:fldCharType="separate"/>
      </w:r>
      <w:r w:rsidR="007E0B76" w:rsidRPr="00D248FB">
        <w:rPr>
          <w:rFonts w:ascii="Arial" w:hAnsi="Arial" w:cs="Arial"/>
          <w:bCs/>
        </w:rPr>
        <w:t>(Vizcaíno et al. 2016)</w:t>
      </w:r>
      <w:r w:rsidR="0015468F" w:rsidRPr="00D248FB">
        <w:rPr>
          <w:rStyle w:val="Refdenotaalpie"/>
          <w:rFonts w:ascii="Arial" w:hAnsi="Arial" w:cs="Arial"/>
        </w:rPr>
        <w:fldChar w:fldCharType="end"/>
      </w:r>
      <w:r w:rsidRPr="00D248FB">
        <w:rPr>
          <w:rFonts w:ascii="Arial" w:hAnsi="Arial" w:cs="Arial"/>
        </w:rPr>
        <w:t xml:space="preserve">. Peptide matches were filtered to &lt;1% false-discovery rate, </w:t>
      </w:r>
      <w:r w:rsidR="007E0B76" w:rsidRPr="00D248FB">
        <w:rPr>
          <w:rFonts w:ascii="Arial" w:hAnsi="Arial" w:cs="Arial"/>
        </w:rPr>
        <w:t xml:space="preserve">the </w:t>
      </w:r>
      <w:r w:rsidRPr="00D248FB">
        <w:rPr>
          <w:rFonts w:ascii="Arial" w:hAnsi="Arial" w:cs="Arial"/>
        </w:rPr>
        <w:t xml:space="preserve">accepted threshold in the field, using the target-decoy database strategy and Percolator 3.1.2. Protein inference was carried out using Protein Prophet (contained in the Trans Proteomic Pipeline </w:t>
      </w:r>
      <w:r w:rsidRPr="00DB1FEF">
        <w:rPr>
          <w:rFonts w:ascii="Arial" w:hAnsi="Arial" w:cs="Arial"/>
        </w:rPr>
        <w:t>v4.8.0</w:t>
      </w:r>
      <w:r w:rsidRPr="00D248FB">
        <w:rPr>
          <w:rFonts w:ascii="Arial" w:hAnsi="Arial" w:cs="Arial"/>
          <w:color w:val="212121"/>
          <w:sz w:val="20"/>
          <w:szCs w:val="20"/>
          <w:shd w:val="clear" w:color="auto" w:fill="FFFFFF"/>
        </w:rPr>
        <w:t>)</w:t>
      </w:r>
      <w:r w:rsidR="000832F2" w:rsidRPr="00D248FB">
        <w:rPr>
          <w:rFonts w:ascii="Arial" w:hAnsi="Arial" w:cs="Arial"/>
        </w:rPr>
        <w:t xml:space="preserve"> and</w:t>
      </w:r>
      <w:r w:rsidRPr="00D248FB">
        <w:rPr>
          <w:rFonts w:ascii="Arial" w:hAnsi="Arial" w:cs="Arial"/>
        </w:rPr>
        <w:t xml:space="preserve"> protein groups were filtered at ≥90 % probability score. Peptides were quantified using in-house software by peak-area integration, heavy and light </w:t>
      </w:r>
      <w:r w:rsidRPr="00D248FB">
        <w:rPr>
          <w:rFonts w:ascii="Arial" w:hAnsi="Arial" w:cs="Arial"/>
        </w:rPr>
        <w:lastRenderedPageBreak/>
        <w:t>peptide intensities were combined for every protein group and a log</w:t>
      </w:r>
      <w:r w:rsidRPr="00D248FB">
        <w:rPr>
          <w:rFonts w:ascii="Arial" w:hAnsi="Arial" w:cs="Arial"/>
          <w:vertAlign w:val="subscript"/>
        </w:rPr>
        <w:t>2</w:t>
      </w:r>
      <w:r w:rsidRPr="00D248FB">
        <w:rPr>
          <w:rFonts w:ascii="Arial" w:hAnsi="Arial" w:cs="Arial"/>
        </w:rPr>
        <w:t xml:space="preserve"> heavy/light ratio determined</w:t>
      </w:r>
      <w:r w:rsidR="005010DA" w:rsidRPr="00D248FB">
        <w:rPr>
          <w:rFonts w:ascii="Arial" w:hAnsi="Arial" w:cs="Arial"/>
        </w:rPr>
        <w:t xml:space="preserve"> (Supplementary Data 1)</w:t>
      </w:r>
      <w:r w:rsidRPr="00D248FB">
        <w:rPr>
          <w:rFonts w:ascii="Arial" w:hAnsi="Arial" w:cs="Arial"/>
        </w:rPr>
        <w:t xml:space="preserve">. </w:t>
      </w:r>
    </w:p>
    <w:p w14:paraId="5F545CBF" w14:textId="451DEAC4" w:rsidR="00091853" w:rsidRPr="00D248FB" w:rsidRDefault="00091853" w:rsidP="00091853">
      <w:pPr>
        <w:spacing w:line="480" w:lineRule="auto"/>
        <w:ind w:firstLine="709"/>
        <w:jc w:val="both"/>
        <w:rPr>
          <w:rFonts w:ascii="Arial" w:eastAsia="Calibri" w:hAnsi="Arial" w:cs="Arial"/>
          <w:bCs/>
          <w:color w:val="000000"/>
        </w:rPr>
      </w:pPr>
      <w:r w:rsidRPr="00D248FB">
        <w:rPr>
          <w:rFonts w:ascii="Arial" w:hAnsi="Arial" w:cs="Arial"/>
        </w:rPr>
        <w:t>The log</w:t>
      </w:r>
      <w:r w:rsidRPr="00D248FB">
        <w:rPr>
          <w:rFonts w:ascii="Arial" w:hAnsi="Arial" w:cs="Arial"/>
          <w:vertAlign w:val="subscript"/>
        </w:rPr>
        <w:t>2</w:t>
      </w:r>
      <w:r w:rsidRPr="00D248FB">
        <w:rPr>
          <w:rFonts w:ascii="Arial" w:hAnsi="Arial" w:cs="Arial"/>
        </w:rPr>
        <w:t xml:space="preserve"> heavy/light ratio for each protein was transformed to a z-score for asymmetrical standard deviations of the main distribution as described previously</w:t>
      </w:r>
      <w:r w:rsidR="00F570F9" w:rsidRPr="00D248FB">
        <w:rPr>
          <w:rFonts w:ascii="Arial" w:hAnsi="Arial" w:cs="Arial"/>
        </w:rPr>
        <w:t xml:space="preserve"> </w:t>
      </w:r>
      <w:r w:rsidR="0015468F" w:rsidRPr="00D248FB">
        <w:rPr>
          <w:rStyle w:val="Refdenotaalpie"/>
          <w:rFonts w:ascii="Arial" w:hAnsi="Arial" w:cs="Arial"/>
        </w:rPr>
        <w:fldChar w:fldCharType="begin" w:fldLock="1"/>
      </w:r>
      <w:r w:rsidR="003D1ADE" w:rsidRPr="00D248FB">
        <w:rPr>
          <w:rFonts w:ascii="Arial" w:hAnsi="Arial" w:cs="Arial"/>
        </w:rPr>
        <w:instrText>ADDIN CSL_CITATION {"citationItems":[{"id":"ITEM-1","itemData":{"abstract":"Embryonic stem (ES) cells are pluripotent cells isolated from mammalian preimplantation embryos. They are capable of differentiating into all cell types and therefore hold great promise in regenerative medicine. Here we show that murine ES cells can be fully SILAC (stable isotope labeling by amino acids in cell culture)-labeled when grown feeder-free during the last phase of cell culture. We fractionated the SILAC-labeled ES cell proteome by one-dimensional gel electrophoresis and by isoelectric focusing of peptides. High resolution analysis on a linear ion trap-orbitrap instrument (LTQ-Orbitrap) at sub-ppm mass accuracy resulted in confident identification and quantitation of more than 5,000 distinct proteins. This is the largest quantified proteome reported to date and contains prominent stem cell markers such as OCT4, NANOG, SOX2, and UTF1 along with the embryonic form of RAS (ERAS). We also quantified the proportion of the ES cell proteome present in cytosolic, nucleoplasmic, and membrane/chromatin fractions. We compared two different preparation approaches, cell fractionation followed by one-dimensional gel separation and in-solution digestion of total cell lysate combined with isoelectric focusing, and found comparable proteome coverage with no apparent bias for any functional protein classes for either approach. Bioinformatics analysis of the ES cell proteome revealed a broad distribution of cellular functions with overrepresentation of proteins involved in proliferation. We compared the proteome with a recently published map of chromatin states of promoters in ES cells and found excellent correlation between protein expression and the presence of active and repressive chromatin marks.","author":[{"dropping-particle":"","family":"Graumann","given":"J.","non-dropping-particle":"","parse-names":false,"suffix":""},{"dropping-particle":"","family":"Hubner","given":"N.C.","non-dropping-particle":"","parse-names":false,"suffix":""},{"dropping-particle":"","family":"Kim","given":"J.B.","non-dropping-particle":"","parse-names":false,"suffix":""},{"dropping-particle":"","family":"Ko","given":"K.","non-dropping-particle":"","parse-names":false,"suffix":""},{"dropping-particle":"","family":"Moser","given":"M.","non-dropping-particle":"","parse-names":false,"suffix":""},{"dropping-particle":"","family":"Kumar","given":"C.","non-dropping-particle":"","parse-names":false,"suffix":""},{"dropping-particle":"","family":"Cox","given":"J.","non-dropping-particle":"","parse-names":false,"suffix":""},{"dropping-particle":"","family":"Schöler","given":"H.","non-dropping-particle":"","parse-names":false,"suffix":""},{"dropping-particle":"","family":"Mann","given":"M.","non-dropping-particle":"","parse-names":false,"suffix":""}],"container-title":"Molecular &amp; Cellular Proteomics","id":"ITEM-1","issue":"4","issued":{"date-parts":[["2008"]]},"page":"672-683","title":"Stable isotope labeling by amino acids in cell culture (SILAC) and proteome quantitation of mouse embryonic stem cells to a depth of 5,111 proteins","type":"article-journal","volume":"7"},"uris":["http://www.mendeley.com/documents/?uuid=10a673d3-e24f-37dd-ab0a-bc25c9631121"]}],"mendeley":{"formattedCitation":"(Graumann et al. 2008)","plainTextFormattedCitation":"(Graumann et al. 2008)","previouslyFormattedCitation":"(Graumann et al. 2008)"},"properties":{"noteIndex":0},"schema":"https://github.com/citation-style-language/schema/raw/master/csl-citation.json"}</w:instrText>
      </w:r>
      <w:r w:rsidR="0015468F" w:rsidRPr="00D248FB">
        <w:rPr>
          <w:rStyle w:val="Refdenotaalpie"/>
          <w:rFonts w:ascii="Arial" w:hAnsi="Arial" w:cs="Arial"/>
        </w:rPr>
        <w:fldChar w:fldCharType="separate"/>
      </w:r>
      <w:r w:rsidR="003D1ADE" w:rsidRPr="00D248FB">
        <w:rPr>
          <w:rFonts w:ascii="Arial" w:hAnsi="Arial" w:cs="Arial"/>
          <w:bCs/>
        </w:rPr>
        <w:t>(Graumann et al. 2008)</w:t>
      </w:r>
      <w:r w:rsidR="0015468F" w:rsidRPr="00D248FB">
        <w:rPr>
          <w:rStyle w:val="Refdenotaalpie"/>
          <w:rFonts w:ascii="Arial" w:hAnsi="Arial" w:cs="Arial"/>
        </w:rPr>
        <w:fldChar w:fldCharType="end"/>
      </w:r>
      <w:r w:rsidR="00F570F9" w:rsidRPr="00D248FB">
        <w:rPr>
          <w:rFonts w:ascii="Arial" w:hAnsi="Arial" w:cs="Arial"/>
        </w:rPr>
        <w:t>.</w:t>
      </w:r>
      <w:r w:rsidRPr="00D248FB">
        <w:rPr>
          <w:rFonts w:ascii="Arial" w:hAnsi="Arial" w:cs="Arial"/>
        </w:rPr>
        <w:t xml:space="preserve"> A</w:t>
      </w:r>
      <w:r w:rsidRPr="00D248FB">
        <w:rPr>
          <w:rFonts w:ascii="Arial" w:eastAsia="Calibri" w:hAnsi="Arial" w:cs="Arial"/>
          <w:bCs/>
          <w:color w:val="000000"/>
        </w:rPr>
        <w:t xml:space="preserve"> significa</w:t>
      </w:r>
      <w:r w:rsidR="00960FA0" w:rsidRPr="00D248FB">
        <w:rPr>
          <w:rFonts w:ascii="Arial" w:eastAsia="Calibri" w:hAnsi="Arial" w:cs="Arial"/>
          <w:bCs/>
          <w:color w:val="000000"/>
        </w:rPr>
        <w:t>nce value (p-</w:t>
      </w:r>
      <w:r w:rsidRPr="00D248FB">
        <w:rPr>
          <w:rFonts w:ascii="Arial" w:eastAsia="Calibri" w:hAnsi="Arial" w:cs="Arial"/>
          <w:bCs/>
          <w:color w:val="000000"/>
        </w:rPr>
        <w:t xml:space="preserve">value) for each protein ratio was calculated from the complementary error function for the normalized distribution of the z-scores. </w:t>
      </w:r>
      <w:r w:rsidRPr="00D248FB">
        <w:rPr>
          <w:rFonts w:ascii="Arial" w:hAnsi="Arial" w:cs="Arial"/>
        </w:rPr>
        <w:t xml:space="preserve">To minimize the risk of type I errors and to estimate the proportion of true null hypotheses in our study, a False Discovery Rate (FDR) using the Benjamini and Hochberg method </w:t>
      </w:r>
      <w:r w:rsidR="0015468F" w:rsidRPr="00D248FB">
        <w:rPr>
          <w:rStyle w:val="Refdenotaalpie"/>
          <w:rFonts w:ascii="Arial" w:hAnsi="Arial" w:cs="Arial"/>
        </w:rPr>
        <w:fldChar w:fldCharType="begin" w:fldLock="1"/>
      </w:r>
      <w:r w:rsidR="003D1ADE" w:rsidRPr="00D248FB">
        <w:rPr>
          <w:rFonts w:ascii="Arial" w:hAnsi="Arial" w:cs="Arial"/>
        </w:rPr>
        <w:instrText>ADDIN CSL_CITATION {"citationItems":[{"id":"ITEM-1","itemData":{"abstract":"The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 Roy Stat Soc Ser B","id":"ITEM-1","issued":{"date-parts":[["1995"]]},"page":"289-300","title":"Controlling the false discovery rate: a practical and powerful approach to multiple testing","type":"article","volume":"57"},"uris":["http://www.mendeley.com/documents/?uuid=9806ee3d-2af6-3d94-a9ab-da5cf3c60cbb"]}],"mendeley":{"formattedCitation":"(Benjamini and Hochberg 1995)","plainTextFormattedCitation":"(Benjamini and Hochberg 1995)","previouslyFormattedCitation":"(Benjamini and Hochberg 1995)"},"properties":{"noteIndex":0},"schema":"https://github.com/citation-style-language/schema/raw/master/csl-citation.json"}</w:instrText>
      </w:r>
      <w:r w:rsidR="0015468F" w:rsidRPr="00D248FB">
        <w:rPr>
          <w:rStyle w:val="Refdenotaalpie"/>
          <w:rFonts w:ascii="Arial" w:hAnsi="Arial" w:cs="Arial"/>
        </w:rPr>
        <w:fldChar w:fldCharType="separate"/>
      </w:r>
      <w:r w:rsidR="003D1ADE" w:rsidRPr="00D248FB">
        <w:rPr>
          <w:rFonts w:ascii="Arial" w:hAnsi="Arial" w:cs="Arial"/>
        </w:rPr>
        <w:t>(Benjamini and Hochberg 1995)</w:t>
      </w:r>
      <w:r w:rsidR="0015468F" w:rsidRPr="00D248FB">
        <w:rPr>
          <w:rStyle w:val="Refdenotaalpie"/>
          <w:rFonts w:ascii="Arial" w:hAnsi="Arial" w:cs="Arial"/>
        </w:rPr>
        <w:fldChar w:fldCharType="end"/>
      </w:r>
      <w:r w:rsidRPr="00D248FB">
        <w:rPr>
          <w:rFonts w:ascii="Arial" w:hAnsi="Arial" w:cs="Arial"/>
        </w:rPr>
        <w:t xml:space="preserve"> was also computed for all the p</w:t>
      </w:r>
      <w:r w:rsidR="00D248FB" w:rsidRPr="00D248FB">
        <w:rPr>
          <w:rFonts w:ascii="Arial" w:hAnsi="Arial" w:cs="Arial"/>
        </w:rPr>
        <w:t>-</w:t>
      </w:r>
      <w:r w:rsidRPr="00D248FB">
        <w:rPr>
          <w:rFonts w:ascii="Arial" w:hAnsi="Arial" w:cs="Arial"/>
        </w:rPr>
        <w:t xml:space="preserve">values. </w:t>
      </w:r>
      <w:r w:rsidR="00594995" w:rsidRPr="00D248FB">
        <w:rPr>
          <w:rFonts w:ascii="Arial" w:hAnsi="Arial" w:cs="Arial"/>
        </w:rPr>
        <w:t xml:space="preserve">The </w:t>
      </w:r>
      <w:r w:rsidRPr="00D248FB">
        <w:rPr>
          <w:rFonts w:ascii="Arial" w:hAnsi="Arial" w:cs="Arial"/>
        </w:rPr>
        <w:t xml:space="preserve">FDR threshold was set at 0.1. </w:t>
      </w:r>
      <w:r w:rsidR="00E316A9" w:rsidRPr="00D248FB">
        <w:rPr>
          <w:rFonts w:ascii="Arial" w:eastAsia="Calibri" w:hAnsi="Arial" w:cs="Arial"/>
          <w:bCs/>
          <w:color w:val="000000"/>
        </w:rPr>
        <w:t>S</w:t>
      </w:r>
      <w:r w:rsidRPr="00D248FB">
        <w:rPr>
          <w:rFonts w:ascii="Arial" w:eastAsia="Calibri" w:hAnsi="Arial" w:cs="Arial"/>
          <w:bCs/>
          <w:color w:val="000000"/>
        </w:rPr>
        <w:t xml:space="preserve">ignificant proteins with consistent changes amongst peptides were </w:t>
      </w:r>
      <w:r w:rsidR="00E316A9" w:rsidRPr="00D248FB">
        <w:rPr>
          <w:rFonts w:ascii="Arial" w:eastAsia="Calibri" w:hAnsi="Arial" w:cs="Arial"/>
          <w:bCs/>
          <w:color w:val="000000"/>
        </w:rPr>
        <w:t xml:space="preserve">then </w:t>
      </w:r>
      <w:r w:rsidRPr="00D248FB">
        <w:rPr>
          <w:rFonts w:ascii="Arial" w:eastAsia="Calibri" w:hAnsi="Arial" w:cs="Arial"/>
          <w:bCs/>
          <w:color w:val="000000"/>
        </w:rPr>
        <w:t xml:space="preserve">selected. Proteins were classified </w:t>
      </w:r>
      <w:r w:rsidR="00E316A9" w:rsidRPr="00D248FB">
        <w:rPr>
          <w:rFonts w:ascii="Arial" w:eastAsia="Calibri" w:hAnsi="Arial" w:cs="Arial"/>
          <w:bCs/>
          <w:color w:val="000000"/>
        </w:rPr>
        <w:t>according to</w:t>
      </w:r>
      <w:r w:rsidRPr="00D248FB">
        <w:rPr>
          <w:rFonts w:ascii="Arial" w:eastAsia="Calibri" w:hAnsi="Arial" w:cs="Arial"/>
          <w:bCs/>
          <w:color w:val="000000"/>
        </w:rPr>
        <w:t xml:space="preserve"> their biological function using the Human Protein Reference Database (HPRD-http://www.hprd.org). Up-regulated proteins were those with a z-score &gt;0 and a</w:t>
      </w:r>
      <w:r w:rsidR="00E316A9" w:rsidRPr="00D248FB">
        <w:rPr>
          <w:rFonts w:ascii="Arial" w:eastAsia="Calibri" w:hAnsi="Arial" w:cs="Arial"/>
          <w:bCs/>
          <w:color w:val="000000"/>
        </w:rPr>
        <w:t>n</w:t>
      </w:r>
      <w:r w:rsidRPr="00D248FB">
        <w:rPr>
          <w:rFonts w:ascii="Arial" w:eastAsia="Calibri" w:hAnsi="Arial" w:cs="Arial"/>
          <w:bCs/>
          <w:color w:val="000000"/>
        </w:rPr>
        <w:t xml:space="preserve"> FDR p</w:t>
      </w:r>
      <w:r w:rsidR="00D248FB" w:rsidRPr="00D248FB">
        <w:rPr>
          <w:rFonts w:ascii="Arial" w:eastAsia="Calibri" w:hAnsi="Arial" w:cs="Arial"/>
          <w:bCs/>
          <w:color w:val="000000"/>
        </w:rPr>
        <w:t>-</w:t>
      </w:r>
      <w:r w:rsidRPr="00D248FB">
        <w:rPr>
          <w:rFonts w:ascii="Arial" w:eastAsia="Calibri" w:hAnsi="Arial" w:cs="Arial"/>
          <w:bCs/>
          <w:color w:val="000000"/>
        </w:rPr>
        <w:t>value &lt;0.1 and down-regulated proteins were those with a z-score &lt;0 and</w:t>
      </w:r>
      <w:r w:rsidR="00E316A9" w:rsidRPr="00D248FB">
        <w:rPr>
          <w:rFonts w:ascii="Arial" w:eastAsia="Calibri" w:hAnsi="Arial" w:cs="Arial"/>
          <w:bCs/>
          <w:color w:val="000000"/>
        </w:rPr>
        <w:t xml:space="preserve"> an</w:t>
      </w:r>
      <w:r w:rsidRPr="00D248FB">
        <w:rPr>
          <w:rFonts w:ascii="Arial" w:eastAsia="Calibri" w:hAnsi="Arial" w:cs="Arial"/>
          <w:bCs/>
          <w:color w:val="000000"/>
        </w:rPr>
        <w:t xml:space="preserve"> FDR p</w:t>
      </w:r>
      <w:r w:rsidR="00D248FB" w:rsidRPr="00D248FB">
        <w:rPr>
          <w:rFonts w:ascii="Arial" w:eastAsia="Calibri" w:hAnsi="Arial" w:cs="Arial"/>
          <w:bCs/>
          <w:color w:val="000000"/>
        </w:rPr>
        <w:t>-</w:t>
      </w:r>
      <w:r w:rsidRPr="00D248FB">
        <w:rPr>
          <w:rFonts w:ascii="Arial" w:eastAsia="Calibri" w:hAnsi="Arial" w:cs="Arial"/>
          <w:bCs/>
          <w:color w:val="000000"/>
        </w:rPr>
        <w:t xml:space="preserve">value &lt;0.1. From these significantly altered proteins a panel of candidate proteins was then selected to be further validated by immunoblot following these criteria: (i) the change had been identified in more than 4 peptides; (ii) a greater than 2-fold increase or </w:t>
      </w:r>
      <w:r w:rsidR="00431265" w:rsidRPr="00D248FB">
        <w:rPr>
          <w:rFonts w:ascii="Arial" w:eastAsia="Calibri" w:hAnsi="Arial" w:cs="Arial"/>
          <w:bCs/>
          <w:color w:val="000000"/>
        </w:rPr>
        <w:t>decrease.</w:t>
      </w:r>
    </w:p>
    <w:p w14:paraId="4276FF4D" w14:textId="77777777" w:rsidR="00D342F3" w:rsidRPr="00D248FB" w:rsidRDefault="00D342F3"/>
    <w:p w14:paraId="6A2D06BC" w14:textId="77777777" w:rsidR="000C2D26" w:rsidRPr="00D248FB" w:rsidRDefault="000C2D26">
      <w:pPr>
        <w:spacing w:after="200" w:line="276" w:lineRule="auto"/>
        <w:rPr>
          <w:b/>
        </w:rPr>
      </w:pPr>
      <w:r w:rsidRPr="00D248FB">
        <w:rPr>
          <w:b/>
        </w:rPr>
        <w:br w:type="page"/>
      </w:r>
    </w:p>
    <w:p w14:paraId="5C684B5D" w14:textId="77777777" w:rsidR="000C2D26" w:rsidRPr="00D248FB" w:rsidRDefault="000C2D26" w:rsidP="000C2D26">
      <w:pPr>
        <w:spacing w:after="200" w:line="276" w:lineRule="auto"/>
        <w:rPr>
          <w:rFonts w:ascii="Arial" w:hAnsi="Arial" w:cs="Arial"/>
          <w:b/>
          <w:sz w:val="36"/>
        </w:rPr>
      </w:pPr>
      <w:r w:rsidRPr="00D248FB">
        <w:rPr>
          <w:rFonts w:ascii="Arial" w:hAnsi="Arial" w:cs="Arial"/>
          <w:b/>
          <w:sz w:val="36"/>
        </w:rPr>
        <w:lastRenderedPageBreak/>
        <w:t>Supplementary references</w:t>
      </w:r>
    </w:p>
    <w:p w14:paraId="28200C4C"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b/>
          <w:u w:val="single"/>
        </w:rPr>
        <w:fldChar w:fldCharType="begin" w:fldLock="1"/>
      </w:r>
      <w:r w:rsidRPr="00D248FB">
        <w:rPr>
          <w:rFonts w:ascii="Arial" w:hAnsi="Arial" w:cs="Arial"/>
          <w:b/>
          <w:u w:val="single"/>
        </w:rPr>
        <w:instrText xml:space="preserve">ADDIN Mendeley Bibliography CSL_BIBLIOGRAPHY </w:instrText>
      </w:r>
      <w:r w:rsidRPr="00D248FB">
        <w:rPr>
          <w:rFonts w:ascii="Arial" w:hAnsi="Arial" w:cs="Arial"/>
          <w:b/>
          <w:u w:val="single"/>
        </w:rPr>
        <w:fldChar w:fldCharType="separate"/>
      </w:r>
      <w:r w:rsidRPr="00D248FB">
        <w:rPr>
          <w:rFonts w:ascii="Arial" w:hAnsi="Arial" w:cs="Arial"/>
          <w:szCs w:val="24"/>
        </w:rPr>
        <w:t xml:space="preserve">Behan, Á. T., C. Byrne, M. J. Dunn, G. Cagney, and D. R. Cotter. 2009. “Proteomic Analysis of Membrane Microdomain-Associated Proteins in the Dorsolateral Prefrontal Cortex in Schizophrenia and Bipolar Disorder Reveals Alterations in LAMP, STXBP1 and BASP1 Protein Expression.” </w:t>
      </w:r>
      <w:r w:rsidRPr="00D248FB">
        <w:rPr>
          <w:rFonts w:ascii="Arial" w:hAnsi="Arial" w:cs="Arial"/>
          <w:i/>
          <w:iCs/>
          <w:szCs w:val="24"/>
        </w:rPr>
        <w:t>Molecular Psychiatry</w:t>
      </w:r>
      <w:r w:rsidRPr="00D248FB">
        <w:rPr>
          <w:rFonts w:ascii="Arial" w:hAnsi="Arial" w:cs="Arial"/>
          <w:szCs w:val="24"/>
        </w:rPr>
        <w:t xml:space="preserve"> 14(6):601–13.</w:t>
      </w:r>
    </w:p>
    <w:p w14:paraId="70848D75"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Benjamini, Y. and Y. Hochberg. 1995. “Controlling the False Discovery Rate: A Practical and Powerful Approach to Multiple Testing.” </w:t>
      </w:r>
      <w:r w:rsidRPr="00D248FB">
        <w:rPr>
          <w:rFonts w:ascii="Arial" w:hAnsi="Arial" w:cs="Arial"/>
          <w:i/>
          <w:iCs/>
          <w:szCs w:val="24"/>
        </w:rPr>
        <w:t>J Roy Stat Soc Ser B</w:t>
      </w:r>
      <w:r w:rsidRPr="00D248FB">
        <w:rPr>
          <w:rFonts w:ascii="Arial" w:hAnsi="Arial" w:cs="Arial"/>
          <w:szCs w:val="24"/>
        </w:rPr>
        <w:t xml:space="preserve"> 57:289–300.</w:t>
      </w:r>
    </w:p>
    <w:p w14:paraId="2833B725"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Chan, M. K., T. M. Tsang, L. W. Harris, P. C. Guest, E. Holmes, and S. Bahn. 2011. “Evidence for Disease and Antipsychotic Medication Effects in Post-Mortem Brain from Schizophrenia Patients.” </w:t>
      </w:r>
      <w:r w:rsidRPr="00D248FB">
        <w:rPr>
          <w:rFonts w:ascii="Arial" w:hAnsi="Arial" w:cs="Arial"/>
          <w:i/>
          <w:iCs/>
          <w:szCs w:val="24"/>
        </w:rPr>
        <w:t>Molecular Psychiatry</w:t>
      </w:r>
      <w:r w:rsidRPr="00D248FB">
        <w:rPr>
          <w:rFonts w:ascii="Arial" w:hAnsi="Arial" w:cs="Arial"/>
          <w:szCs w:val="24"/>
        </w:rPr>
        <w:t xml:space="preserve"> 16(12):1189–1202.</w:t>
      </w:r>
    </w:p>
    <w:p w14:paraId="6305C0CF"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Clark, D., I. Dedova, S. Cordwell, and I. Matsumoto. 2006. “A Proteome Analysis of the Anterior Cingulate Cortex Gray Matter in Schizophrenia.” </w:t>
      </w:r>
      <w:r w:rsidRPr="00D248FB">
        <w:rPr>
          <w:rFonts w:ascii="Arial" w:hAnsi="Arial" w:cs="Arial"/>
          <w:i/>
          <w:iCs/>
          <w:szCs w:val="24"/>
        </w:rPr>
        <w:t>Molecular Psychiatry</w:t>
      </w:r>
      <w:r w:rsidRPr="00D248FB">
        <w:rPr>
          <w:rFonts w:ascii="Arial" w:hAnsi="Arial" w:cs="Arial"/>
          <w:szCs w:val="24"/>
        </w:rPr>
        <w:t xml:space="preserve"> 11(5):459–70.</w:t>
      </w:r>
    </w:p>
    <w:p w14:paraId="6EC2B224"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English, J. A., P. Dicker, M. Föcking, M. J. Dunn, and D. R. Cotter. 2009. “2-D DIGE Analysis Implicates Cytoskeletal Abnormalities in Psychiatric Disease.” </w:t>
      </w:r>
      <w:r w:rsidRPr="00D248FB">
        <w:rPr>
          <w:rFonts w:ascii="Arial" w:hAnsi="Arial" w:cs="Arial"/>
          <w:i/>
          <w:iCs/>
          <w:szCs w:val="24"/>
        </w:rPr>
        <w:t>PROTEOMICS</w:t>
      </w:r>
      <w:r w:rsidRPr="00D248FB">
        <w:rPr>
          <w:rFonts w:ascii="Arial" w:hAnsi="Arial" w:cs="Arial"/>
          <w:szCs w:val="24"/>
        </w:rPr>
        <w:t xml:space="preserve"> 9(12):3368–82.</w:t>
      </w:r>
    </w:p>
    <w:p w14:paraId="3E391354"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Föcking, M., P. Dicker, J. A. English, K. O. Schubert, M. J. Dunn, and D. R. Cotter. 2011. “Common Proteomic Changes in the Hippocampus in Schizophrenia and Bipolar Disorder and Particular Evidence for Involvement of Cornu Ammonis Regions 2 and 3.” </w:t>
      </w:r>
      <w:r w:rsidRPr="00D248FB">
        <w:rPr>
          <w:rFonts w:ascii="Arial" w:hAnsi="Arial" w:cs="Arial"/>
          <w:i/>
          <w:iCs/>
          <w:szCs w:val="24"/>
        </w:rPr>
        <w:t>Archives of General Psychiatry</w:t>
      </w:r>
      <w:r w:rsidRPr="00D248FB">
        <w:rPr>
          <w:rFonts w:ascii="Arial" w:hAnsi="Arial" w:cs="Arial"/>
          <w:szCs w:val="24"/>
        </w:rPr>
        <w:t xml:space="preserve"> 68(5):477.</w:t>
      </w:r>
    </w:p>
    <w:p w14:paraId="2EA747EC"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Föcking, M., L. M. Lopez, J. A. English, P. Dicker, A. Wolff, E. Brindley, K. Wynne, G. Cagney, and D. R. Cotter. 2015. “Proteomic and Genomic Evidence Implicates the Postsynaptic Density in Schizophrenia.” </w:t>
      </w:r>
      <w:r w:rsidRPr="00D248FB">
        <w:rPr>
          <w:rFonts w:ascii="Arial" w:hAnsi="Arial" w:cs="Arial"/>
          <w:i/>
          <w:iCs/>
          <w:szCs w:val="24"/>
        </w:rPr>
        <w:t>Molecular Psychiatry</w:t>
      </w:r>
      <w:r w:rsidRPr="00D248FB">
        <w:rPr>
          <w:rFonts w:ascii="Arial" w:hAnsi="Arial" w:cs="Arial"/>
          <w:szCs w:val="24"/>
        </w:rPr>
        <w:t xml:space="preserve"> 20(4):424–32.</w:t>
      </w:r>
    </w:p>
    <w:p w14:paraId="627EEA5F"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Graumann, J., N. C. Hubner, J. B. Kim, K. Ko, M. Moser, C. Kumar, J. Cox, H. Schöler, and M. Mann. 2008. “Stable Isotope Labeling by Amino Acids in Cell Culture (SILAC) and </w:t>
      </w:r>
      <w:r w:rsidRPr="00D248FB">
        <w:rPr>
          <w:rFonts w:ascii="Arial" w:hAnsi="Arial" w:cs="Arial"/>
          <w:szCs w:val="24"/>
        </w:rPr>
        <w:lastRenderedPageBreak/>
        <w:t xml:space="preserve">Proteome Quantitation of Mouse Embryonic Stem Cells to a Depth of 5,111 Proteins.” </w:t>
      </w:r>
      <w:r w:rsidRPr="00D248FB">
        <w:rPr>
          <w:rFonts w:ascii="Arial" w:hAnsi="Arial" w:cs="Arial"/>
          <w:i/>
          <w:iCs/>
          <w:szCs w:val="24"/>
        </w:rPr>
        <w:t>Molecular &amp; Cellular Proteomics</w:t>
      </w:r>
      <w:r w:rsidRPr="00D248FB">
        <w:rPr>
          <w:rFonts w:ascii="Arial" w:hAnsi="Arial" w:cs="Arial"/>
          <w:szCs w:val="24"/>
        </w:rPr>
        <w:t xml:space="preserve"> 7(4):672–83.</w:t>
      </w:r>
    </w:p>
    <w:p w14:paraId="39F21CD9"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Khidekel, N., S. B. Ficarro, P. M. Clark, M. C. Bryan, D. L. Swaney, J. E. Rexach, Y. E. Sun, J. J. Coon, E. C. Peters, and L. C. Hsieh-Wilson. 2007. “Probing the Dynamics of O-GlcNAc Glycosylation in the Brain Using Quantitative Proteomics.” </w:t>
      </w:r>
      <w:r w:rsidRPr="00D248FB">
        <w:rPr>
          <w:rFonts w:ascii="Arial" w:hAnsi="Arial" w:cs="Arial"/>
          <w:i/>
          <w:iCs/>
          <w:szCs w:val="24"/>
        </w:rPr>
        <w:t>Nature Chemical Biology</w:t>
      </w:r>
      <w:r w:rsidRPr="00D248FB">
        <w:rPr>
          <w:rFonts w:ascii="Arial" w:hAnsi="Arial" w:cs="Arial"/>
          <w:szCs w:val="24"/>
        </w:rPr>
        <w:t xml:space="preserve"> 3(6):339–48.</w:t>
      </w:r>
    </w:p>
    <w:p w14:paraId="18497E9C"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MacDonald, M. L., Y. Ding, J. Newman, S. Hemby, P. Penzes, D. A. Lewis, N. A. Yates, and R. A. Sweet. 2015. “Altered Glutamate Protein Co-Expression Network Topology Linked to Spine Loss in the Auditory Cortex of Schizophrenia.” </w:t>
      </w:r>
      <w:r w:rsidRPr="00D248FB">
        <w:rPr>
          <w:rFonts w:ascii="Arial" w:hAnsi="Arial" w:cs="Arial"/>
          <w:i/>
          <w:iCs/>
          <w:szCs w:val="24"/>
        </w:rPr>
        <w:t>Biological Psychiatry</w:t>
      </w:r>
      <w:r w:rsidRPr="00D248FB">
        <w:rPr>
          <w:rFonts w:ascii="Arial" w:hAnsi="Arial" w:cs="Arial"/>
          <w:szCs w:val="24"/>
        </w:rPr>
        <w:t xml:space="preserve"> 77(11):959–68.</w:t>
      </w:r>
    </w:p>
    <w:p w14:paraId="568AEEFA"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Martins-de-Souza, D., W. F. Gattaz, A. Schmitt, G. Maccarrone, E. Hunyadi-Gulyás, M. N. Eberlin, G. H. M. F. Souza, S. Marangoni, J. C. Novello, C. W. Turck, and E. Dias-Neto. 2009. “Proteomic Analysis of Dorsolateral Prefrontal Cortex Indicates the Involvement of Cytoskeleton, Oligodendrocyte, Energy Metabolism and New Potential Markers in Schizophrenia.” </w:t>
      </w:r>
      <w:r w:rsidRPr="00D248FB">
        <w:rPr>
          <w:rFonts w:ascii="Arial" w:hAnsi="Arial" w:cs="Arial"/>
          <w:i/>
          <w:iCs/>
          <w:szCs w:val="24"/>
        </w:rPr>
        <w:t>Journal of Psychiatric Research</w:t>
      </w:r>
      <w:r w:rsidRPr="00D248FB">
        <w:rPr>
          <w:rFonts w:ascii="Arial" w:hAnsi="Arial" w:cs="Arial"/>
          <w:szCs w:val="24"/>
        </w:rPr>
        <w:t xml:space="preserve"> 43(11):978–86.</w:t>
      </w:r>
    </w:p>
    <w:p w14:paraId="2AFED187"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Martins-De-Souza, D., W. F. Gattaz, A. Schmitt, C. Rewerts, G. Maccarrone, E. Dias-Neto, and C. W. Turck. 2009. “Prefrontal Cortex Shotgun Proteome Analysis Reveals Altered Calcium Homeostasis and Immune System Imbalance in Schizophrenia.” </w:t>
      </w:r>
      <w:r w:rsidRPr="00D248FB">
        <w:rPr>
          <w:rFonts w:ascii="Arial" w:hAnsi="Arial" w:cs="Arial"/>
          <w:i/>
          <w:iCs/>
          <w:szCs w:val="24"/>
        </w:rPr>
        <w:t>European Archives of Psychiatry and Clinical Neuroscience</w:t>
      </w:r>
      <w:r w:rsidRPr="00D248FB">
        <w:rPr>
          <w:rFonts w:ascii="Arial" w:hAnsi="Arial" w:cs="Arial"/>
          <w:szCs w:val="24"/>
        </w:rPr>
        <w:t xml:space="preserve"> 259(3):151–63.</w:t>
      </w:r>
    </w:p>
    <w:p w14:paraId="0CB8E051"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Martins-de-Souza, D., W. F. Gattaz, A. Schmitt, C. Rewerts, S. Marangoni, J. C. Novello, G. Maccarrone, C. W. Turck, and E. Dias-Neto. 2009. “Alterations in Oligodendrocyte Proteins, Calcium Homeostasis and New Potential Markers in Schizophrenia Anterior Temporal Lobe Are Revealed by Shotgun Proteome Analysis.” </w:t>
      </w:r>
      <w:r w:rsidRPr="00D248FB">
        <w:rPr>
          <w:rFonts w:ascii="Arial" w:hAnsi="Arial" w:cs="Arial"/>
          <w:i/>
          <w:iCs/>
          <w:szCs w:val="24"/>
        </w:rPr>
        <w:t>Journal of Neural Transmission</w:t>
      </w:r>
      <w:r w:rsidRPr="00D248FB">
        <w:rPr>
          <w:rFonts w:ascii="Arial" w:hAnsi="Arial" w:cs="Arial"/>
          <w:szCs w:val="24"/>
        </w:rPr>
        <w:t xml:space="preserve"> 116(3):275–89.</w:t>
      </w:r>
    </w:p>
    <w:p w14:paraId="2B8246B7"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Martins-de-Souza, D., G. Maccarrone, T. Wobrock, I. Zerr, P. Gormanns, S. Reckow, P. </w:t>
      </w:r>
      <w:r w:rsidRPr="00D248FB">
        <w:rPr>
          <w:rFonts w:ascii="Arial" w:hAnsi="Arial" w:cs="Arial"/>
          <w:szCs w:val="24"/>
        </w:rPr>
        <w:lastRenderedPageBreak/>
        <w:t xml:space="preserve">Falkai, A. Schmitt, and C. W. Turck. 2010. “Proteome Analysis of the Thalamus and Cerebrospinal Fluid Reveals Glycolysis Dysfunction and Potential Biomarkers Candidates for Schizophrenia.” </w:t>
      </w:r>
      <w:r w:rsidRPr="00D248FB">
        <w:rPr>
          <w:rFonts w:ascii="Arial" w:hAnsi="Arial" w:cs="Arial"/>
          <w:i/>
          <w:iCs/>
          <w:szCs w:val="24"/>
        </w:rPr>
        <w:t>Journal of Psychiatric Research</w:t>
      </w:r>
      <w:r w:rsidRPr="00D248FB">
        <w:rPr>
          <w:rFonts w:ascii="Arial" w:hAnsi="Arial" w:cs="Arial"/>
          <w:szCs w:val="24"/>
        </w:rPr>
        <w:t xml:space="preserve"> 44(16):1176–89.</w:t>
      </w:r>
    </w:p>
    <w:p w14:paraId="3FDF924D"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Martins-de-Souza, D., A. Schmitt, R. Röder, M. Lebar, T. Schneider-Axmann, P. Falkai, and C. W. Turck. 2010. “Sex-Specific Proteome Differences in the Anterior Cingulate Cortex of Schizophrenia.” </w:t>
      </w:r>
      <w:r w:rsidRPr="00D248FB">
        <w:rPr>
          <w:rFonts w:ascii="Arial" w:hAnsi="Arial" w:cs="Arial"/>
          <w:i/>
          <w:iCs/>
          <w:szCs w:val="24"/>
        </w:rPr>
        <w:t>Journal of Psychiatric Research</w:t>
      </w:r>
      <w:r w:rsidRPr="00D248FB">
        <w:rPr>
          <w:rFonts w:ascii="Arial" w:hAnsi="Arial" w:cs="Arial"/>
          <w:szCs w:val="24"/>
        </w:rPr>
        <w:t xml:space="preserve"> 44(14):989–91.</w:t>
      </w:r>
    </w:p>
    <w:p w14:paraId="7EFC7A2C"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Nesvaderani, M., I. Matsumoto, and S. Sivagnanasundaram. 2009. “Anterior Hippocampus in Schizophrenia Pathogenesis: Molecular Evidence from a Proteome Study.” </w:t>
      </w:r>
      <w:r w:rsidRPr="00D248FB">
        <w:rPr>
          <w:rFonts w:ascii="Arial" w:hAnsi="Arial" w:cs="Arial"/>
          <w:i/>
          <w:iCs/>
          <w:szCs w:val="24"/>
        </w:rPr>
        <w:t>Australian &amp; New Zealand Journal of Psychiatry</w:t>
      </w:r>
      <w:r w:rsidRPr="00D248FB">
        <w:rPr>
          <w:rFonts w:ascii="Arial" w:hAnsi="Arial" w:cs="Arial"/>
          <w:szCs w:val="24"/>
        </w:rPr>
        <w:t xml:space="preserve"> 43(4):310–22.</w:t>
      </w:r>
    </w:p>
    <w:p w14:paraId="36E7E0E5"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Novikova, S. I., F. He, N. J. Cutrufello, and M. S. Lidow. 2006. “Identification of Protein Biomarkers for Schizophrenia and Bipolar Disorder in the Postmortem Prefrontal Cortex Using SELDI-TOF-MS ProteinChip Profiling Combined with MALDI-TOF-PSD-MS Analysis.” </w:t>
      </w:r>
      <w:r w:rsidRPr="00D248FB">
        <w:rPr>
          <w:rFonts w:ascii="Arial" w:hAnsi="Arial" w:cs="Arial"/>
          <w:i/>
          <w:iCs/>
          <w:szCs w:val="24"/>
        </w:rPr>
        <w:t>Neurobiology of Disease</w:t>
      </w:r>
      <w:r w:rsidRPr="00D248FB">
        <w:rPr>
          <w:rFonts w:ascii="Arial" w:hAnsi="Arial" w:cs="Arial"/>
          <w:szCs w:val="24"/>
        </w:rPr>
        <w:t xml:space="preserve"> 23(1):61–76.</w:t>
      </w:r>
    </w:p>
    <w:p w14:paraId="78AB9538" w14:textId="77777777" w:rsidR="000C2D26" w:rsidRPr="00DB1FEF" w:rsidRDefault="000C2D26" w:rsidP="000C2D26">
      <w:pPr>
        <w:widowControl w:val="0"/>
        <w:autoSpaceDE w:val="0"/>
        <w:autoSpaceDN w:val="0"/>
        <w:adjustRightInd w:val="0"/>
        <w:spacing w:after="200" w:line="480" w:lineRule="auto"/>
        <w:ind w:left="480" w:hanging="480"/>
        <w:jc w:val="both"/>
        <w:rPr>
          <w:rFonts w:ascii="Arial" w:hAnsi="Arial" w:cs="Arial"/>
          <w:szCs w:val="24"/>
          <w:lang w:val="es-ES"/>
        </w:rPr>
      </w:pPr>
      <w:r w:rsidRPr="00D248FB">
        <w:rPr>
          <w:rFonts w:ascii="Arial" w:hAnsi="Arial" w:cs="Arial"/>
          <w:szCs w:val="24"/>
        </w:rPr>
        <w:t xml:space="preserve">Pennington, K., C. L. Beasley, P. Dicker, A. Fagan, J. English, C. M. Pariante, R. Wait, M. J. Dunn, and D. R. Cotter. 2008. “Prominent Synaptic and Metabolic Abnormalities Revealed by Proteomic Analysis of the Dorsolateral Prefrontal Cortex in Schizophrenia and Bipolar Disorder.” </w:t>
      </w:r>
      <w:r w:rsidRPr="00DB1FEF">
        <w:rPr>
          <w:rFonts w:ascii="Arial" w:hAnsi="Arial" w:cs="Arial"/>
          <w:i/>
          <w:iCs/>
          <w:szCs w:val="24"/>
          <w:lang w:val="es-ES"/>
        </w:rPr>
        <w:t xml:space="preserve">Molecular </w:t>
      </w:r>
      <w:proofErr w:type="spellStart"/>
      <w:r w:rsidRPr="00DB1FEF">
        <w:rPr>
          <w:rFonts w:ascii="Arial" w:hAnsi="Arial" w:cs="Arial"/>
          <w:i/>
          <w:iCs/>
          <w:szCs w:val="24"/>
          <w:lang w:val="es-ES"/>
        </w:rPr>
        <w:t>Psychiatry</w:t>
      </w:r>
      <w:proofErr w:type="spellEnd"/>
      <w:r w:rsidRPr="00DB1FEF">
        <w:rPr>
          <w:rFonts w:ascii="Arial" w:hAnsi="Arial" w:cs="Arial"/>
          <w:szCs w:val="24"/>
          <w:lang w:val="es-ES"/>
        </w:rPr>
        <w:t xml:space="preserve"> 13(12):1102–17.</w:t>
      </w:r>
    </w:p>
    <w:p w14:paraId="698871FD"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B1FEF">
        <w:rPr>
          <w:rFonts w:ascii="Arial" w:hAnsi="Arial" w:cs="Arial"/>
          <w:szCs w:val="24"/>
          <w:lang w:val="es-ES"/>
        </w:rPr>
        <w:t xml:space="preserve">Pinacho, R., N. Villalmanzo, J. J. Meana, I. Ferrer, A. </w:t>
      </w:r>
      <w:proofErr w:type="spellStart"/>
      <w:r w:rsidRPr="00DB1FEF">
        <w:rPr>
          <w:rFonts w:ascii="Arial" w:hAnsi="Arial" w:cs="Arial"/>
          <w:szCs w:val="24"/>
          <w:lang w:val="es-ES"/>
        </w:rPr>
        <w:t>Berengueras</w:t>
      </w:r>
      <w:proofErr w:type="spellEnd"/>
      <w:r w:rsidRPr="00DB1FEF">
        <w:rPr>
          <w:rFonts w:ascii="Arial" w:hAnsi="Arial" w:cs="Arial"/>
          <w:szCs w:val="24"/>
          <w:lang w:val="es-ES"/>
        </w:rPr>
        <w:t xml:space="preserve">, J. M. Haro, J. Villén, and B. Ramos. </w:t>
      </w:r>
      <w:r w:rsidRPr="00D248FB">
        <w:rPr>
          <w:rFonts w:ascii="Arial" w:hAnsi="Arial" w:cs="Arial"/>
          <w:szCs w:val="24"/>
        </w:rPr>
        <w:t xml:space="preserve">2016. “Altered CSNK1E, FABP4 and NEFH Protein Levels in the Dorsolateral Prefrontal Cortex in Schizophrenia.” </w:t>
      </w:r>
      <w:r w:rsidRPr="00D248FB">
        <w:rPr>
          <w:rFonts w:ascii="Arial" w:hAnsi="Arial" w:cs="Arial"/>
          <w:i/>
          <w:iCs/>
          <w:szCs w:val="24"/>
        </w:rPr>
        <w:t>Schizophrenia Research</w:t>
      </w:r>
      <w:r w:rsidRPr="00D248FB">
        <w:rPr>
          <w:rFonts w:ascii="Arial" w:hAnsi="Arial" w:cs="Arial"/>
          <w:szCs w:val="24"/>
        </w:rPr>
        <w:t xml:space="preserve"> 177(1–3):88–97.</w:t>
      </w:r>
    </w:p>
    <w:p w14:paraId="3289DF70"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Prabakaran, S., J. E. Swatton, M. M. Ryan, S. J. Huffaker, J. T. J. Huang, J. L. Griffin, M. Wayland, T. Freeman, F. Dudbridge, K. S. Lilley, N. A. Karp, S. Hester, D. Tkachev, M. L. Mimmack, R. H. Yolken, M. J. Webster, E. F. Torrey, and S. Bahn. 2004. “Mitochondrial Dysfunction in Schizophrenia: Evidence for Compromised Brain </w:t>
      </w:r>
      <w:r w:rsidRPr="00D248FB">
        <w:rPr>
          <w:rFonts w:ascii="Arial" w:hAnsi="Arial" w:cs="Arial"/>
          <w:szCs w:val="24"/>
        </w:rPr>
        <w:lastRenderedPageBreak/>
        <w:t xml:space="preserve">Metabolism and Oxidative Stress.” </w:t>
      </w:r>
      <w:r w:rsidRPr="00D248FB">
        <w:rPr>
          <w:rFonts w:ascii="Arial" w:hAnsi="Arial" w:cs="Arial"/>
          <w:i/>
          <w:iCs/>
          <w:szCs w:val="24"/>
        </w:rPr>
        <w:t>Molecular Psychiatry</w:t>
      </w:r>
      <w:r w:rsidRPr="00D248FB">
        <w:rPr>
          <w:rFonts w:ascii="Arial" w:hAnsi="Arial" w:cs="Arial"/>
          <w:szCs w:val="24"/>
        </w:rPr>
        <w:t xml:space="preserve"> 9(7):684–97.</w:t>
      </w:r>
    </w:p>
    <w:p w14:paraId="6E4D8E12"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Saia-Cereda, V. M., J. S. Cassoli, A. Schmitt, P. Falkai, and D. Martins-de-Souza. 2016. “Differential Proteome and Phosphoproteome May Impact Cell Signaling in the Corpus Callosum of Schizophrenia Patients.” </w:t>
      </w:r>
      <w:r w:rsidRPr="00D248FB">
        <w:rPr>
          <w:rFonts w:ascii="Arial" w:hAnsi="Arial" w:cs="Arial"/>
          <w:i/>
          <w:iCs/>
          <w:szCs w:val="24"/>
        </w:rPr>
        <w:t>Schizophrenia Research</w:t>
      </w:r>
      <w:r w:rsidRPr="00D248FB">
        <w:rPr>
          <w:rFonts w:ascii="Arial" w:hAnsi="Arial" w:cs="Arial"/>
          <w:szCs w:val="24"/>
        </w:rPr>
        <w:t xml:space="preserve"> 177(1–3):70–77.</w:t>
      </w:r>
    </w:p>
    <w:p w14:paraId="30504632"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Saia-Cereda, V. M., J. S. Cassoli, A. Schmitt, P. Falkai, J. M. Nascimento, and D. Martins-de-Souza. 2015. “Proteomics of the Corpus Callosum Unravel Pivotal Players in the Dysfunction of Cell Signaling, Structure, and Myelination in Schizophrenia Brains.” </w:t>
      </w:r>
      <w:r w:rsidRPr="00D248FB">
        <w:rPr>
          <w:rFonts w:ascii="Arial" w:hAnsi="Arial" w:cs="Arial"/>
          <w:i/>
          <w:iCs/>
          <w:szCs w:val="24"/>
        </w:rPr>
        <w:t>European Archives of Psychiatry and Clinical Neuroscience</w:t>
      </w:r>
      <w:r w:rsidRPr="00D248FB">
        <w:rPr>
          <w:rFonts w:ascii="Arial" w:hAnsi="Arial" w:cs="Arial"/>
          <w:szCs w:val="24"/>
        </w:rPr>
        <w:t xml:space="preserve"> 265(7):601–12.</w:t>
      </w:r>
    </w:p>
    <w:p w14:paraId="12A1B72C"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Saia-Cereda, V. M., A. G. Santana, A. Schmitt, P. Falkai, and D. Martins-de-Souza. 2017. “The Nuclear Proteome of White and Gray Matter from Schizophrenia Postmortem Brains.” </w:t>
      </w:r>
      <w:r w:rsidRPr="00D248FB">
        <w:rPr>
          <w:rFonts w:ascii="Arial" w:hAnsi="Arial" w:cs="Arial"/>
          <w:i/>
          <w:iCs/>
          <w:szCs w:val="24"/>
        </w:rPr>
        <w:t>Molecular Neuropsychiatry</w:t>
      </w:r>
      <w:r w:rsidRPr="00D248FB">
        <w:rPr>
          <w:rFonts w:ascii="Arial" w:hAnsi="Arial" w:cs="Arial"/>
          <w:szCs w:val="24"/>
        </w:rPr>
        <w:t xml:space="preserve"> 3(1):37–52.</w:t>
      </w:r>
    </w:p>
    <w:p w14:paraId="60FCBFA4"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Schubert, K. O., M. Föcking, and D. R. Cotter. 2015. “Proteomic Pathway Analysis of the Hippocampus in Schizophrenia and Bipolar Affective Disorder Implicates 14-3-3 Signaling, Aryl Hydrocarbon Receptor Signaling, and Glucose Metabolism: Potential Roles in GABAergic Interneuron Pathology.” </w:t>
      </w:r>
      <w:r w:rsidRPr="00D248FB">
        <w:rPr>
          <w:rFonts w:ascii="Arial" w:hAnsi="Arial" w:cs="Arial"/>
          <w:i/>
          <w:iCs/>
          <w:szCs w:val="24"/>
        </w:rPr>
        <w:t>Schizophrenia Research</w:t>
      </w:r>
      <w:r w:rsidRPr="00D248FB">
        <w:rPr>
          <w:rFonts w:ascii="Arial" w:hAnsi="Arial" w:cs="Arial"/>
          <w:szCs w:val="24"/>
        </w:rPr>
        <w:t xml:space="preserve"> 167(1–3):64–72.</w:t>
      </w:r>
    </w:p>
    <w:p w14:paraId="5B50DA4E"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Smalla, K. H., M. Mikhaylova, J. Sahin, H. G. Bernstein, B. Bogerts, A. Schmitt, R. van der Schors, A. B. Smit, K. W. Li, E. D. Gundelfinger, and M. R. Kreutz. 2008. “A Comparison of the Synaptic Proteome in Human Chronic Schizophrenia and Rat Ketamine Psychosis Suggest That Prohibitin Is Involved in the Synaptic Pathology of Schizophrenia.” </w:t>
      </w:r>
      <w:r w:rsidRPr="00D248FB">
        <w:rPr>
          <w:rFonts w:ascii="Arial" w:hAnsi="Arial" w:cs="Arial"/>
          <w:i/>
          <w:iCs/>
          <w:szCs w:val="24"/>
        </w:rPr>
        <w:t>Molecular Psychiatry</w:t>
      </w:r>
      <w:r w:rsidRPr="00D248FB">
        <w:rPr>
          <w:rFonts w:ascii="Arial" w:hAnsi="Arial" w:cs="Arial"/>
          <w:szCs w:val="24"/>
        </w:rPr>
        <w:t xml:space="preserve"> 13(9):878–96.</w:t>
      </w:r>
    </w:p>
    <w:p w14:paraId="47D3D979"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szCs w:val="24"/>
        </w:rPr>
      </w:pPr>
      <w:r w:rsidRPr="00D248FB">
        <w:rPr>
          <w:rFonts w:ascii="Arial" w:hAnsi="Arial" w:cs="Arial"/>
          <w:szCs w:val="24"/>
        </w:rPr>
        <w:t xml:space="preserve">Velásquez, E., F. C. S. Nogueira, I. Velásquez, A. Schmitt, P. Falkai, G. B. Domont, and D. Martins-de-Souza. 2017. “Synaptosomal Proteome of the Orbitofrontal Cortex from Schizophrenia Patients Using Quantitative Label-Free and ITRAQ-Based Shotgun Proteomics.” </w:t>
      </w:r>
      <w:r w:rsidRPr="00D248FB">
        <w:rPr>
          <w:rFonts w:ascii="Arial" w:hAnsi="Arial" w:cs="Arial"/>
          <w:i/>
          <w:iCs/>
          <w:szCs w:val="24"/>
        </w:rPr>
        <w:t>Journal of Proteome Research</w:t>
      </w:r>
      <w:r w:rsidRPr="00D248FB">
        <w:rPr>
          <w:rFonts w:ascii="Arial" w:hAnsi="Arial" w:cs="Arial"/>
          <w:szCs w:val="24"/>
        </w:rPr>
        <w:t xml:space="preserve"> 16(12):4481–94.</w:t>
      </w:r>
    </w:p>
    <w:p w14:paraId="254AC974" w14:textId="77777777" w:rsidR="000C2D26" w:rsidRPr="00D248FB" w:rsidRDefault="000C2D26" w:rsidP="000C2D26">
      <w:pPr>
        <w:widowControl w:val="0"/>
        <w:autoSpaceDE w:val="0"/>
        <w:autoSpaceDN w:val="0"/>
        <w:adjustRightInd w:val="0"/>
        <w:spacing w:after="200" w:line="480" w:lineRule="auto"/>
        <w:ind w:left="480" w:hanging="480"/>
        <w:jc w:val="both"/>
        <w:rPr>
          <w:rFonts w:ascii="Arial" w:hAnsi="Arial" w:cs="Arial"/>
        </w:rPr>
      </w:pPr>
      <w:r w:rsidRPr="00D248FB">
        <w:rPr>
          <w:rFonts w:ascii="Arial" w:hAnsi="Arial" w:cs="Arial"/>
          <w:szCs w:val="24"/>
        </w:rPr>
        <w:t xml:space="preserve">Vizcaíno, J. A., A. Csordas, N. Del-Toro, J. A. Dianes, J. Griss, I. Lavidas, G. Mayer, Y. </w:t>
      </w:r>
      <w:r w:rsidRPr="00D248FB">
        <w:rPr>
          <w:rFonts w:ascii="Arial" w:hAnsi="Arial" w:cs="Arial"/>
          <w:szCs w:val="24"/>
        </w:rPr>
        <w:lastRenderedPageBreak/>
        <w:t xml:space="preserve">Perez-Riverol, F. Reisinger, T. Ternent, Q. W. Xu, R. Wang, and H. Hermjakob. 2016. “2016 Update of the PRIDE Database and Its Related Tools.” </w:t>
      </w:r>
      <w:r w:rsidRPr="00D248FB">
        <w:rPr>
          <w:rFonts w:ascii="Arial" w:hAnsi="Arial" w:cs="Arial"/>
          <w:i/>
          <w:iCs/>
          <w:szCs w:val="24"/>
        </w:rPr>
        <w:t>Nucleic Acids Research</w:t>
      </w:r>
      <w:r w:rsidRPr="00D248FB">
        <w:rPr>
          <w:rFonts w:ascii="Arial" w:hAnsi="Arial" w:cs="Arial"/>
          <w:szCs w:val="24"/>
        </w:rPr>
        <w:t xml:space="preserve"> 44(D1):D447–56.</w:t>
      </w:r>
    </w:p>
    <w:p w14:paraId="411F4075" w14:textId="77777777" w:rsidR="005010DA" w:rsidRPr="00D248FB" w:rsidRDefault="000C2D26" w:rsidP="000C2D26">
      <w:pPr>
        <w:spacing w:after="200" w:line="276" w:lineRule="auto"/>
        <w:rPr>
          <w:b/>
        </w:rPr>
      </w:pPr>
      <w:r w:rsidRPr="00D248FB">
        <w:rPr>
          <w:rFonts w:ascii="Arial" w:hAnsi="Arial" w:cs="Arial"/>
          <w:b/>
          <w:u w:val="single"/>
        </w:rPr>
        <w:fldChar w:fldCharType="end"/>
      </w:r>
    </w:p>
    <w:sectPr w:rsidR="005010DA" w:rsidRPr="00D248FB" w:rsidSect="003E09D3">
      <w:headerReference w:type="default" r:id="rId7"/>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7914" w14:textId="77777777" w:rsidR="00157721" w:rsidRDefault="00157721" w:rsidP="00431265">
      <w:r>
        <w:separator/>
      </w:r>
    </w:p>
  </w:endnote>
  <w:endnote w:type="continuationSeparator" w:id="0">
    <w:p w14:paraId="5C7BEB89" w14:textId="77777777" w:rsidR="00157721" w:rsidRDefault="00157721" w:rsidP="0043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E73D" w14:textId="77777777" w:rsidR="00157721" w:rsidRDefault="00157721" w:rsidP="00431265">
      <w:r>
        <w:separator/>
      </w:r>
    </w:p>
  </w:footnote>
  <w:footnote w:type="continuationSeparator" w:id="0">
    <w:p w14:paraId="42AA7DCD" w14:textId="77777777" w:rsidR="00157721" w:rsidRDefault="00157721" w:rsidP="0043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7FE7" w14:textId="77777777" w:rsidR="00D342F3" w:rsidRDefault="00D342F3" w:rsidP="00431265">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53"/>
    <w:rsid w:val="00023A18"/>
    <w:rsid w:val="00035A52"/>
    <w:rsid w:val="00040CF0"/>
    <w:rsid w:val="00075572"/>
    <w:rsid w:val="000832F2"/>
    <w:rsid w:val="00091853"/>
    <w:rsid w:val="00096482"/>
    <w:rsid w:val="000A171B"/>
    <w:rsid w:val="000A7844"/>
    <w:rsid w:val="000C2D26"/>
    <w:rsid w:val="00115523"/>
    <w:rsid w:val="001238A6"/>
    <w:rsid w:val="001263A5"/>
    <w:rsid w:val="00142CF8"/>
    <w:rsid w:val="0015468F"/>
    <w:rsid w:val="00157721"/>
    <w:rsid w:val="001645D8"/>
    <w:rsid w:val="00166675"/>
    <w:rsid w:val="0018070F"/>
    <w:rsid w:val="00184C8A"/>
    <w:rsid w:val="001946C9"/>
    <w:rsid w:val="001F7981"/>
    <w:rsid w:val="001F79D8"/>
    <w:rsid w:val="002018C9"/>
    <w:rsid w:val="00220DCC"/>
    <w:rsid w:val="002312E6"/>
    <w:rsid w:val="00276CD8"/>
    <w:rsid w:val="002F059F"/>
    <w:rsid w:val="002F36A2"/>
    <w:rsid w:val="003101F1"/>
    <w:rsid w:val="003123F1"/>
    <w:rsid w:val="00350F0C"/>
    <w:rsid w:val="00370366"/>
    <w:rsid w:val="00384331"/>
    <w:rsid w:val="00384D5F"/>
    <w:rsid w:val="003C3F1D"/>
    <w:rsid w:val="003C6E09"/>
    <w:rsid w:val="003D1ADE"/>
    <w:rsid w:val="003E09D3"/>
    <w:rsid w:val="003F3B9F"/>
    <w:rsid w:val="00431265"/>
    <w:rsid w:val="004546F0"/>
    <w:rsid w:val="00467C45"/>
    <w:rsid w:val="004B177F"/>
    <w:rsid w:val="004B1862"/>
    <w:rsid w:val="004B60F2"/>
    <w:rsid w:val="004D2441"/>
    <w:rsid w:val="005010DA"/>
    <w:rsid w:val="00513B15"/>
    <w:rsid w:val="00534032"/>
    <w:rsid w:val="0055556B"/>
    <w:rsid w:val="00556E65"/>
    <w:rsid w:val="00570BB5"/>
    <w:rsid w:val="005936AA"/>
    <w:rsid w:val="00594995"/>
    <w:rsid w:val="005B6A12"/>
    <w:rsid w:val="00604ECA"/>
    <w:rsid w:val="00605F15"/>
    <w:rsid w:val="00617EE7"/>
    <w:rsid w:val="006313EF"/>
    <w:rsid w:val="006B1966"/>
    <w:rsid w:val="006C284B"/>
    <w:rsid w:val="00704671"/>
    <w:rsid w:val="0070604C"/>
    <w:rsid w:val="0075368F"/>
    <w:rsid w:val="0076584D"/>
    <w:rsid w:val="007A6886"/>
    <w:rsid w:val="007C1DD0"/>
    <w:rsid w:val="007E0998"/>
    <w:rsid w:val="007E0B76"/>
    <w:rsid w:val="00823C83"/>
    <w:rsid w:val="0084437A"/>
    <w:rsid w:val="00844737"/>
    <w:rsid w:val="00861E2E"/>
    <w:rsid w:val="008B7F34"/>
    <w:rsid w:val="009015E6"/>
    <w:rsid w:val="009120EA"/>
    <w:rsid w:val="0095109E"/>
    <w:rsid w:val="00960FA0"/>
    <w:rsid w:val="00997803"/>
    <w:rsid w:val="009A3594"/>
    <w:rsid w:val="009B68A8"/>
    <w:rsid w:val="009B7639"/>
    <w:rsid w:val="009D41B0"/>
    <w:rsid w:val="009D4523"/>
    <w:rsid w:val="009F0CB3"/>
    <w:rsid w:val="009F1F6B"/>
    <w:rsid w:val="00A13F9A"/>
    <w:rsid w:val="00A174AA"/>
    <w:rsid w:val="00A52B46"/>
    <w:rsid w:val="00A54070"/>
    <w:rsid w:val="00AA05B8"/>
    <w:rsid w:val="00AC7E78"/>
    <w:rsid w:val="00AD6FBE"/>
    <w:rsid w:val="00AE1C5A"/>
    <w:rsid w:val="00AF167E"/>
    <w:rsid w:val="00AF6472"/>
    <w:rsid w:val="00B21E51"/>
    <w:rsid w:val="00B3675D"/>
    <w:rsid w:val="00B4001F"/>
    <w:rsid w:val="00B57798"/>
    <w:rsid w:val="00B90285"/>
    <w:rsid w:val="00B97371"/>
    <w:rsid w:val="00BF321F"/>
    <w:rsid w:val="00C0163B"/>
    <w:rsid w:val="00C0333D"/>
    <w:rsid w:val="00C53A0B"/>
    <w:rsid w:val="00C5410F"/>
    <w:rsid w:val="00C9582F"/>
    <w:rsid w:val="00CC0268"/>
    <w:rsid w:val="00CE728B"/>
    <w:rsid w:val="00D12763"/>
    <w:rsid w:val="00D248FB"/>
    <w:rsid w:val="00D342F3"/>
    <w:rsid w:val="00D4059F"/>
    <w:rsid w:val="00D448AA"/>
    <w:rsid w:val="00D569D1"/>
    <w:rsid w:val="00D57238"/>
    <w:rsid w:val="00D741E3"/>
    <w:rsid w:val="00D939B2"/>
    <w:rsid w:val="00DB1FEF"/>
    <w:rsid w:val="00DB53DB"/>
    <w:rsid w:val="00E316A9"/>
    <w:rsid w:val="00E57FFC"/>
    <w:rsid w:val="00E6117D"/>
    <w:rsid w:val="00E72713"/>
    <w:rsid w:val="00E805D1"/>
    <w:rsid w:val="00ED1946"/>
    <w:rsid w:val="00EF2113"/>
    <w:rsid w:val="00F201D5"/>
    <w:rsid w:val="00F570F9"/>
    <w:rsid w:val="00F904FD"/>
    <w:rsid w:val="00F90605"/>
    <w:rsid w:val="00FA7580"/>
    <w:rsid w:val="00FD367A"/>
    <w:rsid w:val="00FE29D6"/>
    <w:rsid w:val="00FE4D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9043D"/>
  <w15:docId w15:val="{B7726260-8DB0-41E9-A6CD-BFB885AE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53"/>
    <w:pPr>
      <w:spacing w:after="0" w:line="240"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091853"/>
    <w:rPr>
      <w:sz w:val="16"/>
      <w:szCs w:val="16"/>
    </w:rPr>
  </w:style>
  <w:style w:type="paragraph" w:styleId="Textocomentario">
    <w:name w:val="annotation text"/>
    <w:basedOn w:val="Normal"/>
    <w:link w:val="TextocomentarioCar"/>
    <w:unhideWhenUsed/>
    <w:rsid w:val="00091853"/>
    <w:rPr>
      <w:sz w:val="20"/>
      <w:szCs w:val="20"/>
    </w:rPr>
  </w:style>
  <w:style w:type="character" w:customStyle="1" w:styleId="TextocomentarioCar">
    <w:name w:val="Texto comentario Car"/>
    <w:basedOn w:val="Fuentedeprrafopredeter"/>
    <w:link w:val="Textocomentario"/>
    <w:rsid w:val="00091853"/>
    <w:rPr>
      <w:sz w:val="20"/>
      <w:szCs w:val="20"/>
      <w:lang w:val="en-GB"/>
    </w:rPr>
  </w:style>
  <w:style w:type="paragraph" w:styleId="Textodeglobo">
    <w:name w:val="Balloon Text"/>
    <w:basedOn w:val="Normal"/>
    <w:link w:val="TextodegloboCar"/>
    <w:uiPriority w:val="99"/>
    <w:semiHidden/>
    <w:unhideWhenUsed/>
    <w:rsid w:val="00091853"/>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853"/>
    <w:rPr>
      <w:rFonts w:ascii="Tahoma" w:hAnsi="Tahoma" w:cs="Tahoma"/>
      <w:sz w:val="16"/>
      <w:szCs w:val="16"/>
      <w:lang w:val="en-GB"/>
    </w:rPr>
  </w:style>
  <w:style w:type="paragraph" w:styleId="Encabezado">
    <w:name w:val="header"/>
    <w:basedOn w:val="Normal"/>
    <w:link w:val="EncabezadoCar"/>
    <w:uiPriority w:val="99"/>
    <w:unhideWhenUsed/>
    <w:rsid w:val="00431265"/>
    <w:pPr>
      <w:tabs>
        <w:tab w:val="center" w:pos="4252"/>
        <w:tab w:val="right" w:pos="8504"/>
      </w:tabs>
    </w:pPr>
  </w:style>
  <w:style w:type="character" w:customStyle="1" w:styleId="EncabezadoCar">
    <w:name w:val="Encabezado Car"/>
    <w:basedOn w:val="Fuentedeprrafopredeter"/>
    <w:link w:val="Encabezado"/>
    <w:uiPriority w:val="99"/>
    <w:rsid w:val="00431265"/>
    <w:rPr>
      <w:lang w:val="en-GB"/>
    </w:rPr>
  </w:style>
  <w:style w:type="paragraph" w:styleId="Piedepgina">
    <w:name w:val="footer"/>
    <w:basedOn w:val="Normal"/>
    <w:link w:val="PiedepginaCar"/>
    <w:uiPriority w:val="99"/>
    <w:unhideWhenUsed/>
    <w:rsid w:val="00431265"/>
    <w:pPr>
      <w:tabs>
        <w:tab w:val="center" w:pos="4252"/>
        <w:tab w:val="right" w:pos="8504"/>
      </w:tabs>
    </w:pPr>
  </w:style>
  <w:style w:type="character" w:customStyle="1" w:styleId="PiedepginaCar">
    <w:name w:val="Pie de página Car"/>
    <w:basedOn w:val="Fuentedeprrafopredeter"/>
    <w:link w:val="Piedepgina"/>
    <w:uiPriority w:val="99"/>
    <w:rsid w:val="00431265"/>
    <w:rPr>
      <w:lang w:val="en-GB"/>
    </w:rPr>
  </w:style>
  <w:style w:type="paragraph" w:styleId="Sinespaciado">
    <w:name w:val="No Spacing"/>
    <w:uiPriority w:val="1"/>
    <w:qFormat/>
    <w:rsid w:val="00D342F3"/>
    <w:pPr>
      <w:spacing w:after="0" w:line="240" w:lineRule="auto"/>
    </w:pPr>
  </w:style>
  <w:style w:type="paragraph" w:styleId="NormalWeb">
    <w:name w:val="Normal (Web)"/>
    <w:basedOn w:val="Normal"/>
    <w:uiPriority w:val="99"/>
    <w:semiHidden/>
    <w:unhideWhenUsed/>
    <w:rsid w:val="004B1862"/>
    <w:pPr>
      <w:spacing w:before="100" w:beforeAutospacing="1" w:after="100" w:afterAutospacing="1"/>
    </w:pPr>
    <w:rPr>
      <w:rFonts w:ascii="Times New Roman" w:eastAsiaTheme="minorEastAsia" w:hAnsi="Times New Roman" w:cs="Times New Roman"/>
      <w:sz w:val="24"/>
      <w:szCs w:val="24"/>
      <w:lang w:val="es-ES" w:eastAsia="es-ES"/>
    </w:rPr>
  </w:style>
  <w:style w:type="table" w:customStyle="1" w:styleId="Tablaconcuadrcula1">
    <w:name w:val="Tabla con cuadrícula1"/>
    <w:basedOn w:val="Tablanormal"/>
    <w:next w:val="Tablaconcuadrcula"/>
    <w:uiPriority w:val="39"/>
    <w:rsid w:val="009D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9D41B0"/>
    <w:rPr>
      <w:vertAlign w:val="superscript"/>
    </w:rPr>
  </w:style>
  <w:style w:type="table" w:styleId="Tablaconcuadrcula">
    <w:name w:val="Table Grid"/>
    <w:basedOn w:val="Tablanormal"/>
    <w:uiPriority w:val="59"/>
    <w:rsid w:val="009D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D1ADE"/>
    <w:rPr>
      <w:sz w:val="20"/>
      <w:szCs w:val="20"/>
    </w:rPr>
  </w:style>
  <w:style w:type="character" w:customStyle="1" w:styleId="TextonotapieCar">
    <w:name w:val="Texto nota pie Car"/>
    <w:basedOn w:val="Fuentedeprrafopredeter"/>
    <w:link w:val="Textonotapie"/>
    <w:uiPriority w:val="99"/>
    <w:semiHidden/>
    <w:rsid w:val="003D1ADE"/>
    <w:rPr>
      <w:sz w:val="20"/>
      <w:szCs w:val="20"/>
      <w:lang w:val="en-GB"/>
    </w:rPr>
  </w:style>
  <w:style w:type="paragraph" w:styleId="Revisin">
    <w:name w:val="Revision"/>
    <w:hidden/>
    <w:uiPriority w:val="99"/>
    <w:semiHidden/>
    <w:rsid w:val="003D1ADE"/>
    <w:pPr>
      <w:spacing w:after="0" w:line="240" w:lineRule="auto"/>
    </w:pPr>
    <w:rPr>
      <w:lang w:val="en-GB"/>
    </w:rPr>
  </w:style>
  <w:style w:type="paragraph" w:styleId="Asuntodelcomentario">
    <w:name w:val="annotation subject"/>
    <w:basedOn w:val="Textocomentario"/>
    <w:next w:val="Textocomentario"/>
    <w:link w:val="AsuntodelcomentarioCar"/>
    <w:uiPriority w:val="99"/>
    <w:semiHidden/>
    <w:unhideWhenUsed/>
    <w:rsid w:val="002312E6"/>
    <w:rPr>
      <w:b/>
      <w:bCs/>
    </w:rPr>
  </w:style>
  <w:style w:type="character" w:customStyle="1" w:styleId="AsuntodelcomentarioCar">
    <w:name w:val="Asunto del comentario Car"/>
    <w:basedOn w:val="TextocomentarioCar"/>
    <w:link w:val="Asuntodelcomentario"/>
    <w:uiPriority w:val="99"/>
    <w:semiHidden/>
    <w:rsid w:val="002312E6"/>
    <w:rPr>
      <w:b/>
      <w:bCs/>
      <w:sz w:val="20"/>
      <w:szCs w:val="20"/>
      <w:lang w:val="en-GB"/>
    </w:rPr>
  </w:style>
  <w:style w:type="character" w:customStyle="1" w:styleId="tlid-translation">
    <w:name w:val="tlid-translation"/>
    <w:basedOn w:val="Fuentedeprrafopredeter"/>
    <w:rsid w:val="00C0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4A89F-4644-48B8-820D-6AAC96ED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3912</Words>
  <Characters>21518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HSJD</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fvidal</dc:creator>
  <cp:lastModifiedBy>Belen Ramos Josemaria</cp:lastModifiedBy>
  <cp:revision>2</cp:revision>
  <cp:lastPrinted>2020-02-19T10:13:00Z</cp:lastPrinted>
  <dcterms:created xsi:type="dcterms:W3CDTF">2020-06-09T05:39:00Z</dcterms:created>
  <dcterms:modified xsi:type="dcterms:W3CDTF">2020-06-09T05:39:00Z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http://www.zotero.org/styles/european-neuropsychopharmacology</vt:lpwstr>
  </property>
  <property fmtid="{D5CDD505-2E9C-101B-9397-08002B2CF9AE}" pid="11" name="Mendeley Recent Style Name 4_1">
    <vt:lpwstr>European Neuropsychopharmacology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5347d400-ceb4-3470-a274-b6e9a13ff68e</vt:lpwstr>
  </property>
  <property fmtid="{D5CDD505-2E9C-101B-9397-08002B2CF9AE}" pid="24" name="Mendeley Citation Style_1">
    <vt:lpwstr>http://www.zotero.org/styles/european-neuropsychopharmacology</vt:lpwstr>
  </property>
</Properties>
</file>