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1" w:rsidRDefault="00FD4DE1" w:rsidP="00FD4DE1">
      <w:pPr>
        <w:spacing w:line="360" w:lineRule="auto"/>
        <w:jc w:val="both"/>
        <w:rPr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Supplemental </w:t>
      </w:r>
      <w:r w:rsidRPr="00AD5F54">
        <w:rPr>
          <w:b/>
          <w:lang w:val="en-US"/>
        </w:rPr>
        <w:t>Table S</w:t>
      </w:r>
      <w:r>
        <w:rPr>
          <w:b/>
          <w:lang w:val="en-US"/>
        </w:rPr>
        <w:t>4</w:t>
      </w:r>
      <w:r w:rsidRPr="00AD5F54">
        <w:rPr>
          <w:b/>
          <w:lang w:val="en-US"/>
        </w:rPr>
        <w:t>:</w:t>
      </w:r>
      <w:r w:rsidRPr="00AD5F54">
        <w:rPr>
          <w:lang w:val="en-US"/>
        </w:rPr>
        <w:t xml:space="preserve"> List of predictive genes </w:t>
      </w:r>
      <w:r>
        <w:rPr>
          <w:lang w:val="en-US"/>
        </w:rPr>
        <w:t>defining</w:t>
      </w:r>
      <w:r w:rsidRPr="00AD5F54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F77FEF">
        <w:rPr>
          <w:u w:val="single"/>
          <w:lang w:val="en-US"/>
        </w:rPr>
        <w:t>m</w:t>
      </w:r>
      <w:r w:rsidRPr="00F77FEF">
        <w:rPr>
          <w:lang w:val="en-US"/>
        </w:rPr>
        <w:t>yeloid-progenitor-cell-subset-</w:t>
      </w:r>
      <w:r w:rsidRPr="00F77FEF">
        <w:rPr>
          <w:u w:val="single"/>
          <w:lang w:val="en-US"/>
        </w:rPr>
        <w:t>a</w:t>
      </w:r>
      <w:r w:rsidRPr="00F77FEF">
        <w:rPr>
          <w:lang w:val="en-US"/>
        </w:rPr>
        <w:t xml:space="preserve">ssociated </w:t>
      </w:r>
      <w:r w:rsidRPr="00F77FEF">
        <w:rPr>
          <w:u w:val="single"/>
          <w:lang w:val="en-US"/>
        </w:rPr>
        <w:t>g</w:t>
      </w:r>
      <w:r w:rsidRPr="00F77FEF">
        <w:rPr>
          <w:lang w:val="en-US"/>
        </w:rPr>
        <w:t xml:space="preserve">ene </w:t>
      </w:r>
      <w:r w:rsidRPr="00F77FEF">
        <w:rPr>
          <w:u w:val="single"/>
          <w:lang w:val="en-US"/>
        </w:rPr>
        <w:t>s</w:t>
      </w:r>
      <w:r w:rsidRPr="00F77FEF">
        <w:rPr>
          <w:lang w:val="en-US"/>
        </w:rPr>
        <w:t xml:space="preserve">ignatures </w:t>
      </w:r>
      <w:r w:rsidRPr="00AD5F54">
        <w:rPr>
          <w:lang w:val="en-US"/>
        </w:rPr>
        <w:t>(MAGS) classification</w:t>
      </w:r>
      <w:r>
        <w:rPr>
          <w:lang w:val="en-US"/>
        </w:rPr>
        <w:t xml:space="preserve"> and estimated classification coefficients for each MAGS subtype</w:t>
      </w:r>
      <w:r w:rsidRPr="00AD5F54">
        <w:rPr>
          <w:lang w:val="en-US"/>
        </w:rPr>
        <w:t>.</w:t>
      </w:r>
      <w:r w:rsidRPr="003F159A">
        <w:rPr>
          <w:lang w:val="en-US"/>
        </w:rPr>
        <w:t xml:space="preserve"> </w:t>
      </w:r>
      <w:r w:rsidRPr="00B36A11">
        <w:rPr>
          <w:lang w:val="en-US"/>
        </w:rPr>
        <w:t>Classification coefficients were obtained from regularized multinomial regression with three discrete outcomes (HSC, MEP</w:t>
      </w:r>
      <w:r>
        <w:rPr>
          <w:lang w:val="en-US"/>
        </w:rPr>
        <w:t>,</w:t>
      </w:r>
      <w:r w:rsidRPr="00B36A11">
        <w:rPr>
          <w:lang w:val="en-US"/>
        </w:rPr>
        <w:t xml:space="preserve"> GMP) </w:t>
      </w:r>
      <w:r>
        <w:rPr>
          <w:lang w:val="en-US"/>
        </w:rPr>
        <w:t>using</w:t>
      </w:r>
      <w:r w:rsidRPr="00B36A11">
        <w:rPr>
          <w:lang w:val="en-US"/>
        </w:rPr>
        <w:t xml:space="preserve"> an elastic net penalty.</w:t>
      </w:r>
      <w:r w:rsidRPr="003F159A">
        <w:rPr>
          <w:lang w:val="en-US"/>
        </w:rPr>
        <w:t xml:space="preserve"> </w:t>
      </w:r>
      <w:r w:rsidRPr="00B36A11">
        <w:rPr>
          <w:lang w:val="en-US"/>
        </w:rPr>
        <w:t xml:space="preserve">Genes marked in bold indicate subtype-specific predictive genes.  </w:t>
      </w:r>
      <w:r>
        <w:rPr>
          <w:lang w:val="en-US"/>
        </w:rPr>
        <w:t xml:space="preserve"> 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3578"/>
        <w:gridCol w:w="1676"/>
        <w:gridCol w:w="1351"/>
        <w:gridCol w:w="1531"/>
        <w:gridCol w:w="1440"/>
      </w:tblGrid>
      <w:tr w:rsidR="00FD4DE1" w:rsidRPr="009B5DB6" w:rsidTr="00AD7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Ensembl</w:t>
            </w:r>
            <w:proofErr w:type="spellEnd"/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 xml:space="preserve"> Gene ID</w:t>
            </w:r>
          </w:p>
        </w:tc>
        <w:tc>
          <w:tcPr>
            <w:tcW w:w="927" w:type="pct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HGNC S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ymbol</w:t>
            </w:r>
          </w:p>
        </w:tc>
        <w:tc>
          <w:tcPr>
            <w:tcW w:w="757" w:type="pct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HSC</w:t>
            </w:r>
          </w:p>
        </w:tc>
        <w:tc>
          <w:tcPr>
            <w:tcW w:w="851" w:type="pct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MEP</w:t>
            </w:r>
          </w:p>
        </w:tc>
        <w:tc>
          <w:tcPr>
            <w:tcW w:w="803" w:type="pct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GMP</w:t>
            </w:r>
          </w:p>
        </w:tc>
      </w:tr>
      <w:tr w:rsidR="00FD4DE1" w:rsidRPr="009B5DB6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ENSG00000108924</w:t>
            </w:r>
          </w:p>
        </w:tc>
        <w:tc>
          <w:tcPr>
            <w:tcW w:w="927" w:type="pct"/>
            <w:tcBorders>
              <w:top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HLF</w:t>
            </w:r>
          </w:p>
        </w:tc>
        <w:tc>
          <w:tcPr>
            <w:tcW w:w="757" w:type="pct"/>
            <w:tcBorders>
              <w:top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561</w:t>
            </w:r>
          </w:p>
        </w:tc>
        <w:tc>
          <w:tcPr>
            <w:tcW w:w="851" w:type="pct"/>
            <w:tcBorders>
              <w:top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tcBorders>
              <w:top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ENSG00000184905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TCEAL2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305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ENSG00000153234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NR4A2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218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ENSG00000138678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GPAT3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217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ENSG00000184226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PCDH9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194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ENSG00000109321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AREG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190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ENSG00000168967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PMCHL1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171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ENSG00000258791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LINC00520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131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ENSG00000163659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TIPARP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122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ENSG00000073756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PTGS2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105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ENSG00000090104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RGS1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100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ENSG00000118503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TNFAIP3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051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ENSG00000138722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MMRN1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048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ENSG00000138669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PRKG2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041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ENSG00000179388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EGR3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033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ENSG00000163737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PF4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026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ENSG00000128218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VPREB3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025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ENSG00000162692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VCAM1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011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9B5DB6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ENSG00000136929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HEMGN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007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6B3D99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ENSG00000254303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n.a</w:t>
            </w:r>
            <w:proofErr w:type="spellEnd"/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.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002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333F2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ENSG00000137076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TLN1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-0.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019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333F2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ENSG00000077984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CST7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-0.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043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333F2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ENSG00000164626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KCNK5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-0.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048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000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n-US" w:eastAsia="da-DK"/>
              </w:rPr>
              <w:t>ENSG00000</w:t>
            </w: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099956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SMARCB1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051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ENSG00000183971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NPW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065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ENSG00000189068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VSTM1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072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lastRenderedPageBreak/>
              <w:t>ENSG00000142453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CARM1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076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ENSG00000170043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TRAPPC1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088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ENSG00000123143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PKN1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120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ENSG00000196415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PRTN3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-0.</w:t>
            </w: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131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5034B4">
              <w:rPr>
                <w:rFonts w:asciiTheme="majorHAnsi" w:hAnsiTheme="majorHAnsi"/>
                <w:sz w:val="18"/>
                <w:szCs w:val="18"/>
                <w:lang w:val="en-US"/>
              </w:rPr>
              <w:t>Predictive genes specific to HSC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30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6A365B" w:rsidRDefault="00FD4DE1" w:rsidP="00AD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Ensembl</w:t>
            </w:r>
            <w:proofErr w:type="spellEnd"/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 xml:space="preserve"> Gene ID</w:t>
            </w:r>
          </w:p>
        </w:tc>
        <w:tc>
          <w:tcPr>
            <w:tcW w:w="92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HGNC Symbol</w:t>
            </w:r>
          </w:p>
        </w:tc>
        <w:tc>
          <w:tcPr>
            <w:tcW w:w="75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HSC</w:t>
            </w:r>
          </w:p>
        </w:tc>
        <w:tc>
          <w:tcPr>
            <w:tcW w:w="85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MEP</w:t>
            </w:r>
          </w:p>
        </w:tc>
        <w:tc>
          <w:tcPr>
            <w:tcW w:w="80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GMP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ENSG00000105610</w:t>
            </w:r>
          </w:p>
        </w:tc>
        <w:tc>
          <w:tcPr>
            <w:tcW w:w="927" w:type="pct"/>
            <w:tcBorders>
              <w:top w:val="double" w:sz="4" w:space="0" w:color="auto"/>
            </w:tcBorders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KLF1</w:t>
            </w:r>
          </w:p>
        </w:tc>
        <w:tc>
          <w:tcPr>
            <w:tcW w:w="757" w:type="pct"/>
            <w:tcBorders>
              <w:top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tcBorders>
              <w:top w:val="double" w:sz="4" w:space="0" w:color="auto"/>
            </w:tcBorders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0,262</w:t>
            </w:r>
          </w:p>
        </w:tc>
        <w:tc>
          <w:tcPr>
            <w:tcW w:w="803" w:type="pct"/>
            <w:tcBorders>
              <w:top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0,000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ENSG00000180537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RNF182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0,140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0,000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ENSG00000071575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TRIB2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117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ENSG00000167641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PPP1R14A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105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ENSG00000029534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ANK1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105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ENSG00000137267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TUBB2A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075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ENSG00000166831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RBPMS2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072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ENSG00000148288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GBGT1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060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ENSG00000055118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KCNH2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048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ENSG00000169877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AHSP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0,042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ENSG00000005961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ITGA2B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026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ENSG00000143416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SELENBP1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006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ENSG00000139278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GLIPR1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014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ENSG00000132465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JCHAIN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027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ENSG00000126860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EVI2A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040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ENSG00000121966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CXCR4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073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ENSG00000143546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S100A8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079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ENSG00000122025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FLT3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146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ENSG00000132274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TRIM22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149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5034B4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5034B4">
              <w:rPr>
                <w:rFonts w:asciiTheme="majorHAnsi" w:hAnsiTheme="majorHAnsi"/>
                <w:sz w:val="18"/>
                <w:szCs w:val="18"/>
                <w:lang w:val="en-US"/>
              </w:rPr>
              <w:t>Predictive genes specific to  MEP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19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</w:tr>
      <w:tr w:rsidR="00FD4DE1" w:rsidRPr="005034B4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Ensembl</w:t>
            </w:r>
            <w:proofErr w:type="spellEnd"/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 xml:space="preserve"> Gene ID</w:t>
            </w:r>
          </w:p>
        </w:tc>
        <w:tc>
          <w:tcPr>
            <w:tcW w:w="92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HGNC Symbol</w:t>
            </w:r>
          </w:p>
        </w:tc>
        <w:tc>
          <w:tcPr>
            <w:tcW w:w="75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HSC</w:t>
            </w:r>
          </w:p>
        </w:tc>
        <w:tc>
          <w:tcPr>
            <w:tcW w:w="85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MEP</w:t>
            </w:r>
          </w:p>
        </w:tc>
        <w:tc>
          <w:tcPr>
            <w:tcW w:w="80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GMP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ENSG00000242550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SERPINB10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170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ENSG00000163563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MNDA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151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ENSG00000157445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CACNA2D3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131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ENSG00000169252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ADRB2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128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lastRenderedPageBreak/>
              <w:t>ENSG00000100097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LGALS1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120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ENSG00000121552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CSTA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095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ENSG00000124491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F13A1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091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ENSG00000182718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ANXA2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052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ENSG00000120280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CXorf21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042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ENSG00000255833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TIFAB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040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ENSG00000182578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CSF1R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035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ENSG00000179218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CALR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034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ENSG00000095585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BLNK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032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ENSG00000176076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KCNE5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022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ENSG00000005844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ITGAL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010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ENSG00000103811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CTSH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004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ENSG00000163554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SPTA1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048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AFFX-r2-Bs-dap-3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n.a.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052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ENSG00000103316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CRYM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057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ENSG00000133026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MYH10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060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ENSG00000109255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NMU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078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ENSG00000115641</w:t>
            </w:r>
          </w:p>
        </w:tc>
        <w:tc>
          <w:tcPr>
            <w:tcW w:w="927" w:type="pct"/>
            <w:noWrap/>
            <w:hideMark/>
          </w:tcPr>
          <w:p w:rsidR="00FD4DE1" w:rsidRPr="00A274F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FHL2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209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ENSG00000244734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noWrap/>
            <w:hideMark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HBB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noWrap/>
            <w:hideMark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.</w:t>
            </w: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eastAsia="da-DK"/>
              </w:rPr>
              <w:t>465</w:t>
            </w:r>
          </w:p>
        </w:tc>
      </w:tr>
      <w:tr w:rsidR="00FD4DE1" w:rsidRPr="005034B4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5034B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Predictive genes specific to 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G</w:t>
            </w:r>
            <w:r w:rsidRPr="005034B4">
              <w:rPr>
                <w:rFonts w:asciiTheme="majorHAnsi" w:hAnsiTheme="majorHAnsi"/>
                <w:sz w:val="18"/>
                <w:szCs w:val="18"/>
                <w:lang w:val="en-US"/>
              </w:rPr>
              <w:t>MP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A274F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</w:pPr>
            <w:r w:rsidRPr="00A274F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23</w:t>
            </w:r>
          </w:p>
        </w:tc>
      </w:tr>
      <w:tr w:rsidR="00FD4DE1" w:rsidRPr="005034B4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</w:tr>
      <w:tr w:rsidR="00FD4DE1" w:rsidRPr="005034B4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Ensembl</w:t>
            </w:r>
            <w:proofErr w:type="spellEnd"/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 xml:space="preserve"> Gene ID</w:t>
            </w:r>
          </w:p>
        </w:tc>
        <w:tc>
          <w:tcPr>
            <w:tcW w:w="92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HGNC Symbol</w:t>
            </w:r>
          </w:p>
        </w:tc>
        <w:tc>
          <w:tcPr>
            <w:tcW w:w="75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HSC</w:t>
            </w:r>
          </w:p>
        </w:tc>
        <w:tc>
          <w:tcPr>
            <w:tcW w:w="85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MEP</w:t>
            </w:r>
          </w:p>
        </w:tc>
        <w:tc>
          <w:tcPr>
            <w:tcW w:w="80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GMP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ENSG00000145708</w:t>
            </w:r>
          </w:p>
        </w:tc>
        <w:tc>
          <w:tcPr>
            <w:tcW w:w="927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CRHBP</w:t>
            </w:r>
          </w:p>
        </w:tc>
        <w:tc>
          <w:tcPr>
            <w:tcW w:w="757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659</w:t>
            </w:r>
          </w:p>
        </w:tc>
        <w:tc>
          <w:tcPr>
            <w:tcW w:w="851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132</w:t>
            </w:r>
          </w:p>
        </w:tc>
        <w:tc>
          <w:tcPr>
            <w:tcW w:w="803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ENSG00000168209</w:t>
            </w:r>
          </w:p>
        </w:tc>
        <w:tc>
          <w:tcPr>
            <w:tcW w:w="927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DDIT4</w:t>
            </w:r>
          </w:p>
        </w:tc>
        <w:tc>
          <w:tcPr>
            <w:tcW w:w="757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177</w:t>
            </w:r>
          </w:p>
        </w:tc>
        <w:tc>
          <w:tcPr>
            <w:tcW w:w="851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122</w:t>
            </w:r>
          </w:p>
        </w:tc>
        <w:tc>
          <w:tcPr>
            <w:tcW w:w="803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ENSG00000081041</w:t>
            </w:r>
          </w:p>
        </w:tc>
        <w:tc>
          <w:tcPr>
            <w:tcW w:w="927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CXCL2</w:t>
            </w:r>
          </w:p>
        </w:tc>
        <w:tc>
          <w:tcPr>
            <w:tcW w:w="757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172</w:t>
            </w:r>
          </w:p>
        </w:tc>
        <w:tc>
          <w:tcPr>
            <w:tcW w:w="851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084</w:t>
            </w:r>
          </w:p>
        </w:tc>
        <w:tc>
          <w:tcPr>
            <w:tcW w:w="803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ENSG00000110848</w:t>
            </w:r>
          </w:p>
        </w:tc>
        <w:tc>
          <w:tcPr>
            <w:tcW w:w="927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CD69</w:t>
            </w:r>
          </w:p>
        </w:tc>
        <w:tc>
          <w:tcPr>
            <w:tcW w:w="757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136</w:t>
            </w:r>
          </w:p>
        </w:tc>
        <w:tc>
          <w:tcPr>
            <w:tcW w:w="851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003</w:t>
            </w:r>
          </w:p>
        </w:tc>
        <w:tc>
          <w:tcPr>
            <w:tcW w:w="803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ENSG00000169429</w:t>
            </w:r>
          </w:p>
        </w:tc>
        <w:tc>
          <w:tcPr>
            <w:tcW w:w="927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CXCL8</w:t>
            </w:r>
          </w:p>
        </w:tc>
        <w:tc>
          <w:tcPr>
            <w:tcW w:w="757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121</w:t>
            </w:r>
          </w:p>
        </w:tc>
        <w:tc>
          <w:tcPr>
            <w:tcW w:w="851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072</w:t>
            </w:r>
          </w:p>
        </w:tc>
        <w:tc>
          <w:tcPr>
            <w:tcW w:w="803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ENSG00000145248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SLC10A4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049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440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</w:tr>
      <w:tr w:rsidR="00FD4DE1" w:rsidRPr="005034B4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FD4DE1" w:rsidRPr="005034B4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5034B4">
              <w:rPr>
                <w:rFonts w:asciiTheme="majorHAnsi" w:hAnsiTheme="majorHAnsi"/>
                <w:sz w:val="18"/>
                <w:szCs w:val="18"/>
                <w:lang w:val="en-US"/>
              </w:rPr>
              <w:t>Predicted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genes overlapping HSC &amp; </w:t>
            </w:r>
            <w:r w:rsidRPr="005034B4">
              <w:rPr>
                <w:rFonts w:asciiTheme="majorHAnsi" w:hAnsiTheme="majorHAnsi"/>
                <w:sz w:val="18"/>
                <w:szCs w:val="18"/>
                <w:lang w:val="en-US"/>
              </w:rPr>
              <w:t>M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E</w:t>
            </w:r>
            <w:r w:rsidRPr="005034B4">
              <w:rPr>
                <w:rFonts w:asciiTheme="majorHAnsi" w:hAnsiTheme="majorHAnsi"/>
                <w:sz w:val="18"/>
                <w:szCs w:val="18"/>
                <w:lang w:val="en-US"/>
              </w:rPr>
              <w:t>P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FD4DE1" w:rsidRPr="005034B4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FD4DE1" w:rsidRPr="005034B4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6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FD4DE1" w:rsidRPr="005034B4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FD4DE1" w:rsidRPr="005034B4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</w:tr>
      <w:tr w:rsidR="00FD4DE1" w:rsidRPr="005034B4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</w:tr>
      <w:tr w:rsidR="00FD4DE1" w:rsidRPr="005034B4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Ensembl</w:t>
            </w:r>
            <w:proofErr w:type="spellEnd"/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 xml:space="preserve"> Gene ID</w:t>
            </w:r>
          </w:p>
        </w:tc>
        <w:tc>
          <w:tcPr>
            <w:tcW w:w="92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HGNC Symbol</w:t>
            </w:r>
          </w:p>
        </w:tc>
        <w:tc>
          <w:tcPr>
            <w:tcW w:w="75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HSC</w:t>
            </w:r>
          </w:p>
        </w:tc>
        <w:tc>
          <w:tcPr>
            <w:tcW w:w="85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MEP</w:t>
            </w:r>
          </w:p>
        </w:tc>
        <w:tc>
          <w:tcPr>
            <w:tcW w:w="80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GMP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ENSG00000185022</w:t>
            </w:r>
          </w:p>
        </w:tc>
        <w:tc>
          <w:tcPr>
            <w:tcW w:w="927" w:type="pct"/>
            <w:tcBorders>
              <w:top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MAFF</w:t>
            </w:r>
          </w:p>
        </w:tc>
        <w:tc>
          <w:tcPr>
            <w:tcW w:w="757" w:type="pct"/>
            <w:tcBorders>
              <w:top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110</w:t>
            </w:r>
          </w:p>
        </w:tc>
        <w:tc>
          <w:tcPr>
            <w:tcW w:w="851" w:type="pct"/>
            <w:tcBorders>
              <w:top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tcBorders>
              <w:top w:val="doub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025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ENSG00000164181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ELOVL7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044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093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lastRenderedPageBreak/>
              <w:t>ENSG00000005381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MPO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014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002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ENSG00000149516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MS4A3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038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167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ENSG00000121211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MND1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120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018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ENSG00000108953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YWHAE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179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030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ENSG00000108518</w:t>
            </w:r>
          </w:p>
        </w:tc>
        <w:tc>
          <w:tcPr>
            <w:tcW w:w="927" w:type="pct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PFN1</w:t>
            </w:r>
          </w:p>
        </w:tc>
        <w:tc>
          <w:tcPr>
            <w:tcW w:w="757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295</w:t>
            </w:r>
          </w:p>
        </w:tc>
        <w:tc>
          <w:tcPr>
            <w:tcW w:w="851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040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ENSG00000172232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AZU1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374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181</w:t>
            </w:r>
          </w:p>
        </w:tc>
      </w:tr>
      <w:tr w:rsidR="00FD4DE1" w:rsidRPr="005034B4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5034B4">
              <w:rPr>
                <w:rFonts w:asciiTheme="majorHAnsi" w:hAnsiTheme="majorHAnsi"/>
                <w:sz w:val="18"/>
                <w:szCs w:val="18"/>
                <w:lang w:val="en-US"/>
              </w:rPr>
              <w:t>Predicted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genes overlapping HSC &amp; G</w:t>
            </w:r>
            <w:r w:rsidRPr="005034B4">
              <w:rPr>
                <w:rFonts w:asciiTheme="majorHAnsi" w:hAnsiTheme="majorHAnsi"/>
                <w:sz w:val="18"/>
                <w:szCs w:val="18"/>
                <w:lang w:val="en-US"/>
              </w:rPr>
              <w:t>MP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8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8</w:t>
            </w:r>
          </w:p>
        </w:tc>
      </w:tr>
      <w:tr w:rsidR="00FD4DE1" w:rsidRPr="005034B4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4DE1" w:rsidRPr="005034B4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</w:tr>
      <w:tr w:rsidR="00FD4DE1" w:rsidRPr="005034B4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Ensembl</w:t>
            </w:r>
            <w:proofErr w:type="spellEnd"/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 xml:space="preserve"> Gene ID</w:t>
            </w:r>
          </w:p>
        </w:tc>
        <w:tc>
          <w:tcPr>
            <w:tcW w:w="92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HGNC Symbol</w:t>
            </w:r>
          </w:p>
        </w:tc>
        <w:tc>
          <w:tcPr>
            <w:tcW w:w="75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HSC</w:t>
            </w:r>
          </w:p>
        </w:tc>
        <w:tc>
          <w:tcPr>
            <w:tcW w:w="85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MEP</w:t>
            </w:r>
          </w:p>
        </w:tc>
        <w:tc>
          <w:tcPr>
            <w:tcW w:w="80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:rsidR="00FD4DE1" w:rsidRPr="005034B4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6A365B">
              <w:rPr>
                <w:rFonts w:asciiTheme="majorHAnsi" w:eastAsia="Times New Roman" w:hAnsiTheme="majorHAnsi" w:cs="Arial"/>
                <w:b/>
                <w:sz w:val="18"/>
                <w:szCs w:val="18"/>
                <w:lang w:val="en-US" w:eastAsia="da-DK"/>
              </w:rPr>
              <w:t>GMP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ENSG00000119865</w:t>
            </w:r>
          </w:p>
        </w:tc>
        <w:tc>
          <w:tcPr>
            <w:tcW w:w="927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CNRIP1</w:t>
            </w:r>
          </w:p>
        </w:tc>
        <w:tc>
          <w:tcPr>
            <w:tcW w:w="757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185</w:t>
            </w:r>
          </w:p>
        </w:tc>
        <w:tc>
          <w:tcPr>
            <w:tcW w:w="803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356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ENSG00000130208</w:t>
            </w:r>
          </w:p>
        </w:tc>
        <w:tc>
          <w:tcPr>
            <w:tcW w:w="927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APOC1</w:t>
            </w:r>
          </w:p>
        </w:tc>
        <w:tc>
          <w:tcPr>
            <w:tcW w:w="757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156</w:t>
            </w:r>
          </w:p>
        </w:tc>
        <w:tc>
          <w:tcPr>
            <w:tcW w:w="803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066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ENSG00000223609</w:t>
            </w:r>
          </w:p>
        </w:tc>
        <w:tc>
          <w:tcPr>
            <w:tcW w:w="927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HBD</w:t>
            </w:r>
          </w:p>
        </w:tc>
        <w:tc>
          <w:tcPr>
            <w:tcW w:w="757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066</w:t>
            </w:r>
          </w:p>
        </w:tc>
        <w:tc>
          <w:tcPr>
            <w:tcW w:w="803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441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ENSG00000197629</w:t>
            </w:r>
          </w:p>
        </w:tc>
        <w:tc>
          <w:tcPr>
            <w:tcW w:w="927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MPEG1</w:t>
            </w:r>
          </w:p>
        </w:tc>
        <w:tc>
          <w:tcPr>
            <w:tcW w:w="757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029</w:t>
            </w:r>
          </w:p>
        </w:tc>
        <w:tc>
          <w:tcPr>
            <w:tcW w:w="803" w:type="pct"/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109</w:t>
            </w:r>
          </w:p>
        </w:tc>
      </w:tr>
      <w:tr w:rsidR="00FD4DE1" w:rsidRPr="006A365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ENSG00000090382</w:t>
            </w:r>
          </w:p>
        </w:tc>
        <w:tc>
          <w:tcPr>
            <w:tcW w:w="927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LYZ</w:t>
            </w:r>
          </w:p>
        </w:tc>
        <w:tc>
          <w:tcPr>
            <w:tcW w:w="757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050</w:t>
            </w:r>
          </w:p>
        </w:tc>
        <w:tc>
          <w:tcPr>
            <w:tcW w:w="803" w:type="pct"/>
            <w:shd w:val="clear" w:color="auto" w:fill="F2F2F2" w:themeFill="background1" w:themeFillShade="F2"/>
            <w:noWrap/>
            <w:hideMark/>
          </w:tcPr>
          <w:p w:rsidR="00FD4DE1" w:rsidRPr="006A365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011</w:t>
            </w:r>
          </w:p>
        </w:tc>
      </w:tr>
      <w:tr w:rsidR="00FD4DE1" w:rsidRPr="006A365B" w:rsidTr="00AD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da-DK"/>
              </w:rPr>
              <w:t>ENSG00000140968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IRF8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000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-0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068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D4DE1" w:rsidRPr="006A365B" w:rsidRDefault="00FD4DE1" w:rsidP="00AD75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</w:pP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0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.</w:t>
            </w:r>
            <w:r w:rsidRPr="006A365B">
              <w:rPr>
                <w:rFonts w:asciiTheme="majorHAnsi" w:eastAsia="Times New Roman" w:hAnsiTheme="majorHAnsi" w:cs="Arial"/>
                <w:sz w:val="18"/>
                <w:szCs w:val="18"/>
                <w:lang w:eastAsia="da-DK"/>
              </w:rPr>
              <w:t>104</w:t>
            </w:r>
          </w:p>
        </w:tc>
      </w:tr>
      <w:tr w:rsidR="00FD4DE1" w:rsidRPr="00A274FB" w:rsidTr="00AD75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FD4DE1" w:rsidRPr="00A274FB" w:rsidRDefault="00FD4DE1" w:rsidP="00AD753F">
            <w:pP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 w:rsidRPr="005034B4">
              <w:rPr>
                <w:rFonts w:asciiTheme="majorHAnsi" w:hAnsiTheme="majorHAnsi"/>
                <w:sz w:val="18"/>
                <w:szCs w:val="18"/>
                <w:lang w:val="en-US"/>
              </w:rPr>
              <w:t>Predicted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genes overlapping MEP &amp; G</w:t>
            </w:r>
            <w:r w:rsidRPr="005034B4">
              <w:rPr>
                <w:rFonts w:asciiTheme="majorHAnsi" w:hAnsiTheme="majorHAnsi"/>
                <w:sz w:val="18"/>
                <w:szCs w:val="18"/>
                <w:lang w:val="en-US"/>
              </w:rPr>
              <w:t>MP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FD4DE1" w:rsidRPr="00A274FB" w:rsidRDefault="00FD4DE1" w:rsidP="00AD7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FD4DE1" w:rsidRPr="00A274FB" w:rsidRDefault="00FD4DE1" w:rsidP="00AD7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n-US" w:eastAsia="da-DK"/>
              </w:rPr>
              <w:t>6</w:t>
            </w:r>
          </w:p>
        </w:tc>
      </w:tr>
    </w:tbl>
    <w:p w:rsidR="00FD4DE1" w:rsidRDefault="00FD4DE1" w:rsidP="00FD4DE1">
      <w:pPr>
        <w:spacing w:line="360" w:lineRule="auto"/>
        <w:jc w:val="both"/>
        <w:rPr>
          <w:rFonts w:asciiTheme="majorHAnsi" w:hAnsiTheme="majorHAnsi"/>
          <w:sz w:val="18"/>
          <w:szCs w:val="18"/>
          <w:lang w:val="en-US"/>
        </w:rPr>
      </w:pPr>
      <w:r>
        <w:rPr>
          <w:rFonts w:asciiTheme="majorHAnsi" w:hAnsiTheme="majorHAnsi"/>
          <w:sz w:val="18"/>
          <w:szCs w:val="18"/>
          <w:lang w:val="en-US"/>
        </w:rPr>
        <w:t xml:space="preserve">Abbreviations: </w:t>
      </w:r>
      <w:r w:rsidRPr="001209AA">
        <w:rPr>
          <w:rFonts w:asciiTheme="majorHAnsi" w:hAnsiTheme="majorHAnsi"/>
          <w:sz w:val="18"/>
          <w:szCs w:val="18"/>
          <w:lang w:val="en-US"/>
        </w:rPr>
        <w:t>HSC,</w:t>
      </w:r>
      <w:r w:rsidRPr="001209AA">
        <w:rPr>
          <w:rFonts w:asciiTheme="majorHAnsi" w:hAnsiTheme="majorHAnsi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>hematopoietic stem cells; GMP, granulocytic-</w:t>
      </w:r>
      <w:proofErr w:type="spellStart"/>
      <w:r w:rsidRPr="001209AA">
        <w:rPr>
          <w:rFonts w:asciiTheme="majorHAnsi" w:hAnsiTheme="majorHAnsi"/>
          <w:sz w:val="18"/>
          <w:szCs w:val="18"/>
          <w:lang w:val="en-US"/>
        </w:rPr>
        <w:t>monocytic</w:t>
      </w:r>
      <w:proofErr w:type="spellEnd"/>
      <w:r w:rsidRPr="001209AA">
        <w:rPr>
          <w:rFonts w:asciiTheme="majorHAnsi" w:hAnsiTheme="majorHAnsi"/>
          <w:sz w:val="18"/>
          <w:szCs w:val="18"/>
          <w:lang w:val="en-US"/>
        </w:rPr>
        <w:t xml:space="preserve"> progenitors; MEP, megakaryocyte-erythroid progenitors</w:t>
      </w:r>
    </w:p>
    <w:p w:rsidR="000012AF" w:rsidRPr="00FD4DE1" w:rsidRDefault="000012AF" w:rsidP="00FD4DE1"/>
    <w:sectPr w:rsidR="000012AF" w:rsidRPr="00FD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9A81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4D6352"/>
    <w:multiLevelType w:val="hybridMultilevel"/>
    <w:tmpl w:val="D03AB8B6"/>
    <w:lvl w:ilvl="0" w:tplc="4C3E7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F"/>
    <w:rsid w:val="000012AF"/>
    <w:rsid w:val="0016341F"/>
    <w:rsid w:val="00635D1F"/>
    <w:rsid w:val="00E5042B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1F"/>
    <w:pPr>
      <w:spacing w:after="160" w:line="259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1F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5D1F"/>
    <w:pPr>
      <w:spacing w:after="0" w:line="240" w:lineRule="auto"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635D1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4D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FD4D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FD4D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FD4D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DE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FD4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DE1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DE1"/>
    <w:rPr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E1"/>
    <w:rPr>
      <w:rFonts w:ascii="Segoe UI" w:hAnsi="Segoe UI" w:cs="Segoe UI"/>
      <w:sz w:val="18"/>
      <w:szCs w:val="18"/>
      <w:lang w:val="da-DK"/>
    </w:rPr>
  </w:style>
  <w:style w:type="character" w:customStyle="1" w:styleId="apple-converted-space">
    <w:name w:val="apple-converted-space"/>
    <w:basedOn w:val="DefaultParagraphFont"/>
    <w:rsid w:val="00FD4DE1"/>
  </w:style>
  <w:style w:type="character" w:styleId="Emphasis">
    <w:name w:val="Emphasis"/>
    <w:basedOn w:val="DefaultParagraphFont"/>
    <w:uiPriority w:val="20"/>
    <w:qFormat/>
    <w:rsid w:val="00FD4DE1"/>
    <w:rPr>
      <w:i/>
      <w:iCs/>
    </w:rPr>
  </w:style>
  <w:style w:type="paragraph" w:styleId="ListParagraph">
    <w:name w:val="List Paragraph"/>
    <w:basedOn w:val="Normal"/>
    <w:uiPriority w:val="34"/>
    <w:qFormat/>
    <w:rsid w:val="00FD4D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4DE1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1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F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1"/>
    <w:rPr>
      <w:lang w:val="da-DK"/>
    </w:rPr>
  </w:style>
  <w:style w:type="character" w:styleId="LineNumber">
    <w:name w:val="line number"/>
    <w:basedOn w:val="DefaultParagraphFont"/>
    <w:uiPriority w:val="99"/>
    <w:semiHidden/>
    <w:unhideWhenUsed/>
    <w:rsid w:val="00FD4DE1"/>
  </w:style>
  <w:style w:type="table" w:customStyle="1" w:styleId="PlainTable4">
    <w:name w:val="Plain Table 4"/>
    <w:basedOn w:val="TableNormal"/>
    <w:uiPriority w:val="44"/>
    <w:rsid w:val="00FD4DE1"/>
    <w:pPr>
      <w:spacing w:after="0" w:line="240" w:lineRule="auto"/>
    </w:pPr>
    <w:rPr>
      <w:lang w:val="da-D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Bullet">
    <w:name w:val="List Bullet"/>
    <w:basedOn w:val="Normal"/>
    <w:link w:val="ListBulletChar"/>
    <w:uiPriority w:val="99"/>
    <w:unhideWhenUsed/>
    <w:rsid w:val="00FD4DE1"/>
    <w:pPr>
      <w:numPr>
        <w:numId w:val="2"/>
      </w:numPr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FD4D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da-DK"/>
    </w:rPr>
  </w:style>
  <w:style w:type="paragraph" w:customStyle="1" w:styleId="EndNoteBibliographyTitle">
    <w:name w:val="EndNote Bibliography Title"/>
    <w:basedOn w:val="Normal"/>
    <w:link w:val="EndNoteBibliographyTitleChar"/>
    <w:rsid w:val="00FD4DE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FD4DE1"/>
  </w:style>
  <w:style w:type="character" w:customStyle="1" w:styleId="EndNoteBibliographyTitleChar">
    <w:name w:val="EndNote Bibliography Title Char"/>
    <w:basedOn w:val="ListBulletChar"/>
    <w:link w:val="EndNoteBibliographyTitle"/>
    <w:rsid w:val="00FD4DE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D4DE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BulletChar"/>
    <w:link w:val="EndNoteBibliography"/>
    <w:rsid w:val="00FD4DE1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FD4DE1"/>
    <w:pPr>
      <w:spacing w:after="0" w:line="240" w:lineRule="auto"/>
    </w:pPr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1F"/>
    <w:pPr>
      <w:spacing w:after="160" w:line="259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1F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5D1F"/>
    <w:pPr>
      <w:spacing w:after="0" w:line="240" w:lineRule="auto"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635D1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4D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FD4D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FD4D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FD4D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DE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FD4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DE1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DE1"/>
    <w:rPr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E1"/>
    <w:rPr>
      <w:rFonts w:ascii="Segoe UI" w:hAnsi="Segoe UI" w:cs="Segoe UI"/>
      <w:sz w:val="18"/>
      <w:szCs w:val="18"/>
      <w:lang w:val="da-DK"/>
    </w:rPr>
  </w:style>
  <w:style w:type="character" w:customStyle="1" w:styleId="apple-converted-space">
    <w:name w:val="apple-converted-space"/>
    <w:basedOn w:val="DefaultParagraphFont"/>
    <w:rsid w:val="00FD4DE1"/>
  </w:style>
  <w:style w:type="character" w:styleId="Emphasis">
    <w:name w:val="Emphasis"/>
    <w:basedOn w:val="DefaultParagraphFont"/>
    <w:uiPriority w:val="20"/>
    <w:qFormat/>
    <w:rsid w:val="00FD4DE1"/>
    <w:rPr>
      <w:i/>
      <w:iCs/>
    </w:rPr>
  </w:style>
  <w:style w:type="paragraph" w:styleId="ListParagraph">
    <w:name w:val="List Paragraph"/>
    <w:basedOn w:val="Normal"/>
    <w:uiPriority w:val="34"/>
    <w:qFormat/>
    <w:rsid w:val="00FD4D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4DE1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1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F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1"/>
    <w:rPr>
      <w:lang w:val="da-DK"/>
    </w:rPr>
  </w:style>
  <w:style w:type="character" w:styleId="LineNumber">
    <w:name w:val="line number"/>
    <w:basedOn w:val="DefaultParagraphFont"/>
    <w:uiPriority w:val="99"/>
    <w:semiHidden/>
    <w:unhideWhenUsed/>
    <w:rsid w:val="00FD4DE1"/>
  </w:style>
  <w:style w:type="table" w:customStyle="1" w:styleId="PlainTable4">
    <w:name w:val="Plain Table 4"/>
    <w:basedOn w:val="TableNormal"/>
    <w:uiPriority w:val="44"/>
    <w:rsid w:val="00FD4DE1"/>
    <w:pPr>
      <w:spacing w:after="0" w:line="240" w:lineRule="auto"/>
    </w:pPr>
    <w:rPr>
      <w:lang w:val="da-D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Bullet">
    <w:name w:val="List Bullet"/>
    <w:basedOn w:val="Normal"/>
    <w:link w:val="ListBulletChar"/>
    <w:uiPriority w:val="99"/>
    <w:unhideWhenUsed/>
    <w:rsid w:val="00FD4DE1"/>
    <w:pPr>
      <w:numPr>
        <w:numId w:val="2"/>
      </w:numPr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FD4D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da-DK"/>
    </w:rPr>
  </w:style>
  <w:style w:type="paragraph" w:customStyle="1" w:styleId="EndNoteBibliographyTitle">
    <w:name w:val="EndNote Bibliography Title"/>
    <w:basedOn w:val="Normal"/>
    <w:link w:val="EndNoteBibliographyTitleChar"/>
    <w:rsid w:val="00FD4DE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FD4DE1"/>
  </w:style>
  <w:style w:type="character" w:customStyle="1" w:styleId="EndNoteBibliographyTitleChar">
    <w:name w:val="EndNote Bibliography Title Char"/>
    <w:basedOn w:val="ListBulletChar"/>
    <w:link w:val="EndNoteBibliographyTitle"/>
    <w:rsid w:val="00FD4DE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D4DE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BulletChar"/>
    <w:link w:val="EndNoteBibliography"/>
    <w:rsid w:val="00FD4DE1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FD4DE1"/>
    <w:pPr>
      <w:spacing w:after="0" w:line="240" w:lineRule="auto"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2020-04-03T07:31:00Z</dcterms:created>
  <dcterms:modified xsi:type="dcterms:W3CDTF">2020-04-03T07:31:00Z</dcterms:modified>
</cp:coreProperties>
</file>