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3404"/>
        <w:gridCol w:w="1693"/>
        <w:gridCol w:w="1696"/>
        <w:gridCol w:w="1551"/>
        <w:gridCol w:w="1582"/>
        <w:gridCol w:w="1693"/>
        <w:gridCol w:w="1545"/>
      </w:tblGrid>
      <w:tr w:rsidR="008C032A" w:rsidRPr="00BC6E01" w14:paraId="51E8216F" w14:textId="77777777" w:rsidTr="00547297">
        <w:trPr>
          <w:trHeight w:val="228"/>
        </w:trPr>
        <w:tc>
          <w:tcPr>
            <w:tcW w:w="1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D65CF" w14:textId="6B6F61D1" w:rsidR="00BC6E01" w:rsidRPr="00BC6E01" w:rsidRDefault="00BC6E01" w:rsidP="00547297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bookmarkStart w:id="0" w:name="_GoBack"/>
            <w:bookmarkEnd w:id="0"/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657864C" w14:textId="77777777" w:rsidR="00BC6E01" w:rsidRPr="00BC6E01" w:rsidRDefault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  <w:t>All Participants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6C7F21E" w14:textId="579A493A" w:rsidR="00BC6E01" w:rsidRPr="00BC6E01" w:rsidRDefault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  <w:t>Participants Lost to</w:t>
            </w:r>
            <w:r w:rsidR="00C0377D"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  <w:t xml:space="preserve"> </w:t>
            </w:r>
            <w:r w:rsidRPr="00BC6E01"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  <w:t>Follow-Up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FA040F0" w14:textId="77777777" w:rsidR="00BC6E01" w:rsidRPr="00BC6E01" w:rsidRDefault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  <w:t>Remaining Participants</w:t>
            </w:r>
          </w:p>
        </w:tc>
      </w:tr>
      <w:tr w:rsidR="008C032A" w:rsidRPr="00BC6E01" w14:paraId="61DB9808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EE4" w14:textId="77777777" w:rsidR="00BC6E01" w:rsidRPr="00BC6E01" w:rsidRDefault="00BC6E01" w:rsidP="00BC6E01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1AC6D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Control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A524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Treatment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4439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Control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1925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Treatment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837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Control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07DE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Treatment</w:t>
            </w:r>
          </w:p>
        </w:tc>
      </w:tr>
      <w:tr w:rsidR="00BA562E" w:rsidRPr="00BC6E01" w14:paraId="2A51CF1E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5B8815" w14:textId="30ACBB9C" w:rsidR="00BA562E" w:rsidRPr="00547297" w:rsidRDefault="00BA562E" w:rsidP="00BC6E01">
            <w:pPr>
              <w:widowControl/>
              <w:spacing w:before="0"/>
              <w:ind w:left="0" w:right="0"/>
              <w:rPr>
                <w:rFonts w:cs="Times New Roman"/>
                <w:i/>
                <w:color w:val="000000"/>
                <w:sz w:val="22"/>
                <w:szCs w:val="22"/>
                <w:lang w:val="en-CA" w:eastAsia="en-US"/>
              </w:rPr>
            </w:pPr>
            <w:r>
              <w:rPr>
                <w:rFonts w:cs="Times New Roman"/>
                <w:i/>
                <w:color w:val="000000"/>
                <w:sz w:val="22"/>
                <w:szCs w:val="22"/>
                <w:lang w:val="en-CA" w:eastAsia="en-US"/>
              </w:rPr>
              <w:t>Gender: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805DCE" w14:textId="77777777" w:rsidR="00BA562E" w:rsidRPr="00BC6E01" w:rsidRDefault="00BA562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B68F2" w14:textId="77777777" w:rsidR="00BA562E" w:rsidRPr="00BC6E01" w:rsidRDefault="00BA562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160633" w14:textId="77777777" w:rsidR="00BA562E" w:rsidRPr="00BC6E01" w:rsidRDefault="00BA562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F896CA" w14:textId="77777777" w:rsidR="00BA562E" w:rsidRPr="00BC6E01" w:rsidRDefault="00BA562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BD8910" w14:textId="77777777" w:rsidR="00BA562E" w:rsidRPr="00BC6E01" w:rsidRDefault="00BA562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40282C" w14:textId="77777777" w:rsidR="00BA562E" w:rsidRPr="00BC6E01" w:rsidRDefault="00BA562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8C032A" w:rsidRPr="00BC6E01" w14:paraId="0F6653DF" w14:textId="77777777" w:rsidTr="00547297">
        <w:trPr>
          <w:trHeight w:val="246"/>
        </w:trPr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47D1" w14:textId="6DA62E14" w:rsidR="00BC6E01" w:rsidRPr="00BC6E01" w:rsidRDefault="00BA562E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BC6E01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Male 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3FFC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36.50%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77F5C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35.80%</w:t>
            </w:r>
          </w:p>
        </w:tc>
        <w:tc>
          <w:tcPr>
            <w:tcW w:w="58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A3A6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35.10%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BC5C2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33.60%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94F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36.70%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6B54F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36.60%</w:t>
            </w:r>
          </w:p>
        </w:tc>
      </w:tr>
      <w:tr w:rsidR="00BA562E" w:rsidRPr="00BC6E01" w14:paraId="1A24C3B6" w14:textId="77777777" w:rsidTr="00547297">
        <w:trPr>
          <w:trHeight w:val="246"/>
        </w:trPr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039D6" w14:textId="479234E1" w:rsidR="00BA562E" w:rsidRDefault="00BA562E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Female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79F15" w14:textId="1DC12519" w:rsidR="00BA562E" w:rsidRPr="00BC6E01" w:rsidRDefault="00172E2B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63.50%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EC864" w14:textId="15B8F4B8" w:rsidR="00BA562E" w:rsidRPr="00BC6E01" w:rsidRDefault="00172E2B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64.20%</w:t>
            </w:r>
          </w:p>
        </w:tc>
        <w:tc>
          <w:tcPr>
            <w:tcW w:w="58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A5D0C" w14:textId="7390F901" w:rsidR="00BA562E" w:rsidRPr="00BC6E01" w:rsidRDefault="00172E2B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64.90%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08275" w14:textId="1BAD841E" w:rsidR="00BA562E" w:rsidRPr="00BC6E01" w:rsidRDefault="00172E2B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66.40%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987F7" w14:textId="6AB223F9" w:rsidR="00BA562E" w:rsidRPr="00BC6E01" w:rsidRDefault="00172E2B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63.30%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1D0D2" w14:textId="4F1B06AF" w:rsidR="00BA562E" w:rsidRPr="00BC6E01" w:rsidRDefault="00172E2B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63.40%</w:t>
            </w:r>
          </w:p>
        </w:tc>
      </w:tr>
      <w:tr w:rsidR="008C032A" w:rsidRPr="00BC6E01" w14:paraId="0C8B2447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C4004" w14:textId="77777777" w:rsidR="00BC6E01" w:rsidRPr="009C785E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i/>
                <w:color w:val="000000"/>
                <w:sz w:val="22"/>
                <w:szCs w:val="22"/>
                <w:lang w:val="en-CA" w:eastAsia="en-US"/>
              </w:rPr>
            </w:pPr>
            <w:r w:rsidRPr="009C785E">
              <w:rPr>
                <w:rFonts w:cs="Times New Roman"/>
                <w:i/>
                <w:color w:val="000000"/>
                <w:sz w:val="22"/>
                <w:szCs w:val="22"/>
                <w:lang w:eastAsia="en-US"/>
              </w:rPr>
              <w:t>Age: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C785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3330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603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EAD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018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962C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8C032A" w:rsidRPr="00BC6E01" w14:paraId="6234A786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68DF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19-34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0BE0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10.80%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7A8D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11.50%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93576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10.40%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B93A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19.50%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92E0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10.80%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98D0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8.80%</w:t>
            </w:r>
          </w:p>
        </w:tc>
      </w:tr>
      <w:tr w:rsidR="008C032A" w:rsidRPr="00BC6E01" w14:paraId="645B0F14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B94A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35-54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1E27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35.70%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1A8F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40.40%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F940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37.70%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BB9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43.00%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FB5C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35.30%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A7E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39.50%</w:t>
            </w:r>
          </w:p>
        </w:tc>
      </w:tr>
      <w:tr w:rsidR="008C032A" w:rsidRPr="00BC6E01" w14:paraId="54077EC8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6642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55 and above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AC5A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53.60%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98E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48.10%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26E4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51.90%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E985" w14:textId="5ADC51BF" w:rsidR="00BC6E01" w:rsidRPr="00BC6E01" w:rsidRDefault="000F4EE5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BC6E01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37.5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0</w:t>
            </w:r>
            <w:r w:rsidR="00BC6E01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%</w:t>
            </w:r>
            <w:r w:rsidR="00172E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C6E01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F7459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53.90%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5CCA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51.70%</w:t>
            </w:r>
          </w:p>
        </w:tc>
      </w:tr>
      <w:tr w:rsidR="008C032A" w:rsidRPr="00BC6E01" w14:paraId="25D568FC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B0D9" w14:textId="77777777" w:rsidR="00BC6E01" w:rsidRPr="009C785E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i/>
                <w:color w:val="000000"/>
                <w:sz w:val="22"/>
                <w:szCs w:val="22"/>
                <w:lang w:val="en-CA" w:eastAsia="en-US"/>
              </w:rPr>
            </w:pPr>
            <w:r w:rsidRPr="009C785E">
              <w:rPr>
                <w:rFonts w:cs="Times New Roman"/>
                <w:i/>
                <w:color w:val="000000"/>
                <w:sz w:val="22"/>
                <w:szCs w:val="22"/>
                <w:lang w:eastAsia="en-US"/>
              </w:rPr>
              <w:t>Region: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847C7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7A0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3FF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524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572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B0ED9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8C032A" w:rsidRPr="00BC6E01" w14:paraId="5EEA4A85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5056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South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9CFA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30.50%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0355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33.10%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858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35.10%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82D7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39.10%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14F2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29.60%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67382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31.00%</w:t>
            </w:r>
          </w:p>
        </w:tc>
      </w:tr>
      <w:tr w:rsidR="008C032A" w:rsidRPr="00BC6E01" w14:paraId="475F52DC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B9BD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West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774F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24.50%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B789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21.60%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F890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20.80%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4E1A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18.80%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3894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25.20%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95D5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22.50%</w:t>
            </w:r>
          </w:p>
        </w:tc>
      </w:tr>
      <w:tr w:rsidR="008C032A" w:rsidRPr="00BC6E01" w14:paraId="3FF37EFD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AA3DB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Midwest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CB8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27.50%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97C2C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26.30%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D744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26.00%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C9C0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24.20%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F9680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27.80%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9ED8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27.10%</w:t>
            </w:r>
          </w:p>
        </w:tc>
      </w:tr>
      <w:tr w:rsidR="008C032A" w:rsidRPr="00BC6E01" w14:paraId="479DF68C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46D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Northeast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459C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17.50%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1676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19.00%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D8DD3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18.20%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6BE9A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18.00%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09D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17.40%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51A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19.40%</w:t>
            </w:r>
          </w:p>
        </w:tc>
      </w:tr>
      <w:tr w:rsidR="008C032A" w:rsidRPr="00BC6E01" w14:paraId="4D9241C4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2238" w14:textId="77777777" w:rsidR="00BC6E01" w:rsidRPr="009C785E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i/>
                <w:color w:val="000000"/>
                <w:sz w:val="22"/>
                <w:szCs w:val="22"/>
                <w:lang w:val="en-CA" w:eastAsia="en-US"/>
              </w:rPr>
            </w:pPr>
            <w:r w:rsidRPr="009C785E">
              <w:rPr>
                <w:rFonts w:cs="Times New Roman"/>
                <w:i/>
                <w:color w:val="000000"/>
                <w:sz w:val="22"/>
                <w:szCs w:val="22"/>
                <w:lang w:eastAsia="en-US"/>
              </w:rPr>
              <w:t>Education: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6B26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C8279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6247C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A2A7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D96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29B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8C032A" w:rsidRPr="00BC6E01" w14:paraId="3E8E46AA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ED91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High school or less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CD10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12.40%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9C2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10.50%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A617C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10.40%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A48C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16.40%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41D0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12.70%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8FD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8.50%</w:t>
            </w:r>
          </w:p>
        </w:tc>
      </w:tr>
      <w:tr w:rsidR="008C032A" w:rsidRPr="00BC6E01" w14:paraId="36E7B3A5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C20B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Some college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1B7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29.10%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8FE58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29.10%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6CCF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28.60%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F7F8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36.70%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DCD5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29.20%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950C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26.50%</w:t>
            </w:r>
          </w:p>
        </w:tc>
      </w:tr>
      <w:tr w:rsidR="008C032A" w:rsidRPr="00BC6E01" w14:paraId="1CE6CA58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82F3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College degree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A574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27.10%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32AD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30.50%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E107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31.20%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9CA3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26.60%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03E9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26.40%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F4A9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31.80%</w:t>
            </w:r>
          </w:p>
        </w:tc>
      </w:tr>
      <w:tr w:rsidR="008C032A" w:rsidRPr="00BC6E01" w14:paraId="1C3865C3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D485E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More than college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130C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31.50%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5F1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29.90%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6DEBD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29.90%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AE2A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20.30%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528E5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31.80%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667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33.20%</w:t>
            </w:r>
          </w:p>
        </w:tc>
      </w:tr>
      <w:tr w:rsidR="008C032A" w:rsidRPr="00BC6E01" w14:paraId="415370FA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A33C" w14:textId="77777777" w:rsidR="00BC6E01" w:rsidRPr="009C785E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i/>
                <w:color w:val="000000"/>
                <w:sz w:val="22"/>
                <w:szCs w:val="22"/>
                <w:lang w:val="en-CA" w:eastAsia="en-US"/>
              </w:rPr>
            </w:pPr>
            <w:r w:rsidRPr="009C785E">
              <w:rPr>
                <w:rFonts w:cs="Times New Roman"/>
                <w:i/>
                <w:color w:val="000000"/>
                <w:sz w:val="22"/>
                <w:szCs w:val="22"/>
                <w:lang w:eastAsia="en-US"/>
              </w:rPr>
              <w:t xml:space="preserve">Genetic Knowledge: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13E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8BD5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5634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CAF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BA9A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815B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8C032A" w:rsidRPr="00BC6E01" w14:paraId="420AD7CE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1F665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 No Knowledge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56C8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7.40%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C2B8C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6.10%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5B1F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7.80%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7961F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7.80%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6DF47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7.30%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9398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5.60%</w:t>
            </w:r>
          </w:p>
        </w:tc>
      </w:tr>
      <w:tr w:rsidR="008C032A" w:rsidRPr="00BC6E01" w14:paraId="1A4C680F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CC68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 Low Knowledge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921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49.40%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5950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51.50%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2250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57.10%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F1F25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59.30%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9E3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48.00%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7528" w14:textId="77777777" w:rsidR="00BC6E01" w:rsidRPr="00BC6E01" w:rsidRDefault="00BC6E01" w:rsidP="00BC6E01">
            <w:pPr>
              <w:widowControl/>
              <w:spacing w:before="0"/>
              <w:ind w:left="-206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48.80%</w:t>
            </w:r>
          </w:p>
        </w:tc>
      </w:tr>
      <w:tr w:rsidR="008C032A" w:rsidRPr="00BC6E01" w14:paraId="163F9865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C9D7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 Medium Knowledge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EE08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11.40%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9A34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10.70%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70F8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7.80%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196CA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9.40%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7BCD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12.00%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5F0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11.10%</w:t>
            </w:r>
          </w:p>
        </w:tc>
      </w:tr>
      <w:tr w:rsidR="008C032A" w:rsidRPr="00BC6E01" w14:paraId="70C8B158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1B48" w14:textId="77777777" w:rsidR="00BC6E01" w:rsidRPr="00BC6E01" w:rsidRDefault="00BC6E01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 High Knowledge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62A9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31.90%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CE8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31.70%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EDED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27.30%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6660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23.40%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6371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32.70%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B58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34.50%</w:t>
            </w:r>
          </w:p>
        </w:tc>
      </w:tr>
      <w:tr w:rsidR="008C032A" w:rsidRPr="00BC6E01" w14:paraId="387591B8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7C205" w14:textId="77777777" w:rsidR="009C785E" w:rsidRPr="00BC6E01" w:rsidRDefault="009C785E" w:rsidP="00BC6E01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B4149" w14:textId="77777777" w:rsidR="009C785E" w:rsidRPr="00BC6E01" w:rsidRDefault="009C785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476F1" w14:textId="77777777" w:rsidR="009C785E" w:rsidRPr="00BC6E01" w:rsidRDefault="009C785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EB32" w14:textId="77777777" w:rsidR="009C785E" w:rsidRPr="00BC6E01" w:rsidRDefault="009C785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2A95D" w14:textId="77777777" w:rsidR="009C785E" w:rsidRPr="00BC6E01" w:rsidRDefault="009C785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84A94" w14:textId="77777777" w:rsidR="009C785E" w:rsidRPr="00BC6E01" w:rsidRDefault="009C785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1B18F" w14:textId="77777777" w:rsidR="009C785E" w:rsidRPr="00BC6E01" w:rsidRDefault="009C785E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C032A" w:rsidRPr="00BC6E01" w14:paraId="6BB6ED8D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75FA" w14:textId="77777777" w:rsidR="00BC6E01" w:rsidRPr="00BC6E01" w:rsidRDefault="00BC6E01" w:rsidP="00BC6E01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Interaction with Non-Whites [1,7]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DF26" w14:textId="407EC32D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3.31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1.35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7ACA" w14:textId="7EC5BFA1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3.187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1.371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63E3" w14:textId="50610859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3.478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1.349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AC067" w14:textId="5138F4FC" w:rsidR="00BC6E01" w:rsidRPr="00BC6E01" w:rsidRDefault="00BC6E01" w:rsidP="00547297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3.028</w:t>
            </w:r>
            <w:r w:rsidR="00172E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*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1.332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E718" w14:textId="3A94718F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3.28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1.349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5359E" w14:textId="7D0C8144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3.24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1.382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C032A" w:rsidRPr="00BC6E01" w14:paraId="0D25D9EC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DDE2" w14:textId="77777777" w:rsidR="00BC6E01" w:rsidRPr="00BC6E01" w:rsidRDefault="00BC6E01" w:rsidP="00547297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Republican leaning   [-10,10]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13F9" w14:textId="6C1B3389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-0.996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4.894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C0E73" w14:textId="2A6D9B6D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-0.91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5.093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32733" w14:textId="4616EFE2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-0.506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4.776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85B3" w14:textId="63AEC2AD" w:rsidR="00BC6E01" w:rsidRPr="00BC6E01" w:rsidRDefault="00BC6E01" w:rsidP="00547297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-0.524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2E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4.705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D0A61" w14:textId="71F1954F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-1.086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4.915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09B9" w14:textId="274A22E6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-1.037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5.215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C032A" w:rsidRPr="00BC6E01" w14:paraId="4CA35B4D" w14:textId="77777777" w:rsidTr="00547297">
        <w:trPr>
          <w:trHeight w:val="24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D1875" w14:textId="77777777" w:rsidR="00BC6E01" w:rsidRPr="00BC6E01" w:rsidRDefault="00BC6E01" w:rsidP="00547297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Pre-test Genetic Essentialism [0,1]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1A92" w14:textId="7678A71B" w:rsidR="00BC6E01" w:rsidRPr="00BC6E01" w:rsidRDefault="00C0377D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0</w:t>
            </w:r>
            <w:r w:rsidR="00271B2F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.457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0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.171)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81341" w14:textId="0DAFA09C" w:rsidR="00BC6E01" w:rsidRPr="00BC6E01" w:rsidRDefault="00C0377D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0</w:t>
            </w:r>
            <w:r w:rsidR="006151F3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.462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0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.168)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71A4" w14:textId="25B1466F" w:rsidR="00BC6E01" w:rsidRPr="00BC6E01" w:rsidRDefault="00C0377D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0</w:t>
            </w:r>
            <w:r w:rsidR="00EC6ADD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.492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0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.177)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6FEE" w14:textId="426F55BE" w:rsidR="00BC6E01" w:rsidRPr="00BC6E01" w:rsidRDefault="00C0377D" w:rsidP="00547297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0</w:t>
            </w:r>
            <w:r w:rsidR="00EC6ADD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.493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</w:t>
            </w:r>
            <w:r w:rsidR="00172E2B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  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0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.162)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BEA6" w14:textId="5FC1B791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0.467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0.141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C131" w14:textId="5C675C82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0.469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C032A"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0.141</w:t>
            </w:r>
            <w:r w:rsidR="008C032A">
              <w:rPr>
                <w:rFonts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C032A" w:rsidRPr="00BC6E01" w14:paraId="5BA081E5" w14:textId="77777777" w:rsidTr="00547297">
        <w:trPr>
          <w:trHeight w:val="228"/>
        </w:trPr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712B2" w14:textId="77777777" w:rsidR="00BC6E01" w:rsidRPr="00BC6E01" w:rsidRDefault="00BC6E01" w:rsidP="00BC6E01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N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4D96F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502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63597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505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2D087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77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68962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128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1533E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425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32573" w14:textId="77777777" w:rsidR="00BC6E01" w:rsidRPr="00BC6E01" w:rsidRDefault="00BC6E01" w:rsidP="00BC6E01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377</w:t>
            </w:r>
          </w:p>
        </w:tc>
      </w:tr>
      <w:tr w:rsidR="00B3634B" w:rsidRPr="00BC6E01" w14:paraId="2CCED5D1" w14:textId="77777777" w:rsidTr="00547297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5EC" w14:textId="252F9941" w:rsidR="00E420E2" w:rsidRDefault="00E420E2" w:rsidP="00E420E2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 w:rsidRPr="00BC6E01">
              <w:rPr>
                <w:rFonts w:cs="Times New Roman"/>
                <w:color w:val="000000"/>
                <w:sz w:val="22"/>
                <w:szCs w:val="22"/>
                <w:lang w:eastAsia="en-US"/>
              </w:rPr>
              <w:t>* p &lt; 0.05; ** p &lt; 0.01; *** p &lt; 0.001</w:t>
            </w:r>
          </w:p>
          <w:p w14:paraId="37A41538" w14:textId="48088D19" w:rsidR="00B3634B" w:rsidRPr="00BC6E01" w:rsidRDefault="00B3634B">
            <w:pPr>
              <w:widowControl/>
              <w:spacing w:before="0"/>
              <w:ind w:left="0" w:right="0"/>
              <w:jc w:val="both"/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Note: </w:t>
            </w:r>
            <w:r w:rsidR="00962C94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Percentages are shown for categorical variables. </w:t>
            </w: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The last </w:t>
            </w:r>
            <w:r w:rsidR="00E420E2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three</w:t>
            </w: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variables are continuous. Their range is </w:t>
            </w:r>
            <w:r w:rsidR="00962C94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given next to the variable name, and t</w:t>
            </w: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he</w:t>
            </w:r>
            <w:r w:rsidR="00962C94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ir means are presented, with </w:t>
            </w: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the standard deviation in parent</w:t>
            </w:r>
            <w:r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h</w:t>
            </w:r>
            <w:r w:rsidRPr="00BC6E01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eses.</w:t>
            </w:r>
            <w:r w:rsidR="00EC6ADD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</w:t>
            </w:r>
            <w:r w:rsidR="000F5F52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The Pre-test Genetic Essentialism values for the Remaining Participants are estimated on the Remaining Participants sample. Our final analysis with the 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R</w:t>
            </w:r>
            <w:r w:rsidR="000F5F52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emaining 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P</w:t>
            </w:r>
            <w:r w:rsidR="000F5F52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articipants used mixed-models, which required a </w:t>
            </w:r>
            <w:r w:rsidR="000F5F52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lastRenderedPageBreak/>
              <w:t>long-shaped dataset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with </w:t>
            </w:r>
            <w:proofErr w:type="spellStart"/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posttest</w:t>
            </w:r>
            <w:proofErr w:type="spellEnd"/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data entered as separate cases.</w:t>
            </w:r>
            <w:r w:rsidR="000F5F52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R</w:t>
            </w:r>
            <w:r w:rsidR="000F5F52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escaling of Pre-test Genetic Essentialism is done on this dataset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,</w:t>
            </w:r>
            <w:r w:rsidR="009A2EEB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as opposed to the wide-shaped dataset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with pretest and </w:t>
            </w:r>
            <w:proofErr w:type="spellStart"/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posttest</w:t>
            </w:r>
            <w:proofErr w:type="spellEnd"/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 data entered in the same </w:t>
            </w:r>
            <w:r w:rsidR="00BA562E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respondent-level 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case</w:t>
            </w:r>
            <w:r w:rsidR="000F5F52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 xml:space="preserve">. </w:t>
            </w:r>
            <w:r w:rsidR="00182BB5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When the rescaling is done on the wide-shaped dataset, the mean values are .444 (.170) for Control and .445 (.169) for Treatment respectively. Difference in scaling has no effect on t-test coefficients</w:t>
            </w:r>
            <w:r w:rsidR="008C032A">
              <w:rPr>
                <w:rFonts w:cs="Times New Roman"/>
                <w:color w:val="000000"/>
                <w:sz w:val="22"/>
                <w:szCs w:val="22"/>
                <w:lang w:val="en-CA" w:eastAsia="en-US"/>
              </w:rPr>
              <w:t>.</w:t>
            </w:r>
          </w:p>
        </w:tc>
      </w:tr>
    </w:tbl>
    <w:p w14:paraId="529A3F12" w14:textId="77777777" w:rsidR="00436169" w:rsidRPr="00547297" w:rsidRDefault="00436169" w:rsidP="008C032A">
      <w:pPr>
        <w:ind w:left="0"/>
        <w:rPr>
          <w:sz w:val="2"/>
        </w:rPr>
      </w:pPr>
    </w:p>
    <w:sectPr w:rsidR="00436169" w:rsidRPr="00547297" w:rsidSect="00BC6E01">
      <w:pgSz w:w="15840" w:h="12240" w:orient="landscape"/>
      <w:pgMar w:top="1361" w:right="1440" w:bottom="136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01"/>
    <w:rsid w:val="000068EE"/>
    <w:rsid w:val="000F4EE5"/>
    <w:rsid w:val="000F5F52"/>
    <w:rsid w:val="00172E2B"/>
    <w:rsid w:val="00175D86"/>
    <w:rsid w:val="00182BB5"/>
    <w:rsid w:val="00271B2F"/>
    <w:rsid w:val="00295963"/>
    <w:rsid w:val="002A10FE"/>
    <w:rsid w:val="002E3F17"/>
    <w:rsid w:val="00327F31"/>
    <w:rsid w:val="003C1FD8"/>
    <w:rsid w:val="004222DF"/>
    <w:rsid w:val="00436169"/>
    <w:rsid w:val="004E19BC"/>
    <w:rsid w:val="004E7065"/>
    <w:rsid w:val="00505801"/>
    <w:rsid w:val="0052738C"/>
    <w:rsid w:val="00547297"/>
    <w:rsid w:val="006151F3"/>
    <w:rsid w:val="0064368B"/>
    <w:rsid w:val="008C032A"/>
    <w:rsid w:val="008D29C6"/>
    <w:rsid w:val="00901F55"/>
    <w:rsid w:val="00962C94"/>
    <w:rsid w:val="009A2EEB"/>
    <w:rsid w:val="009B05CE"/>
    <w:rsid w:val="009C785E"/>
    <w:rsid w:val="00A71D5C"/>
    <w:rsid w:val="00AC0B5C"/>
    <w:rsid w:val="00B07984"/>
    <w:rsid w:val="00B35755"/>
    <w:rsid w:val="00B3634B"/>
    <w:rsid w:val="00B81D8C"/>
    <w:rsid w:val="00BA562E"/>
    <w:rsid w:val="00BC6E01"/>
    <w:rsid w:val="00C0377D"/>
    <w:rsid w:val="00CA452C"/>
    <w:rsid w:val="00E420E2"/>
    <w:rsid w:val="00EC6ADD"/>
    <w:rsid w:val="00F27FB0"/>
    <w:rsid w:val="00FB5F30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8FDAF"/>
  <w14:defaultImageDpi w14:val="300"/>
  <w15:docId w15:val="{756FD4D3-C0C3-4486-8A9F-4C0A0E2C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17"/>
    <w:pPr>
      <w:widowControl w:val="0"/>
      <w:spacing w:before="117"/>
      <w:ind w:left="102" w:right="111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22DF"/>
    <w:pPr>
      <w:keepNext/>
      <w:keepLines/>
      <w:widowControl/>
      <w:spacing w:before="480"/>
      <w:ind w:left="0" w:right="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05CE"/>
    <w:pPr>
      <w:keepNext/>
      <w:keepLines/>
      <w:widowControl/>
      <w:spacing w:before="200"/>
      <w:ind w:left="0" w:right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B05CE"/>
    <w:pPr>
      <w:keepNext/>
      <w:keepLines/>
      <w:widowControl/>
      <w:spacing w:before="200"/>
      <w:ind w:left="0" w:right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BodyText"/>
    <w:next w:val="Normal"/>
    <w:link w:val="Heading4Char"/>
    <w:autoRedefine/>
    <w:uiPriority w:val="9"/>
    <w:unhideWhenUsed/>
    <w:qFormat/>
    <w:rsid w:val="00B07984"/>
    <w:pPr>
      <w:keepNext/>
      <w:keepLines/>
      <w:widowControl/>
      <w:spacing w:before="200"/>
      <w:ind w:left="0" w:right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5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22DF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5C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E3F17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F17"/>
    <w:rPr>
      <w:rFonts w:ascii="Times New Roman" w:eastAsiaTheme="majorEastAsia" w:hAnsi="Times New Roman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E3F17"/>
    <w:pPr>
      <w:numPr>
        <w:ilvl w:val="1"/>
      </w:numPr>
      <w:ind w:left="102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3F17"/>
    <w:rPr>
      <w:rFonts w:ascii="Times New Roman" w:eastAsiaTheme="majorEastAsia" w:hAnsi="Times New Roman" w:cstheme="majorBidi"/>
      <w:i/>
      <w:iCs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B05CE"/>
    <w:rPr>
      <w:rFonts w:ascii="Times New Roman" w:eastAsiaTheme="majorEastAsia" w:hAnsi="Times New Roman" w:cstheme="majorBidi"/>
      <w:b/>
      <w:bCs/>
    </w:rPr>
  </w:style>
  <w:style w:type="paragraph" w:customStyle="1" w:styleId="Footnote">
    <w:name w:val="Footnote"/>
    <w:basedOn w:val="FootnoteText"/>
    <w:qFormat/>
    <w:rsid w:val="0064368B"/>
    <w:pPr>
      <w:tabs>
        <w:tab w:val="left" w:pos="567"/>
      </w:tabs>
      <w:ind w:left="0"/>
    </w:pPr>
  </w:style>
  <w:style w:type="paragraph" w:styleId="FootnoteText">
    <w:name w:val="footnote text"/>
    <w:aliases w:val="Paper"/>
    <w:basedOn w:val="Normal"/>
    <w:link w:val="FootnoteTextChar1"/>
    <w:uiPriority w:val="99"/>
    <w:rsid w:val="0064368B"/>
    <w:pPr>
      <w:spacing w:after="200" w:line="276" w:lineRule="auto"/>
    </w:pPr>
    <w:rPr>
      <w:rFonts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uiPriority w:val="99"/>
    <w:semiHidden/>
    <w:rsid w:val="0064368B"/>
    <w:rPr>
      <w:rFonts w:ascii="Times New Roman" w:eastAsia="Times New Roman" w:hAnsi="Times New Roman"/>
    </w:rPr>
  </w:style>
  <w:style w:type="character" w:customStyle="1" w:styleId="FootnoteTextChar1">
    <w:name w:val="Footnote Text Char1"/>
    <w:aliases w:val="Paper Char"/>
    <w:link w:val="FootnoteText"/>
    <w:uiPriority w:val="99"/>
    <w:locked/>
    <w:rsid w:val="0064368B"/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B07984"/>
    <w:rPr>
      <w:rFonts w:ascii="Times New Roman" w:eastAsiaTheme="majorEastAsia" w:hAnsi="Times New Roman" w:cstheme="majorBidi"/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07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984"/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75D86"/>
    <w:pPr>
      <w:widowControl/>
      <w:spacing w:before="0" w:after="200"/>
      <w:ind w:left="0" w:right="0"/>
    </w:pPr>
    <w:rPr>
      <w:rFonts w:eastAsiaTheme="minorEastAsia"/>
      <w:b/>
      <w:bCs/>
      <w:sz w:val="22"/>
      <w:szCs w:val="18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73"/>
    <w:qFormat/>
    <w:rsid w:val="0052738C"/>
    <w:pPr>
      <w:widowControl/>
      <w:spacing w:before="120"/>
      <w:ind w:left="1009" w:right="0"/>
    </w:pPr>
    <w:rPr>
      <w:rFonts w:eastAsiaTheme="minorEastAsia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rsid w:val="0052738C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5F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5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5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5360A-AB1E-4FB0-AE53-3B5A40A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</dc:creator>
  <cp:keywords/>
  <dc:description/>
  <cp:lastModifiedBy>Wendy Roth</cp:lastModifiedBy>
  <cp:revision>3</cp:revision>
  <dcterms:created xsi:type="dcterms:W3CDTF">2019-11-15T02:53:00Z</dcterms:created>
  <dcterms:modified xsi:type="dcterms:W3CDTF">2019-11-19T03:09:00Z</dcterms:modified>
</cp:coreProperties>
</file>