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0FCB9C" w14:textId="115D51A6" w:rsidR="00C7192A" w:rsidRDefault="00234DB9" w:rsidP="00C719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sz w:val="36"/>
          <w:szCs w:val="24"/>
        </w:rPr>
      </w:pPr>
      <w:r>
        <w:rPr>
          <w:b/>
          <w:sz w:val="36"/>
          <w:szCs w:val="24"/>
        </w:rPr>
        <w:t>Supporting</w:t>
      </w:r>
      <w:r w:rsidR="00C7192A">
        <w:rPr>
          <w:b/>
          <w:sz w:val="36"/>
          <w:szCs w:val="24"/>
        </w:rPr>
        <w:t xml:space="preserve"> Information</w:t>
      </w:r>
    </w:p>
    <w:p w14:paraId="5102F790" w14:textId="77777777" w:rsidR="00C7192A" w:rsidRDefault="00C7192A" w:rsidP="00C7192A">
      <w:pPr>
        <w:rPr>
          <w:sz w:val="24"/>
          <w:szCs w:val="24"/>
        </w:rPr>
      </w:pPr>
    </w:p>
    <w:p w14:paraId="79E02B9F" w14:textId="452DB296" w:rsidR="007E26CA" w:rsidRPr="00C40021" w:rsidRDefault="00D2439C" w:rsidP="007E26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sz w:val="32"/>
          <w:szCs w:val="32"/>
        </w:rPr>
      </w:pPr>
      <w:r>
        <w:rPr>
          <w:b/>
          <w:sz w:val="32"/>
          <w:szCs w:val="32"/>
        </w:rPr>
        <w:t>S2</w:t>
      </w:r>
      <w:r w:rsidR="00234DB9" w:rsidRPr="00C40021">
        <w:rPr>
          <w:b/>
          <w:sz w:val="32"/>
          <w:szCs w:val="32"/>
        </w:rPr>
        <w:t xml:space="preserve"> Text: </w:t>
      </w:r>
      <w:r w:rsidR="007E26CA" w:rsidRPr="00C40021">
        <w:rPr>
          <w:b/>
          <w:sz w:val="32"/>
          <w:szCs w:val="32"/>
        </w:rPr>
        <w:t>Methods</w:t>
      </w:r>
    </w:p>
    <w:p w14:paraId="27F66A93" w14:textId="77777777" w:rsidR="007E26CA" w:rsidRDefault="007E26CA" w:rsidP="00C7192A">
      <w:pPr>
        <w:rPr>
          <w:sz w:val="24"/>
          <w:szCs w:val="24"/>
        </w:rPr>
      </w:pPr>
    </w:p>
    <w:p w14:paraId="33634DF6" w14:textId="77777777" w:rsidR="00C7192A" w:rsidRPr="00DF77DA" w:rsidRDefault="007E26CA" w:rsidP="00C7192A">
      <w:pPr>
        <w:rPr>
          <w:b/>
          <w:sz w:val="28"/>
          <w:szCs w:val="28"/>
        </w:rPr>
      </w:pPr>
      <w:r w:rsidRPr="00DF77DA">
        <w:rPr>
          <w:b/>
          <w:sz w:val="28"/>
          <w:szCs w:val="28"/>
        </w:rPr>
        <w:t>OSL Dating</w:t>
      </w:r>
      <w:r w:rsidR="004B6692" w:rsidRPr="00DF77DA">
        <w:rPr>
          <w:b/>
          <w:sz w:val="28"/>
          <w:szCs w:val="28"/>
        </w:rPr>
        <w:t xml:space="preserve"> </w:t>
      </w:r>
    </w:p>
    <w:p w14:paraId="03B2B7EE" w14:textId="77777777" w:rsidR="007E26CA" w:rsidRDefault="007E26CA" w:rsidP="00C7192A">
      <w:pPr>
        <w:rPr>
          <w:sz w:val="24"/>
          <w:szCs w:val="24"/>
        </w:rPr>
      </w:pPr>
    </w:p>
    <w:p w14:paraId="6D57AF82" w14:textId="24E21279" w:rsidR="00DC7A7A" w:rsidRPr="00DC7A7A" w:rsidRDefault="00DC7A7A" w:rsidP="00DC7A7A">
      <w:pPr>
        <w:rPr>
          <w:sz w:val="24"/>
          <w:szCs w:val="24"/>
          <w:lang w:val="en-US"/>
        </w:rPr>
      </w:pPr>
      <w:r w:rsidRPr="00DC7A7A">
        <w:rPr>
          <w:bCs/>
          <w:sz w:val="24"/>
          <w:szCs w:val="24"/>
          <w:lang w:val="en-US"/>
        </w:rPr>
        <w:t xml:space="preserve">Quartz grains of 90–125 µm and 180-212 µm diameter were separated from the matrix </w:t>
      </w:r>
      <w:r w:rsidRPr="00DC7A7A">
        <w:rPr>
          <w:sz w:val="24"/>
          <w:szCs w:val="24"/>
          <w:lang w:val="en-US"/>
        </w:rPr>
        <w:t xml:space="preserve">under dim red illumination </w:t>
      </w:r>
      <w:r w:rsidRPr="00DC7A7A">
        <w:rPr>
          <w:bCs/>
          <w:sz w:val="24"/>
          <w:szCs w:val="24"/>
          <w:lang w:val="en-US"/>
        </w:rPr>
        <w:t xml:space="preserve">using standard purification procedures, including a final etch in 40% hydrofluoric acid for 45 min to remove the external alpha-dosed rinds </w:t>
      </w:r>
      <w:r w:rsidR="00246A54">
        <w:rPr>
          <w:bCs/>
          <w:sz w:val="24"/>
          <w:szCs w:val="24"/>
          <w:lang w:val="en-US"/>
        </w:rPr>
        <w:t>[1]</w:t>
      </w:r>
      <w:r w:rsidRPr="00DC7A7A">
        <w:rPr>
          <w:bCs/>
          <w:sz w:val="24"/>
          <w:szCs w:val="24"/>
          <w:lang w:val="en-US"/>
        </w:rPr>
        <w:t xml:space="preserve">. </w:t>
      </w:r>
      <w:r w:rsidRPr="00DC7A7A">
        <w:rPr>
          <w:bCs/>
          <w:iCs/>
          <w:sz w:val="24"/>
          <w:szCs w:val="24"/>
          <w:lang w:val="en-US"/>
        </w:rPr>
        <w:t xml:space="preserve">Here we used the same dual-aliquot protocol (DAP) described in detail by </w:t>
      </w:r>
      <w:r w:rsidR="00246A54">
        <w:rPr>
          <w:bCs/>
          <w:iCs/>
          <w:sz w:val="24"/>
          <w:szCs w:val="24"/>
          <w:lang w:val="en-US"/>
        </w:rPr>
        <w:t>[2]</w:t>
      </w:r>
      <w:r w:rsidRPr="00DC7A7A">
        <w:rPr>
          <w:bCs/>
          <w:iCs/>
          <w:sz w:val="24"/>
          <w:szCs w:val="24"/>
          <w:lang w:val="en-US"/>
        </w:rPr>
        <w:t xml:space="preserve"> using red emissions, combined with the more traditional optically stimulated luminescence (OSL) techniques using UV </w:t>
      </w:r>
      <w:r w:rsidRPr="005C5F41">
        <w:rPr>
          <w:bCs/>
          <w:iCs/>
          <w:sz w:val="24"/>
          <w:szCs w:val="24"/>
          <w:lang w:val="en-US"/>
        </w:rPr>
        <w:t xml:space="preserve">emissions. The latter techniques incorporated a modified SAR protocol </w:t>
      </w:r>
      <w:r w:rsidR="00246A54" w:rsidRPr="005C5F41">
        <w:rPr>
          <w:bCs/>
          <w:iCs/>
          <w:sz w:val="24"/>
          <w:szCs w:val="24"/>
          <w:lang w:val="en-US"/>
        </w:rPr>
        <w:t>[3]</w:t>
      </w:r>
      <w:r w:rsidRPr="005C5F41">
        <w:rPr>
          <w:bCs/>
          <w:iCs/>
          <w:sz w:val="24"/>
          <w:szCs w:val="24"/>
          <w:lang w:val="en-US"/>
        </w:rPr>
        <w:t xml:space="preserve"> for 24</w:t>
      </w:r>
      <w:r w:rsidRPr="00DC7A7A">
        <w:rPr>
          <w:bCs/>
          <w:iCs/>
          <w:sz w:val="24"/>
          <w:szCs w:val="24"/>
          <w:lang w:val="en-US"/>
        </w:rPr>
        <w:t xml:space="preserve"> single aliquots comprising of ~50 grains and for ~1000 single-grains loaded on aluminum single-grain discs.</w:t>
      </w:r>
      <w:r w:rsidRPr="00DC7A7A">
        <w:rPr>
          <w:bCs/>
          <w:sz w:val="24"/>
          <w:szCs w:val="24"/>
          <w:lang w:val="en-US"/>
        </w:rPr>
        <w:t xml:space="preserve"> The </w:t>
      </w:r>
      <w:r w:rsidRPr="00DC7A7A">
        <w:rPr>
          <w:bCs/>
          <w:iCs/>
          <w:sz w:val="24"/>
          <w:szCs w:val="24"/>
          <w:lang w:val="en-US"/>
        </w:rPr>
        <w:t xml:space="preserve">ultraviolet emissions were detected by an Electron Tubes Ltd 9235QA photomultiplier tube fitted with 7.5 mm of </w:t>
      </w:r>
      <w:r w:rsidRPr="00DC7A7A">
        <w:rPr>
          <w:rFonts w:hint="eastAsia"/>
          <w:bCs/>
          <w:iCs/>
          <w:sz w:val="24"/>
          <w:szCs w:val="24"/>
          <w:lang w:val="en-US"/>
        </w:rPr>
        <w:t xml:space="preserve">Hoya </w:t>
      </w:r>
      <w:r w:rsidRPr="00DC7A7A">
        <w:rPr>
          <w:bCs/>
          <w:iCs/>
          <w:sz w:val="24"/>
          <w:szCs w:val="24"/>
          <w:lang w:val="en-US"/>
        </w:rPr>
        <w:t>U-340 filter, while the</w:t>
      </w:r>
      <w:r w:rsidRPr="00DC7A7A">
        <w:rPr>
          <w:bCs/>
          <w:sz w:val="24"/>
          <w:szCs w:val="24"/>
          <w:lang w:val="en-US"/>
        </w:rPr>
        <w:t xml:space="preserve"> red emissions were measured using a red sensitive photomultiplier tube (Electron Tubes Ltd 9658B) and cooling tower (</w:t>
      </w:r>
      <w:r w:rsidRPr="00DC7A7A">
        <w:rPr>
          <w:sz w:val="24"/>
          <w:szCs w:val="24"/>
          <w:lang w:val="en-US"/>
        </w:rPr>
        <w:t>LCT50 liquid-cooled thermoelectric housing</w:t>
      </w:r>
      <w:r w:rsidRPr="00DC7A7A">
        <w:rPr>
          <w:bCs/>
          <w:sz w:val="24"/>
          <w:szCs w:val="24"/>
          <w:lang w:val="en-US"/>
        </w:rPr>
        <w:t xml:space="preserve">) with Kopp 2-63 and BG-39 filter combination </w:t>
      </w:r>
      <w:r w:rsidR="00246A54">
        <w:rPr>
          <w:bCs/>
          <w:sz w:val="24"/>
          <w:szCs w:val="24"/>
          <w:lang w:val="en-US"/>
        </w:rPr>
        <w:t>[4]</w:t>
      </w:r>
      <w:r w:rsidRPr="00DC7A7A">
        <w:rPr>
          <w:bCs/>
          <w:sz w:val="24"/>
          <w:szCs w:val="24"/>
          <w:lang w:val="en-US"/>
        </w:rPr>
        <w:t>.</w:t>
      </w:r>
      <w:r w:rsidRPr="00DC7A7A">
        <w:rPr>
          <w:bCs/>
          <w:iCs/>
          <w:sz w:val="24"/>
          <w:szCs w:val="24"/>
          <w:lang w:val="en-US"/>
        </w:rPr>
        <w:t xml:space="preserve"> </w:t>
      </w:r>
      <w:r w:rsidRPr="00DC7A7A">
        <w:rPr>
          <w:sz w:val="24"/>
          <w:szCs w:val="24"/>
          <w:lang w:val="en-US"/>
        </w:rPr>
        <w:t xml:space="preserve">Concentrations of </w:t>
      </w:r>
      <w:r w:rsidRPr="00DC7A7A">
        <w:rPr>
          <w:sz w:val="24"/>
          <w:szCs w:val="24"/>
          <w:vertAlign w:val="superscript"/>
          <w:lang w:val="en-US"/>
        </w:rPr>
        <w:t>238</w:t>
      </w:r>
      <w:r w:rsidRPr="00DC7A7A">
        <w:rPr>
          <w:sz w:val="24"/>
          <w:szCs w:val="24"/>
          <w:lang w:val="en-US"/>
        </w:rPr>
        <w:t xml:space="preserve">U, </w:t>
      </w:r>
      <w:r w:rsidRPr="00DC7A7A">
        <w:rPr>
          <w:sz w:val="24"/>
          <w:szCs w:val="24"/>
          <w:vertAlign w:val="superscript"/>
          <w:lang w:val="en-US"/>
        </w:rPr>
        <w:t>235</w:t>
      </w:r>
      <w:r w:rsidRPr="00DC7A7A">
        <w:rPr>
          <w:sz w:val="24"/>
          <w:szCs w:val="24"/>
          <w:lang w:val="en-US"/>
        </w:rPr>
        <w:t xml:space="preserve">U, </w:t>
      </w:r>
      <w:r w:rsidRPr="00DC7A7A">
        <w:rPr>
          <w:sz w:val="24"/>
          <w:szCs w:val="24"/>
          <w:vertAlign w:val="superscript"/>
          <w:lang w:val="en-US"/>
        </w:rPr>
        <w:t>232</w:t>
      </w:r>
      <w:r w:rsidRPr="00DC7A7A">
        <w:rPr>
          <w:sz w:val="24"/>
          <w:szCs w:val="24"/>
          <w:lang w:val="en-US"/>
        </w:rPr>
        <w:t xml:space="preserve">Th (and their decay products) and </w:t>
      </w:r>
      <w:r w:rsidRPr="00DC7A7A">
        <w:rPr>
          <w:sz w:val="24"/>
          <w:szCs w:val="24"/>
          <w:vertAlign w:val="superscript"/>
          <w:lang w:val="en-US"/>
        </w:rPr>
        <w:t>40</w:t>
      </w:r>
      <w:r w:rsidRPr="00DC7A7A">
        <w:rPr>
          <w:sz w:val="24"/>
          <w:szCs w:val="24"/>
          <w:lang w:val="en-US"/>
        </w:rPr>
        <w:t xml:space="preserve">K were measured by a Geiger-Muller multi-counter for beta counting of dried and powdered sediment samples in the laboratory and via </w:t>
      </w:r>
      <w:r w:rsidRPr="00DC7A7A">
        <w:rPr>
          <w:i/>
          <w:sz w:val="24"/>
          <w:szCs w:val="24"/>
          <w:lang w:val="en-US"/>
        </w:rPr>
        <w:t>in situ</w:t>
      </w:r>
      <w:r w:rsidRPr="00DC7A7A">
        <w:rPr>
          <w:sz w:val="24"/>
          <w:szCs w:val="24"/>
          <w:lang w:val="en-US"/>
        </w:rPr>
        <w:t xml:space="preserve"> measurements using a portable gamma spectrometer in the field. </w:t>
      </w:r>
    </w:p>
    <w:p w14:paraId="4DF223F9" w14:textId="77777777" w:rsidR="00C7192A" w:rsidRDefault="00C7192A" w:rsidP="00C7192A">
      <w:pPr>
        <w:rPr>
          <w:sz w:val="24"/>
          <w:szCs w:val="24"/>
        </w:rPr>
      </w:pPr>
    </w:p>
    <w:p w14:paraId="5D5AED6F" w14:textId="77777777" w:rsidR="007E26CA" w:rsidRPr="00DF77DA" w:rsidRDefault="007E26CA" w:rsidP="00C7192A">
      <w:pPr>
        <w:rPr>
          <w:b/>
          <w:sz w:val="28"/>
          <w:szCs w:val="28"/>
        </w:rPr>
      </w:pPr>
      <w:r w:rsidRPr="00DF77DA">
        <w:rPr>
          <w:b/>
          <w:sz w:val="28"/>
          <w:szCs w:val="28"/>
        </w:rPr>
        <w:t>Particle size and magnetic susceptibility analyses</w:t>
      </w:r>
    </w:p>
    <w:p w14:paraId="04539D56" w14:textId="77777777" w:rsidR="007E26CA" w:rsidRDefault="007E26CA" w:rsidP="00C7192A">
      <w:pPr>
        <w:rPr>
          <w:sz w:val="24"/>
          <w:szCs w:val="24"/>
        </w:rPr>
      </w:pPr>
    </w:p>
    <w:p w14:paraId="16C78FD6" w14:textId="5B682D7B" w:rsidR="00C7192A" w:rsidRPr="005C5F41" w:rsidRDefault="00C7192A" w:rsidP="00C7192A">
      <w:pPr>
        <w:rPr>
          <w:sz w:val="24"/>
          <w:szCs w:val="24"/>
        </w:rPr>
      </w:pPr>
      <w:r>
        <w:rPr>
          <w:sz w:val="24"/>
          <w:szCs w:val="24"/>
        </w:rPr>
        <w:t xml:space="preserve">Particle size analysis was undertaken on Gunu Rock bulk sediment samples </w:t>
      </w:r>
      <w:r w:rsidRPr="005C5F41">
        <w:rPr>
          <w:sz w:val="24"/>
          <w:szCs w:val="24"/>
        </w:rPr>
        <w:t>using a Mastersizer 2000 laser diffraction instrument (</w:t>
      </w:r>
      <w:r w:rsidR="000B61B9" w:rsidRPr="005C5F41">
        <w:rPr>
          <w:sz w:val="24"/>
          <w:szCs w:val="24"/>
        </w:rPr>
        <w:t>Fig F in S1 Fig</w:t>
      </w:r>
      <w:r w:rsidR="00E64829" w:rsidRPr="005C5F41">
        <w:rPr>
          <w:sz w:val="24"/>
          <w:szCs w:val="24"/>
        </w:rPr>
        <w:t xml:space="preserve">; </w:t>
      </w:r>
      <w:r w:rsidR="000B61B9" w:rsidRPr="005C5F41">
        <w:rPr>
          <w:sz w:val="24"/>
          <w:szCs w:val="24"/>
        </w:rPr>
        <w:t xml:space="preserve">Table A </w:t>
      </w:r>
      <w:r w:rsidR="00C258CB">
        <w:rPr>
          <w:sz w:val="24"/>
          <w:szCs w:val="24"/>
        </w:rPr>
        <w:t>in</w:t>
      </w:r>
      <w:r w:rsidR="000B61B9" w:rsidRPr="005C5F41">
        <w:rPr>
          <w:sz w:val="24"/>
          <w:szCs w:val="24"/>
        </w:rPr>
        <w:t xml:space="preserve"> </w:t>
      </w:r>
      <w:r w:rsidR="00F73AFE" w:rsidRPr="005C5F41">
        <w:rPr>
          <w:sz w:val="24"/>
          <w:szCs w:val="24"/>
        </w:rPr>
        <w:t>S1 Table</w:t>
      </w:r>
      <w:r w:rsidRPr="005C5F41">
        <w:rPr>
          <w:sz w:val="24"/>
          <w:szCs w:val="24"/>
        </w:rPr>
        <w:t xml:space="preserve">).  The aim was to identify changes in sediment size to gauge whether accumulation was constant or varied over time.  This was augmented by magnetic susceptibility analysis using a Bartington MS2B to identify magnetic changes that may have occurred through pedogenesis or exposure to fire </w:t>
      </w:r>
      <w:r w:rsidR="00246A54" w:rsidRPr="005C5F41">
        <w:rPr>
          <w:sz w:val="24"/>
          <w:szCs w:val="24"/>
        </w:rPr>
        <w:t>[5, 6]</w:t>
      </w:r>
      <w:r w:rsidRPr="005C5F41">
        <w:rPr>
          <w:sz w:val="24"/>
          <w:szCs w:val="24"/>
        </w:rPr>
        <w:t>.   Mass magnetic susceptibility (MMS) was measured to identify whether sediments were exposed to heat (which heightens the magnetisability of iron oxides).  Frequency dependent magnetic susceptibility (FDMS) was calculated to assess the grain size of magnetic minerals, which can provide insight into post-formational processes, including weathering and pedogenesis</w:t>
      </w:r>
      <w:r w:rsidR="00513067" w:rsidRPr="005C5F41">
        <w:rPr>
          <w:sz w:val="24"/>
          <w:szCs w:val="24"/>
        </w:rPr>
        <w:t xml:space="preserve"> (</w:t>
      </w:r>
      <w:r w:rsidR="000B61B9" w:rsidRPr="005C5F41">
        <w:rPr>
          <w:sz w:val="24"/>
          <w:szCs w:val="24"/>
        </w:rPr>
        <w:t xml:space="preserve">Table C in </w:t>
      </w:r>
      <w:r w:rsidR="00F73AFE" w:rsidRPr="005C5F41">
        <w:rPr>
          <w:sz w:val="24"/>
          <w:szCs w:val="24"/>
        </w:rPr>
        <w:t>S1</w:t>
      </w:r>
      <w:r w:rsidR="00513067" w:rsidRPr="005C5F41">
        <w:rPr>
          <w:sz w:val="24"/>
          <w:szCs w:val="24"/>
        </w:rPr>
        <w:t xml:space="preserve"> Table)</w:t>
      </w:r>
      <w:r w:rsidRPr="005C5F41">
        <w:rPr>
          <w:sz w:val="24"/>
          <w:szCs w:val="24"/>
        </w:rPr>
        <w:t>.</w:t>
      </w:r>
    </w:p>
    <w:p w14:paraId="5CF77A44" w14:textId="77777777" w:rsidR="001A624A" w:rsidRPr="005C5F41" w:rsidRDefault="001A624A" w:rsidP="00F73AFE">
      <w:pPr>
        <w:rPr>
          <w:sz w:val="24"/>
          <w:szCs w:val="24"/>
        </w:rPr>
      </w:pPr>
    </w:p>
    <w:p w14:paraId="7260770B" w14:textId="669E2192" w:rsidR="00AF7A2E" w:rsidRPr="00DF77DA" w:rsidRDefault="00AF7A2E" w:rsidP="00AF7A2E">
      <w:pPr>
        <w:rPr>
          <w:b/>
          <w:sz w:val="28"/>
          <w:szCs w:val="28"/>
        </w:rPr>
      </w:pPr>
      <w:r w:rsidRPr="00DF77DA">
        <w:rPr>
          <w:b/>
          <w:sz w:val="28"/>
          <w:szCs w:val="28"/>
        </w:rPr>
        <w:t>Colour analysis of ochre artefacts</w:t>
      </w:r>
    </w:p>
    <w:p w14:paraId="618FC65E" w14:textId="77777777" w:rsidR="00C7192A" w:rsidRDefault="00C7192A" w:rsidP="00C7192A">
      <w:pPr>
        <w:rPr>
          <w:sz w:val="24"/>
          <w:szCs w:val="24"/>
        </w:rPr>
      </w:pPr>
    </w:p>
    <w:p w14:paraId="22B818B7" w14:textId="50A45836" w:rsidR="00AF7A2E" w:rsidRDefault="00AF7A2E" w:rsidP="00AF7A2E">
      <w:pPr>
        <w:rPr>
          <w:sz w:val="24"/>
          <w:szCs w:val="24"/>
        </w:rPr>
      </w:pPr>
      <w:r>
        <w:rPr>
          <w:sz w:val="24"/>
          <w:szCs w:val="24"/>
          <w:lang w:val="en-US"/>
        </w:rPr>
        <w:t xml:space="preserve">Ochre colour was </w:t>
      </w:r>
      <w:r w:rsidR="00A31E04">
        <w:rPr>
          <w:sz w:val="24"/>
          <w:szCs w:val="24"/>
          <w:lang w:val="en-US"/>
        </w:rPr>
        <w:t>recorded</w:t>
      </w:r>
      <w:r>
        <w:rPr>
          <w:sz w:val="24"/>
          <w:szCs w:val="24"/>
          <w:lang w:val="en-US"/>
        </w:rPr>
        <w:t xml:space="preserve"> with a</w:t>
      </w:r>
      <w:r w:rsidRPr="00AF7A2E">
        <w:rPr>
          <w:sz w:val="24"/>
          <w:szCs w:val="24"/>
          <w:lang w:val="en-US"/>
        </w:rPr>
        <w:t xml:space="preserve"> </w:t>
      </w:r>
      <w:r w:rsidR="00DC7B8D">
        <w:rPr>
          <w:sz w:val="24"/>
          <w:szCs w:val="24"/>
          <w:lang w:val="en-US"/>
        </w:rPr>
        <w:t>Natural Colour System (</w:t>
      </w:r>
      <w:r w:rsidRPr="00AF7A2E">
        <w:rPr>
          <w:sz w:val="24"/>
          <w:szCs w:val="24"/>
          <w:lang w:val="en-US"/>
        </w:rPr>
        <w:t>NCS</w:t>
      </w:r>
      <w:r w:rsidR="00DC7B8D">
        <w:rPr>
          <w:sz w:val="24"/>
          <w:szCs w:val="24"/>
          <w:lang w:val="en-US"/>
        </w:rPr>
        <w:t>)</w:t>
      </w:r>
      <w:r w:rsidRPr="00AF7A2E">
        <w:rPr>
          <w:sz w:val="24"/>
          <w:szCs w:val="24"/>
          <w:lang w:val="en-US"/>
        </w:rPr>
        <w:t xml:space="preserve"> Colour Scan 2.0</w:t>
      </w:r>
      <w:r w:rsidR="000130A2">
        <w:rPr>
          <w:sz w:val="24"/>
          <w:szCs w:val="24"/>
          <w:lang w:val="en-US"/>
        </w:rPr>
        <w:t xml:space="preserve"> using an independent tri-directional 25 LED internal light source (8 visible wavelengths, one UV wavelength).  </w:t>
      </w:r>
      <w:r w:rsidR="0073728C">
        <w:rPr>
          <w:sz w:val="24"/>
          <w:szCs w:val="24"/>
          <w:lang w:val="en-US"/>
        </w:rPr>
        <w:t>Each ochre artefact was lightly abraded</w:t>
      </w:r>
      <w:r w:rsidR="0073728C" w:rsidRPr="00AF7A2E">
        <w:rPr>
          <w:sz w:val="24"/>
          <w:szCs w:val="24"/>
          <w:lang w:val="en-US"/>
        </w:rPr>
        <w:t xml:space="preserve"> onto a streak plate (unglazed tile) </w:t>
      </w:r>
      <w:r w:rsidR="0073728C">
        <w:rPr>
          <w:sz w:val="24"/>
          <w:szCs w:val="24"/>
          <w:lang w:val="en-US"/>
        </w:rPr>
        <w:t>to create a</w:t>
      </w:r>
      <w:r w:rsidR="0073728C" w:rsidRPr="00AF7A2E">
        <w:rPr>
          <w:sz w:val="24"/>
          <w:szCs w:val="24"/>
          <w:lang w:val="en-US"/>
        </w:rPr>
        <w:t xml:space="preserve"> 5mm by 10mm</w:t>
      </w:r>
      <w:r w:rsidR="00FC682D">
        <w:rPr>
          <w:sz w:val="24"/>
          <w:szCs w:val="24"/>
          <w:lang w:val="en-US"/>
        </w:rPr>
        <w:t xml:space="preserve"> colour block</w:t>
      </w:r>
      <w:r w:rsidR="0073728C" w:rsidRPr="00AF7A2E">
        <w:rPr>
          <w:sz w:val="24"/>
          <w:szCs w:val="24"/>
          <w:lang w:val="en-US"/>
        </w:rPr>
        <w:t>.</w:t>
      </w:r>
      <w:r w:rsidR="005A623C">
        <w:rPr>
          <w:sz w:val="24"/>
          <w:szCs w:val="24"/>
          <w:lang w:val="en-US"/>
        </w:rPr>
        <w:t xml:space="preserve">  </w:t>
      </w:r>
      <w:r w:rsidR="00A31E04">
        <w:rPr>
          <w:sz w:val="24"/>
          <w:szCs w:val="24"/>
          <w:lang w:val="en-US"/>
        </w:rPr>
        <w:t>The colour blocks were then scanned with the instrument</w:t>
      </w:r>
      <w:r w:rsidR="005A623C">
        <w:rPr>
          <w:sz w:val="24"/>
          <w:szCs w:val="24"/>
          <w:lang w:val="en-US"/>
        </w:rPr>
        <w:t xml:space="preserve">.  </w:t>
      </w:r>
      <w:r w:rsidR="00A31E04">
        <w:rPr>
          <w:sz w:val="24"/>
          <w:szCs w:val="24"/>
          <w:lang w:val="en-US"/>
        </w:rPr>
        <w:t xml:space="preserve">This method </w:t>
      </w:r>
      <w:r w:rsidRPr="00AF7A2E">
        <w:rPr>
          <w:sz w:val="24"/>
          <w:szCs w:val="24"/>
        </w:rPr>
        <w:t>avoids issues of individual perception</w:t>
      </w:r>
      <w:r>
        <w:rPr>
          <w:sz w:val="24"/>
          <w:szCs w:val="24"/>
        </w:rPr>
        <w:t xml:space="preserve"> in </w:t>
      </w:r>
      <w:r w:rsidR="00A31E04">
        <w:rPr>
          <w:sz w:val="24"/>
          <w:szCs w:val="24"/>
        </w:rPr>
        <w:t xml:space="preserve">matching artefacts to colour cards </w:t>
      </w:r>
      <w:r w:rsidR="00246A54">
        <w:rPr>
          <w:sz w:val="24"/>
          <w:szCs w:val="24"/>
        </w:rPr>
        <w:t>[7]</w:t>
      </w:r>
      <w:r>
        <w:rPr>
          <w:sz w:val="24"/>
          <w:szCs w:val="24"/>
        </w:rPr>
        <w:t xml:space="preserve">. </w:t>
      </w:r>
      <w:r w:rsidRPr="00AF7A2E">
        <w:rPr>
          <w:sz w:val="24"/>
          <w:szCs w:val="24"/>
        </w:rPr>
        <w:t xml:space="preserve">The colour system </w:t>
      </w:r>
      <w:r w:rsidR="00A8349B">
        <w:rPr>
          <w:sz w:val="24"/>
          <w:szCs w:val="24"/>
        </w:rPr>
        <w:t>is based on</w:t>
      </w:r>
      <w:r>
        <w:rPr>
          <w:sz w:val="24"/>
          <w:szCs w:val="24"/>
        </w:rPr>
        <w:t xml:space="preserve"> six elementary colours </w:t>
      </w:r>
      <w:r w:rsidRPr="00AF7A2E">
        <w:rPr>
          <w:sz w:val="24"/>
          <w:szCs w:val="24"/>
        </w:rPr>
        <w:t xml:space="preserve">which are perceived as </w:t>
      </w:r>
      <w:r>
        <w:rPr>
          <w:sz w:val="24"/>
          <w:szCs w:val="24"/>
        </w:rPr>
        <w:t>‘</w:t>
      </w:r>
      <w:r w:rsidRPr="00AF7A2E">
        <w:rPr>
          <w:sz w:val="24"/>
          <w:szCs w:val="24"/>
        </w:rPr>
        <w:t>pure</w:t>
      </w:r>
      <w:r>
        <w:rPr>
          <w:sz w:val="24"/>
          <w:szCs w:val="24"/>
        </w:rPr>
        <w:t>’</w:t>
      </w:r>
      <w:r w:rsidRPr="00AF7A2E">
        <w:rPr>
          <w:sz w:val="24"/>
          <w:szCs w:val="24"/>
        </w:rPr>
        <w:t xml:space="preserve"> by </w:t>
      </w:r>
      <w:r w:rsidRPr="00AF7A2E">
        <w:rPr>
          <w:sz w:val="24"/>
          <w:szCs w:val="24"/>
        </w:rPr>
        <w:lastRenderedPageBreak/>
        <w:t xml:space="preserve">humans: yellow, red, blue, green, white, and black. All other colours </w:t>
      </w:r>
      <w:r>
        <w:rPr>
          <w:sz w:val="24"/>
          <w:szCs w:val="24"/>
        </w:rPr>
        <w:t xml:space="preserve">are </w:t>
      </w:r>
      <w:r w:rsidRPr="005C5F41">
        <w:rPr>
          <w:sz w:val="24"/>
          <w:szCs w:val="24"/>
        </w:rPr>
        <w:t>described by their degree of s</w:t>
      </w:r>
      <w:r w:rsidR="005A623C" w:rsidRPr="005C5F41">
        <w:rPr>
          <w:sz w:val="24"/>
          <w:szCs w:val="24"/>
        </w:rPr>
        <w:t>imilarity to these six colours</w:t>
      </w:r>
      <w:r w:rsidR="00067FAE" w:rsidRPr="005C5F41">
        <w:rPr>
          <w:sz w:val="24"/>
          <w:szCs w:val="24"/>
        </w:rPr>
        <w:t xml:space="preserve"> (</w:t>
      </w:r>
      <w:r w:rsidR="00B16EAF" w:rsidRPr="005C5F41">
        <w:rPr>
          <w:sz w:val="24"/>
          <w:szCs w:val="24"/>
        </w:rPr>
        <w:t xml:space="preserve">Fig A, </w:t>
      </w:r>
      <w:r w:rsidR="008B3ADB" w:rsidRPr="005C5F41">
        <w:rPr>
          <w:sz w:val="24"/>
          <w:szCs w:val="24"/>
        </w:rPr>
        <w:t>left</w:t>
      </w:r>
      <w:r w:rsidR="00067FAE" w:rsidRPr="005C5F41">
        <w:rPr>
          <w:sz w:val="24"/>
          <w:szCs w:val="24"/>
        </w:rPr>
        <w:t>)</w:t>
      </w:r>
      <w:r w:rsidR="005A623C" w:rsidRPr="005C5F41">
        <w:rPr>
          <w:sz w:val="24"/>
          <w:szCs w:val="24"/>
        </w:rPr>
        <w:t xml:space="preserve">.  </w:t>
      </w:r>
      <w:r w:rsidRPr="005C5F41">
        <w:rPr>
          <w:sz w:val="24"/>
          <w:szCs w:val="24"/>
        </w:rPr>
        <w:t xml:space="preserve">The NCS recording system consists of two projections: the colour circle and the colour triangle. The colour circle is a horizontal section through the middle of the colour space where the four chromatic elementary colours are placed like points on a compass with equal distance between them </w:t>
      </w:r>
      <w:r w:rsidR="00F73AFE" w:rsidRPr="005C5F41">
        <w:rPr>
          <w:sz w:val="24"/>
          <w:szCs w:val="24"/>
        </w:rPr>
        <w:t>(</w:t>
      </w:r>
      <w:r w:rsidR="00B16EAF" w:rsidRPr="005C5F41">
        <w:rPr>
          <w:sz w:val="24"/>
          <w:szCs w:val="24"/>
        </w:rPr>
        <w:t>Fig A, right</w:t>
      </w:r>
      <w:r w:rsidR="00067FAE" w:rsidRPr="005C5F41">
        <w:rPr>
          <w:sz w:val="24"/>
          <w:szCs w:val="24"/>
        </w:rPr>
        <w:t xml:space="preserve">).  </w:t>
      </w:r>
      <w:r w:rsidRPr="005C5F41">
        <w:rPr>
          <w:sz w:val="24"/>
          <w:szCs w:val="24"/>
        </w:rPr>
        <w:t xml:space="preserve">Each quadrant of the NCS colour circle is divided into 100 equal steps </w:t>
      </w:r>
      <w:r w:rsidR="00A31E04" w:rsidRPr="005C5F41">
        <w:rPr>
          <w:sz w:val="24"/>
          <w:szCs w:val="24"/>
        </w:rPr>
        <w:t>that represent the ‘colour family’, or hues</w:t>
      </w:r>
      <w:r w:rsidRPr="005C5F41">
        <w:rPr>
          <w:sz w:val="24"/>
          <w:szCs w:val="24"/>
        </w:rPr>
        <w:t>. Hue values record the similarity of the sample colour to the elementary colours yellow, red, blue, and green in the colour circle. Each hue is a colour triangle consisting of a vertical section through the colour space, defining the colour’s nuance (</w:t>
      </w:r>
      <w:r w:rsidR="00B16EAF" w:rsidRPr="005C5F41">
        <w:rPr>
          <w:sz w:val="24"/>
          <w:szCs w:val="24"/>
        </w:rPr>
        <w:t>Fig A, middle</w:t>
      </w:r>
      <w:r w:rsidRPr="005C5F41">
        <w:rPr>
          <w:sz w:val="24"/>
          <w:szCs w:val="24"/>
        </w:rPr>
        <w:t>). The base of the triangle represents the grey scale from white (W) to black (S), while the apex is the maximum chromaticness</w:t>
      </w:r>
      <w:r w:rsidRPr="00AF7A2E">
        <w:rPr>
          <w:sz w:val="24"/>
          <w:szCs w:val="24"/>
        </w:rPr>
        <w:t xml:space="preserve"> (C) or </w:t>
      </w:r>
      <w:r>
        <w:rPr>
          <w:sz w:val="24"/>
          <w:szCs w:val="24"/>
        </w:rPr>
        <w:t>the colour’s ‘strength’</w:t>
      </w:r>
      <w:r w:rsidRPr="00AF7A2E">
        <w:rPr>
          <w:sz w:val="24"/>
          <w:szCs w:val="24"/>
        </w:rPr>
        <w:t xml:space="preserve">. </w:t>
      </w:r>
      <w:r>
        <w:rPr>
          <w:sz w:val="24"/>
          <w:szCs w:val="24"/>
        </w:rPr>
        <w:t>C</w:t>
      </w:r>
      <w:r w:rsidRPr="00AF7A2E">
        <w:rPr>
          <w:sz w:val="24"/>
          <w:szCs w:val="24"/>
        </w:rPr>
        <w:t xml:space="preserve">olours of the same hue can have different degrees of blackness, whiteness, and chromaticness, which equates to different nuances. </w:t>
      </w:r>
    </w:p>
    <w:p w14:paraId="0D85EF62" w14:textId="77777777" w:rsidR="00B16EAF" w:rsidRDefault="00B16EAF" w:rsidP="00AF7A2E">
      <w:pPr>
        <w:rPr>
          <w:sz w:val="24"/>
          <w:szCs w:val="24"/>
        </w:rPr>
      </w:pPr>
    </w:p>
    <w:p w14:paraId="550B720A" w14:textId="77777777" w:rsidR="00B16EAF" w:rsidRDefault="00B16EAF" w:rsidP="00AF7A2E">
      <w:pPr>
        <w:rPr>
          <w:sz w:val="24"/>
          <w:szCs w:val="24"/>
        </w:rPr>
      </w:pPr>
    </w:p>
    <w:p w14:paraId="1CD35F45" w14:textId="186FF7CE" w:rsidR="00E832ED" w:rsidRDefault="008B3ADB" w:rsidP="00B16EAF">
      <w:pPr>
        <w:jc w:val="center"/>
        <w:rPr>
          <w:sz w:val="24"/>
          <w:szCs w:val="24"/>
        </w:rPr>
      </w:pPr>
      <w:r w:rsidRPr="008B3ADB">
        <w:rPr>
          <w:noProof/>
          <w:sz w:val="24"/>
          <w:szCs w:val="24"/>
          <w:lang w:val="en-US"/>
        </w:rPr>
        <w:drawing>
          <wp:inline distT="0" distB="0" distL="0" distR="0" wp14:anchorId="48B7A9D0" wp14:editId="1F6FA093">
            <wp:extent cx="5055689" cy="2792437"/>
            <wp:effectExtent l="25400" t="25400" r="24765" b="27305"/>
            <wp:docPr id="6" name="Picture 5"/>
            <wp:cNvGraphicFramePr/>
            <a:graphic xmlns:a="http://schemas.openxmlformats.org/drawingml/2006/main">
              <a:graphicData uri="http://schemas.openxmlformats.org/drawingml/2006/picture">
                <pic:pic xmlns:pic="http://schemas.openxmlformats.org/drawingml/2006/picture">
                  <pic:nvPicPr>
                    <pic:cNvPr id="6" name="Picture 5"/>
                    <pic:cNvPicPr/>
                  </pic:nvPicPr>
                  <pic:blipFill rotWithShape="1">
                    <a:blip r:embed="rId8">
                      <a:extLst>
                        <a:ext uri="{28A0092B-C50C-407E-A947-70E740481C1C}">
                          <a14:useLocalDpi xmlns:a14="http://schemas.microsoft.com/office/drawing/2010/main" val="0"/>
                        </a:ext>
                      </a:extLst>
                    </a:blip>
                    <a:srcRect l="1710" r="1629"/>
                    <a:stretch/>
                  </pic:blipFill>
                  <pic:spPr bwMode="auto">
                    <a:xfrm>
                      <a:off x="0" y="0"/>
                      <a:ext cx="5057698" cy="2793547"/>
                    </a:xfrm>
                    <a:prstGeom prst="rect">
                      <a:avLst/>
                    </a:prstGeom>
                    <a:ln w="9525" cap="flat" cmpd="sng" algn="ctr">
                      <a:solidFill>
                        <a:schemeClr val="tx1"/>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663D3447" w14:textId="77777777" w:rsidR="00B16EAF" w:rsidRDefault="00B16EAF" w:rsidP="008B3ADB">
      <w:pPr>
        <w:jc w:val="center"/>
        <w:rPr>
          <w:sz w:val="24"/>
          <w:szCs w:val="24"/>
        </w:rPr>
      </w:pPr>
    </w:p>
    <w:p w14:paraId="2893CA35" w14:textId="5ED0636B" w:rsidR="008B3ADB" w:rsidRPr="008B3ADB" w:rsidRDefault="008B3ADB" w:rsidP="008B3ADB">
      <w:pPr>
        <w:rPr>
          <w:sz w:val="24"/>
          <w:szCs w:val="24"/>
        </w:rPr>
      </w:pPr>
      <w:r w:rsidRPr="00B16EAF">
        <w:rPr>
          <w:b/>
          <w:sz w:val="24"/>
          <w:szCs w:val="24"/>
        </w:rPr>
        <w:t>Fig A.  Explanation of NCS colour notation.</w:t>
      </w:r>
      <w:r w:rsidRPr="008B3ADB">
        <w:rPr>
          <w:sz w:val="24"/>
          <w:szCs w:val="24"/>
        </w:rPr>
        <w:t xml:space="preserve">  For the example colour ‘1050-Y90R’, the first two digits (10) represent the blackness of the colour, while the second two digits (50) indicate the chromaticness. In combination, these indicate the colour’s nuance. The final letter and two-digit combination describes the colour’s hue, which in this example shows that the colour is a yellow hue (Y) with 90% redness (R).</w:t>
      </w:r>
    </w:p>
    <w:p w14:paraId="462F90D8" w14:textId="77777777" w:rsidR="00E832ED" w:rsidRDefault="00E832ED" w:rsidP="008B3ADB">
      <w:pPr>
        <w:rPr>
          <w:sz w:val="24"/>
          <w:szCs w:val="24"/>
        </w:rPr>
      </w:pPr>
    </w:p>
    <w:p w14:paraId="19F088ED" w14:textId="77777777" w:rsidR="008B3ADB" w:rsidRDefault="008B3ADB">
      <w:pPr>
        <w:autoSpaceDE/>
        <w:autoSpaceDN/>
        <w:adjustRightInd/>
        <w:rPr>
          <w:b/>
          <w:sz w:val="24"/>
          <w:szCs w:val="24"/>
        </w:rPr>
      </w:pPr>
      <w:r>
        <w:rPr>
          <w:b/>
          <w:sz w:val="24"/>
          <w:szCs w:val="24"/>
        </w:rPr>
        <w:br w:type="page"/>
      </w:r>
    </w:p>
    <w:p w14:paraId="29D49905" w14:textId="42CE6A6C" w:rsidR="00E832ED" w:rsidRPr="00D2439C" w:rsidRDefault="00D2439C" w:rsidP="00AF7A2E">
      <w:pPr>
        <w:rPr>
          <w:b/>
          <w:sz w:val="32"/>
          <w:szCs w:val="32"/>
        </w:rPr>
      </w:pPr>
      <w:r w:rsidRPr="00D2439C">
        <w:rPr>
          <w:b/>
          <w:sz w:val="32"/>
          <w:szCs w:val="32"/>
        </w:rPr>
        <w:t>S2</w:t>
      </w:r>
      <w:r w:rsidR="000A34D2">
        <w:rPr>
          <w:b/>
          <w:sz w:val="32"/>
          <w:szCs w:val="32"/>
        </w:rPr>
        <w:t xml:space="preserve"> Text</w:t>
      </w:r>
      <w:bookmarkStart w:id="0" w:name="_GoBack"/>
      <w:bookmarkEnd w:id="0"/>
      <w:r w:rsidR="009B4668" w:rsidRPr="00D2439C">
        <w:rPr>
          <w:b/>
          <w:sz w:val="32"/>
          <w:szCs w:val="32"/>
        </w:rPr>
        <w:t xml:space="preserve"> </w:t>
      </w:r>
      <w:r w:rsidR="00E832ED" w:rsidRPr="00D2439C">
        <w:rPr>
          <w:b/>
          <w:sz w:val="32"/>
          <w:szCs w:val="32"/>
        </w:rPr>
        <w:t xml:space="preserve">References </w:t>
      </w:r>
    </w:p>
    <w:p w14:paraId="30AF9E5A" w14:textId="77777777" w:rsidR="009B4668" w:rsidRDefault="009B4668" w:rsidP="00AF7A2E">
      <w:pPr>
        <w:rPr>
          <w:sz w:val="24"/>
          <w:szCs w:val="24"/>
        </w:rPr>
      </w:pPr>
    </w:p>
    <w:p w14:paraId="292AFB7B" w14:textId="061811DB" w:rsidR="00E832ED" w:rsidRPr="009B4668" w:rsidRDefault="009C4BA4" w:rsidP="009B4668">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294"/>
        <w:rPr>
          <w:sz w:val="24"/>
          <w:szCs w:val="24"/>
          <w:lang w:val="en-US"/>
        </w:rPr>
      </w:pPr>
      <w:r w:rsidRPr="009B4668">
        <w:rPr>
          <w:sz w:val="24"/>
          <w:szCs w:val="24"/>
          <w:lang w:val="en-US"/>
        </w:rPr>
        <w:t xml:space="preserve">Aitken MJ. </w:t>
      </w:r>
      <w:r w:rsidR="00E832ED" w:rsidRPr="009B4668">
        <w:rPr>
          <w:iCs/>
          <w:sz w:val="24"/>
          <w:szCs w:val="24"/>
          <w:lang w:val="en-US"/>
        </w:rPr>
        <w:t>Introduction to optical dating: the dating of Quaternary sediments by the use of photon-stimulated luminescence</w:t>
      </w:r>
      <w:r w:rsidR="00E832ED" w:rsidRPr="009B4668">
        <w:rPr>
          <w:sz w:val="24"/>
          <w:szCs w:val="24"/>
          <w:lang w:val="en-US"/>
        </w:rPr>
        <w:t xml:space="preserve">. </w:t>
      </w:r>
      <w:r w:rsidRPr="009B4668">
        <w:rPr>
          <w:sz w:val="24"/>
          <w:szCs w:val="24"/>
          <w:lang w:val="en-US"/>
        </w:rPr>
        <w:t xml:space="preserve">Oxford: </w:t>
      </w:r>
      <w:r w:rsidR="00E832ED" w:rsidRPr="009B4668">
        <w:rPr>
          <w:sz w:val="24"/>
          <w:szCs w:val="24"/>
          <w:lang w:val="en-US"/>
        </w:rPr>
        <w:t>Clarendon Press</w:t>
      </w:r>
      <w:r w:rsidRPr="009B4668">
        <w:rPr>
          <w:sz w:val="24"/>
          <w:szCs w:val="24"/>
          <w:lang w:val="en-US"/>
        </w:rPr>
        <w:t>; 1998</w:t>
      </w:r>
      <w:r w:rsidR="00E832ED" w:rsidRPr="009B4668">
        <w:rPr>
          <w:sz w:val="24"/>
          <w:szCs w:val="24"/>
          <w:lang w:val="en-US"/>
        </w:rPr>
        <w:t>.</w:t>
      </w:r>
    </w:p>
    <w:p w14:paraId="6C72EA67" w14:textId="77777777" w:rsidR="00E832ED" w:rsidRDefault="00E832ED" w:rsidP="009B46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294"/>
        <w:rPr>
          <w:sz w:val="24"/>
          <w:szCs w:val="24"/>
          <w:lang w:val="en-US"/>
        </w:rPr>
      </w:pPr>
    </w:p>
    <w:p w14:paraId="4272DB87" w14:textId="26B7A162" w:rsidR="00DC7A7A" w:rsidRPr="009B4668" w:rsidRDefault="009C4BA4" w:rsidP="009B4668">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294"/>
        <w:rPr>
          <w:sz w:val="24"/>
          <w:szCs w:val="24"/>
          <w:lang w:val="en-US"/>
        </w:rPr>
      </w:pPr>
      <w:r w:rsidRPr="009B4668">
        <w:rPr>
          <w:sz w:val="24"/>
          <w:szCs w:val="24"/>
          <w:lang w:val="en-US"/>
        </w:rPr>
        <w:t>Westaway KE, Roberts RG.</w:t>
      </w:r>
      <w:r w:rsidR="00DC7A7A" w:rsidRPr="009B4668">
        <w:rPr>
          <w:sz w:val="24"/>
          <w:szCs w:val="24"/>
          <w:lang w:val="en-US"/>
        </w:rPr>
        <w:t xml:space="preserve"> A dual-aliquot regenerative-dose protocol (DAP) for thermoluminescence (TL) dating of quartz sediments using the light-sensitive and isothermally stimulated red emissions. </w:t>
      </w:r>
      <w:r w:rsidRPr="009B4668">
        <w:rPr>
          <w:iCs/>
          <w:sz w:val="24"/>
          <w:szCs w:val="24"/>
          <w:lang w:val="en-US"/>
        </w:rPr>
        <w:t>Quater Sci</w:t>
      </w:r>
      <w:r w:rsidR="00DC7A7A" w:rsidRPr="009B4668">
        <w:rPr>
          <w:iCs/>
          <w:sz w:val="24"/>
          <w:szCs w:val="24"/>
          <w:lang w:val="en-US"/>
        </w:rPr>
        <w:t xml:space="preserve"> Rev</w:t>
      </w:r>
      <w:r w:rsidRPr="009B4668">
        <w:rPr>
          <w:sz w:val="24"/>
          <w:szCs w:val="24"/>
          <w:lang w:val="en-US"/>
        </w:rPr>
        <w:t xml:space="preserve">. 2006; </w:t>
      </w:r>
      <w:r w:rsidR="00DC7A7A" w:rsidRPr="009B4668">
        <w:rPr>
          <w:iCs/>
          <w:sz w:val="24"/>
          <w:szCs w:val="24"/>
          <w:lang w:val="en-US"/>
        </w:rPr>
        <w:t>25</w:t>
      </w:r>
      <w:r w:rsidRPr="009B4668">
        <w:rPr>
          <w:sz w:val="24"/>
          <w:szCs w:val="24"/>
          <w:lang w:val="en-US"/>
        </w:rPr>
        <w:t xml:space="preserve">(19-20): </w:t>
      </w:r>
      <w:r w:rsidR="00DC7A7A" w:rsidRPr="009B4668">
        <w:rPr>
          <w:sz w:val="24"/>
          <w:szCs w:val="24"/>
          <w:lang w:val="en-US"/>
        </w:rPr>
        <w:t>2513-2528.</w:t>
      </w:r>
    </w:p>
    <w:p w14:paraId="4B5CA9A7" w14:textId="77777777" w:rsidR="00DC7A7A" w:rsidRDefault="00DC7A7A" w:rsidP="009B46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294"/>
        <w:rPr>
          <w:sz w:val="24"/>
          <w:szCs w:val="24"/>
          <w:lang w:val="en-US"/>
        </w:rPr>
      </w:pPr>
    </w:p>
    <w:p w14:paraId="4ECD6356" w14:textId="6977759C" w:rsidR="00DC7A7A" w:rsidRPr="009B4668" w:rsidRDefault="009C4BA4" w:rsidP="009B4668">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294"/>
        <w:rPr>
          <w:sz w:val="24"/>
          <w:szCs w:val="24"/>
        </w:rPr>
      </w:pPr>
      <w:r w:rsidRPr="009B4668">
        <w:rPr>
          <w:sz w:val="24"/>
          <w:szCs w:val="24"/>
        </w:rPr>
        <w:t xml:space="preserve">Murray AS, Wintle AG. </w:t>
      </w:r>
      <w:r w:rsidR="00DC7A7A" w:rsidRPr="009B4668">
        <w:rPr>
          <w:sz w:val="24"/>
          <w:szCs w:val="24"/>
        </w:rPr>
        <w:t xml:space="preserve">Luminescence dating of quartz using an improved single-aliquot regenerative-dose protocol. </w:t>
      </w:r>
      <w:r w:rsidR="00DC7A7A" w:rsidRPr="009B4668">
        <w:rPr>
          <w:iCs/>
          <w:sz w:val="24"/>
          <w:szCs w:val="24"/>
        </w:rPr>
        <w:t>Radiation Measurements</w:t>
      </w:r>
      <w:r w:rsidRPr="009B4668">
        <w:rPr>
          <w:iCs/>
          <w:sz w:val="24"/>
          <w:szCs w:val="24"/>
        </w:rPr>
        <w:t>. 2000;</w:t>
      </w:r>
      <w:r w:rsidR="00DC7A7A" w:rsidRPr="009B4668">
        <w:rPr>
          <w:iCs/>
          <w:sz w:val="24"/>
          <w:szCs w:val="24"/>
        </w:rPr>
        <w:t xml:space="preserve"> </w:t>
      </w:r>
      <w:r w:rsidRPr="009B4668">
        <w:rPr>
          <w:sz w:val="24"/>
          <w:szCs w:val="24"/>
        </w:rPr>
        <w:t xml:space="preserve">32: </w:t>
      </w:r>
      <w:r w:rsidR="00DC7A7A" w:rsidRPr="009B4668">
        <w:rPr>
          <w:sz w:val="24"/>
          <w:szCs w:val="24"/>
        </w:rPr>
        <w:t>57-73.</w:t>
      </w:r>
    </w:p>
    <w:p w14:paraId="44E29031" w14:textId="77777777" w:rsidR="00DC7A7A" w:rsidRPr="00F363A5" w:rsidRDefault="00DC7A7A" w:rsidP="009B46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294"/>
        <w:rPr>
          <w:sz w:val="24"/>
          <w:szCs w:val="24"/>
          <w:lang w:val="en-US"/>
        </w:rPr>
      </w:pPr>
    </w:p>
    <w:p w14:paraId="7D5D3849" w14:textId="201D600E" w:rsidR="00F363A5" w:rsidRPr="009B4668" w:rsidRDefault="005C5F41" w:rsidP="009B4668">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294"/>
        <w:rPr>
          <w:sz w:val="24"/>
          <w:szCs w:val="24"/>
          <w:lang w:val="en-US"/>
        </w:rPr>
      </w:pPr>
      <w:r>
        <w:rPr>
          <w:sz w:val="24"/>
          <w:szCs w:val="24"/>
          <w:lang w:val="en-US"/>
        </w:rPr>
        <w:t>Fattahi M, Stokes S</w:t>
      </w:r>
      <w:r w:rsidR="00F363A5" w:rsidRPr="009B4668">
        <w:rPr>
          <w:sz w:val="24"/>
          <w:szCs w:val="24"/>
          <w:lang w:val="en-US"/>
        </w:rPr>
        <w:t xml:space="preserve">. Extending the time range of luminescence dating using red TL (RTL) from volcanic quartz. </w:t>
      </w:r>
      <w:r w:rsidR="00F363A5" w:rsidRPr="009B4668">
        <w:rPr>
          <w:iCs/>
          <w:sz w:val="24"/>
          <w:szCs w:val="24"/>
          <w:lang w:val="en-US"/>
        </w:rPr>
        <w:t>Radiation Measurements</w:t>
      </w:r>
      <w:r w:rsidR="009C4BA4" w:rsidRPr="009B4668">
        <w:rPr>
          <w:iCs/>
          <w:sz w:val="24"/>
          <w:szCs w:val="24"/>
          <w:lang w:val="en-US"/>
        </w:rPr>
        <w:t>. 2000;</w:t>
      </w:r>
      <w:r w:rsidR="009C4BA4" w:rsidRPr="009B4668">
        <w:rPr>
          <w:sz w:val="24"/>
          <w:szCs w:val="24"/>
          <w:lang w:val="en-US"/>
        </w:rPr>
        <w:t xml:space="preserve"> </w:t>
      </w:r>
      <w:r w:rsidR="00F363A5" w:rsidRPr="009B4668">
        <w:rPr>
          <w:iCs/>
          <w:sz w:val="24"/>
          <w:szCs w:val="24"/>
          <w:lang w:val="en-US"/>
        </w:rPr>
        <w:t>32</w:t>
      </w:r>
      <w:r w:rsidR="009C4BA4" w:rsidRPr="009B4668">
        <w:rPr>
          <w:sz w:val="24"/>
          <w:szCs w:val="24"/>
          <w:lang w:val="en-US"/>
        </w:rPr>
        <w:t xml:space="preserve">(5-6): </w:t>
      </w:r>
      <w:r w:rsidR="00F363A5" w:rsidRPr="009B4668">
        <w:rPr>
          <w:sz w:val="24"/>
          <w:szCs w:val="24"/>
          <w:lang w:val="en-US"/>
        </w:rPr>
        <w:t>479-485.</w:t>
      </w:r>
    </w:p>
    <w:p w14:paraId="1E596964" w14:textId="77777777" w:rsidR="00E832ED" w:rsidRPr="00F363A5" w:rsidRDefault="00E832ED" w:rsidP="009B46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294"/>
        <w:rPr>
          <w:sz w:val="24"/>
          <w:szCs w:val="24"/>
          <w:lang w:val="en-US"/>
        </w:rPr>
      </w:pPr>
    </w:p>
    <w:p w14:paraId="0F5F3804" w14:textId="4C6BA69C" w:rsidR="00E832ED" w:rsidRPr="009B4668" w:rsidRDefault="00E832ED" w:rsidP="009B4668">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294"/>
        <w:rPr>
          <w:sz w:val="24"/>
          <w:szCs w:val="24"/>
        </w:rPr>
      </w:pPr>
      <w:r w:rsidRPr="009B4668">
        <w:rPr>
          <w:sz w:val="24"/>
          <w:szCs w:val="24"/>
        </w:rPr>
        <w:t xml:space="preserve">Oldfield F. Environmental magnetism: a personal perspective. </w:t>
      </w:r>
      <w:r w:rsidR="009C4BA4" w:rsidRPr="009B4668">
        <w:rPr>
          <w:sz w:val="24"/>
          <w:szCs w:val="24"/>
        </w:rPr>
        <w:t>Quater Sci Rev. 1991;</w:t>
      </w:r>
      <w:r w:rsidRPr="009B4668">
        <w:rPr>
          <w:sz w:val="24"/>
          <w:szCs w:val="24"/>
        </w:rPr>
        <w:t xml:space="preserve"> </w:t>
      </w:r>
      <w:r w:rsidR="009C4BA4" w:rsidRPr="009B4668">
        <w:rPr>
          <w:sz w:val="24"/>
          <w:szCs w:val="24"/>
        </w:rPr>
        <w:t xml:space="preserve">10: </w:t>
      </w:r>
      <w:r w:rsidRPr="009B4668">
        <w:rPr>
          <w:sz w:val="24"/>
          <w:szCs w:val="24"/>
        </w:rPr>
        <w:t>73-85.</w:t>
      </w:r>
    </w:p>
    <w:p w14:paraId="52F4BD21" w14:textId="77777777" w:rsidR="00E832ED" w:rsidRPr="00F363A5" w:rsidRDefault="00E832ED" w:rsidP="009B46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294"/>
        <w:rPr>
          <w:sz w:val="24"/>
          <w:szCs w:val="24"/>
        </w:rPr>
      </w:pPr>
    </w:p>
    <w:p w14:paraId="1208865D" w14:textId="1714917A" w:rsidR="00E832ED" w:rsidRPr="009B4668" w:rsidRDefault="009C4BA4" w:rsidP="009B4668">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294"/>
        <w:rPr>
          <w:sz w:val="24"/>
          <w:szCs w:val="24"/>
        </w:rPr>
      </w:pPr>
      <w:r w:rsidRPr="009B4668">
        <w:rPr>
          <w:sz w:val="24"/>
          <w:szCs w:val="24"/>
        </w:rPr>
        <w:t xml:space="preserve">Oldfield F, Hunt A, Jones MDH, Chester R, Dearing JA, Olsson L, et al. </w:t>
      </w:r>
      <w:r w:rsidR="00E832ED" w:rsidRPr="009B4668">
        <w:rPr>
          <w:sz w:val="24"/>
          <w:szCs w:val="24"/>
        </w:rPr>
        <w:t>Magnetic differentiation in atmospheric dusts. Nature</w:t>
      </w:r>
      <w:r w:rsidRPr="009B4668">
        <w:rPr>
          <w:sz w:val="24"/>
          <w:szCs w:val="24"/>
        </w:rPr>
        <w:t xml:space="preserve">. 1985; </w:t>
      </w:r>
      <w:r w:rsidR="00E832ED" w:rsidRPr="009B4668">
        <w:rPr>
          <w:sz w:val="24"/>
          <w:szCs w:val="24"/>
        </w:rPr>
        <w:t>317:</w:t>
      </w:r>
      <w:r w:rsidRPr="009B4668">
        <w:rPr>
          <w:sz w:val="24"/>
          <w:szCs w:val="24"/>
        </w:rPr>
        <w:t xml:space="preserve"> </w:t>
      </w:r>
      <w:r w:rsidR="00E832ED" w:rsidRPr="009B4668">
        <w:rPr>
          <w:sz w:val="24"/>
          <w:szCs w:val="24"/>
        </w:rPr>
        <w:t>516-518.</w:t>
      </w:r>
    </w:p>
    <w:p w14:paraId="28BF4A50" w14:textId="77777777" w:rsidR="00E832ED" w:rsidRPr="00F363A5" w:rsidRDefault="00E832ED" w:rsidP="009B46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294"/>
        <w:rPr>
          <w:sz w:val="24"/>
          <w:szCs w:val="24"/>
          <w:lang w:val="en-US"/>
        </w:rPr>
      </w:pPr>
    </w:p>
    <w:p w14:paraId="0A1A7344" w14:textId="39D7924D" w:rsidR="00E832ED" w:rsidRPr="009B4668" w:rsidRDefault="001D0E7C" w:rsidP="009B4668">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294"/>
        <w:rPr>
          <w:sz w:val="24"/>
          <w:szCs w:val="24"/>
        </w:rPr>
      </w:pPr>
      <w:r w:rsidRPr="009B4668">
        <w:rPr>
          <w:sz w:val="24"/>
          <w:szCs w:val="24"/>
        </w:rPr>
        <w:t xml:space="preserve">Watts </w:t>
      </w:r>
      <w:r w:rsidR="00E832ED" w:rsidRPr="009B4668">
        <w:rPr>
          <w:sz w:val="24"/>
          <w:szCs w:val="24"/>
        </w:rPr>
        <w:t>I. The pigments from Pinnacle Point Cave 13B, Wes</w:t>
      </w:r>
      <w:r w:rsidRPr="009B4668">
        <w:rPr>
          <w:sz w:val="24"/>
          <w:szCs w:val="24"/>
        </w:rPr>
        <w:t>tern Cape, South Africa. J Hum Evol. 2010;</w:t>
      </w:r>
      <w:r w:rsidR="00E832ED" w:rsidRPr="009B4668">
        <w:rPr>
          <w:sz w:val="24"/>
          <w:szCs w:val="24"/>
        </w:rPr>
        <w:t xml:space="preserve"> 58:</w:t>
      </w:r>
      <w:r w:rsidRPr="009B4668">
        <w:rPr>
          <w:sz w:val="24"/>
          <w:szCs w:val="24"/>
        </w:rPr>
        <w:t xml:space="preserve"> </w:t>
      </w:r>
      <w:r w:rsidR="00E832ED" w:rsidRPr="009B4668">
        <w:rPr>
          <w:sz w:val="24"/>
          <w:szCs w:val="24"/>
        </w:rPr>
        <w:t>392-411.</w:t>
      </w:r>
    </w:p>
    <w:p w14:paraId="33C4B7FE" w14:textId="77777777" w:rsidR="00E832ED" w:rsidRPr="00F363A5" w:rsidRDefault="00E832ED" w:rsidP="009B46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294"/>
        <w:rPr>
          <w:sz w:val="24"/>
          <w:szCs w:val="24"/>
        </w:rPr>
      </w:pPr>
    </w:p>
    <w:p w14:paraId="672CE164" w14:textId="77777777" w:rsidR="00E832ED" w:rsidRPr="00F363A5" w:rsidRDefault="00E832ED" w:rsidP="00E832E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lang w:val="en-US"/>
        </w:rPr>
      </w:pPr>
    </w:p>
    <w:p w14:paraId="0F975EBE" w14:textId="77777777" w:rsidR="00E832ED" w:rsidRPr="004733E0" w:rsidRDefault="00E832ED" w:rsidP="00E832E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FF"/>
          <w:sz w:val="24"/>
          <w:szCs w:val="24"/>
          <w:lang w:val="en-US"/>
        </w:rPr>
      </w:pPr>
    </w:p>
    <w:p w14:paraId="1E687A5D" w14:textId="77777777" w:rsidR="00E832ED" w:rsidRDefault="00E832ED" w:rsidP="00AF7A2E">
      <w:pPr>
        <w:rPr>
          <w:sz w:val="24"/>
          <w:szCs w:val="24"/>
        </w:rPr>
      </w:pPr>
    </w:p>
    <w:p w14:paraId="47A08F17" w14:textId="77777777" w:rsidR="00A31E04" w:rsidRDefault="00A31E04" w:rsidP="00AF7A2E">
      <w:pPr>
        <w:rPr>
          <w:sz w:val="24"/>
          <w:szCs w:val="24"/>
        </w:rPr>
      </w:pPr>
    </w:p>
    <w:p w14:paraId="4BD4DE10" w14:textId="77777777" w:rsidR="00AF7A2E" w:rsidRDefault="00AF7A2E" w:rsidP="00C7192A">
      <w:pPr>
        <w:rPr>
          <w:sz w:val="24"/>
          <w:szCs w:val="24"/>
        </w:rPr>
      </w:pPr>
    </w:p>
    <w:p w14:paraId="118A9AC5" w14:textId="77777777" w:rsidR="00AF7A2E" w:rsidRDefault="00AF7A2E" w:rsidP="00C7192A">
      <w:pPr>
        <w:rPr>
          <w:sz w:val="24"/>
          <w:szCs w:val="24"/>
        </w:rPr>
      </w:pPr>
    </w:p>
    <w:sectPr w:rsidR="00AF7A2E" w:rsidSect="00A4143F">
      <w:footerReference w:type="even"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7B42B9" w14:textId="77777777" w:rsidR="009C4BA4" w:rsidRDefault="009C4BA4" w:rsidP="00CB405C">
      <w:r>
        <w:separator/>
      </w:r>
    </w:p>
  </w:endnote>
  <w:endnote w:type="continuationSeparator" w:id="0">
    <w:p w14:paraId="07F8A268" w14:textId="77777777" w:rsidR="009C4BA4" w:rsidRDefault="009C4BA4" w:rsidP="00CB4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8A2FAF" w14:textId="77777777" w:rsidR="009C4BA4" w:rsidRDefault="009C4BA4" w:rsidP="009C4B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D2C987" w14:textId="77777777" w:rsidR="009C4BA4" w:rsidRDefault="009C4BA4" w:rsidP="00CB405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AD2BAB" w14:textId="77777777" w:rsidR="009C4BA4" w:rsidRDefault="009C4BA4" w:rsidP="009C4B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A34D2">
      <w:rPr>
        <w:rStyle w:val="PageNumber"/>
        <w:noProof/>
      </w:rPr>
      <w:t>1</w:t>
    </w:r>
    <w:r>
      <w:rPr>
        <w:rStyle w:val="PageNumber"/>
      </w:rPr>
      <w:fldChar w:fldCharType="end"/>
    </w:r>
  </w:p>
  <w:p w14:paraId="170CD752" w14:textId="77777777" w:rsidR="009C4BA4" w:rsidRDefault="009C4BA4" w:rsidP="00CB405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6E372B" w14:textId="77777777" w:rsidR="009C4BA4" w:rsidRDefault="009C4BA4" w:rsidP="00CB405C">
      <w:r>
        <w:separator/>
      </w:r>
    </w:p>
  </w:footnote>
  <w:footnote w:type="continuationSeparator" w:id="0">
    <w:p w14:paraId="23F14F56" w14:textId="77777777" w:rsidR="009C4BA4" w:rsidRDefault="009C4BA4" w:rsidP="00CB405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27260"/>
    <w:multiLevelType w:val="hybridMultilevel"/>
    <w:tmpl w:val="2BA0E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92A"/>
    <w:rsid w:val="000101CF"/>
    <w:rsid w:val="000130A2"/>
    <w:rsid w:val="00067FAE"/>
    <w:rsid w:val="00086B4C"/>
    <w:rsid w:val="000A34D2"/>
    <w:rsid w:val="000B61B9"/>
    <w:rsid w:val="00132F68"/>
    <w:rsid w:val="001A624A"/>
    <w:rsid w:val="001D0E7C"/>
    <w:rsid w:val="00234DB9"/>
    <w:rsid w:val="00246A54"/>
    <w:rsid w:val="004B6692"/>
    <w:rsid w:val="00513067"/>
    <w:rsid w:val="005A623C"/>
    <w:rsid w:val="005C5F41"/>
    <w:rsid w:val="00612B84"/>
    <w:rsid w:val="00701AA5"/>
    <w:rsid w:val="00714863"/>
    <w:rsid w:val="0073728C"/>
    <w:rsid w:val="007E26CA"/>
    <w:rsid w:val="008B3ADB"/>
    <w:rsid w:val="009B4668"/>
    <w:rsid w:val="009C4BA4"/>
    <w:rsid w:val="00A31E04"/>
    <w:rsid w:val="00A4143F"/>
    <w:rsid w:val="00A8349B"/>
    <w:rsid w:val="00AF7A2E"/>
    <w:rsid w:val="00B16EAF"/>
    <w:rsid w:val="00B56BBC"/>
    <w:rsid w:val="00C1134D"/>
    <w:rsid w:val="00C258CB"/>
    <w:rsid w:val="00C40021"/>
    <w:rsid w:val="00C7192A"/>
    <w:rsid w:val="00CB405C"/>
    <w:rsid w:val="00D2439C"/>
    <w:rsid w:val="00DC7A7A"/>
    <w:rsid w:val="00DC7B8D"/>
    <w:rsid w:val="00DF77DA"/>
    <w:rsid w:val="00E64829"/>
    <w:rsid w:val="00E832ED"/>
    <w:rsid w:val="00F363A5"/>
    <w:rsid w:val="00F73AFE"/>
    <w:rsid w:val="00FC682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042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rsid w:val="00C7192A"/>
    <w:pPr>
      <w:autoSpaceDE w:val="0"/>
      <w:autoSpaceDN w:val="0"/>
      <w:adjustRightInd w:val="0"/>
    </w:pPr>
    <w:rPr>
      <w:rFonts w:ascii="Cambria" w:eastAsia="Cambria" w:hAnsi="Cambria" w:cs="Cambria"/>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3A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3ADB"/>
    <w:rPr>
      <w:rFonts w:ascii="Lucida Grande" w:eastAsia="Cambria" w:hAnsi="Lucida Grande" w:cs="Lucida Grande"/>
      <w:sz w:val="18"/>
      <w:szCs w:val="18"/>
      <w:lang w:val="en-AU"/>
    </w:rPr>
  </w:style>
  <w:style w:type="paragraph" w:styleId="Footer">
    <w:name w:val="footer"/>
    <w:basedOn w:val="Normal"/>
    <w:link w:val="FooterChar"/>
    <w:uiPriority w:val="99"/>
    <w:unhideWhenUsed/>
    <w:rsid w:val="00CB405C"/>
    <w:pPr>
      <w:tabs>
        <w:tab w:val="center" w:pos="4320"/>
        <w:tab w:val="right" w:pos="8640"/>
      </w:tabs>
    </w:pPr>
  </w:style>
  <w:style w:type="character" w:customStyle="1" w:styleId="FooterChar">
    <w:name w:val="Footer Char"/>
    <w:basedOn w:val="DefaultParagraphFont"/>
    <w:link w:val="Footer"/>
    <w:uiPriority w:val="99"/>
    <w:rsid w:val="00CB405C"/>
    <w:rPr>
      <w:rFonts w:ascii="Cambria" w:eastAsia="Cambria" w:hAnsi="Cambria" w:cs="Cambria"/>
      <w:sz w:val="20"/>
      <w:szCs w:val="20"/>
      <w:lang w:val="en-AU"/>
    </w:rPr>
  </w:style>
  <w:style w:type="character" w:styleId="PageNumber">
    <w:name w:val="page number"/>
    <w:basedOn w:val="DefaultParagraphFont"/>
    <w:uiPriority w:val="99"/>
    <w:semiHidden/>
    <w:unhideWhenUsed/>
    <w:rsid w:val="00CB405C"/>
  </w:style>
  <w:style w:type="paragraph" w:styleId="ListParagraph">
    <w:name w:val="List Paragraph"/>
    <w:basedOn w:val="Normal"/>
    <w:uiPriority w:val="34"/>
    <w:qFormat/>
    <w:rsid w:val="009B466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rsid w:val="00C7192A"/>
    <w:pPr>
      <w:autoSpaceDE w:val="0"/>
      <w:autoSpaceDN w:val="0"/>
      <w:adjustRightInd w:val="0"/>
    </w:pPr>
    <w:rPr>
      <w:rFonts w:ascii="Cambria" w:eastAsia="Cambria" w:hAnsi="Cambria" w:cs="Cambria"/>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3A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3ADB"/>
    <w:rPr>
      <w:rFonts w:ascii="Lucida Grande" w:eastAsia="Cambria" w:hAnsi="Lucida Grande" w:cs="Lucida Grande"/>
      <w:sz w:val="18"/>
      <w:szCs w:val="18"/>
      <w:lang w:val="en-AU"/>
    </w:rPr>
  </w:style>
  <w:style w:type="paragraph" w:styleId="Footer">
    <w:name w:val="footer"/>
    <w:basedOn w:val="Normal"/>
    <w:link w:val="FooterChar"/>
    <w:uiPriority w:val="99"/>
    <w:unhideWhenUsed/>
    <w:rsid w:val="00CB405C"/>
    <w:pPr>
      <w:tabs>
        <w:tab w:val="center" w:pos="4320"/>
        <w:tab w:val="right" w:pos="8640"/>
      </w:tabs>
    </w:pPr>
  </w:style>
  <w:style w:type="character" w:customStyle="1" w:styleId="FooterChar">
    <w:name w:val="Footer Char"/>
    <w:basedOn w:val="DefaultParagraphFont"/>
    <w:link w:val="Footer"/>
    <w:uiPriority w:val="99"/>
    <w:rsid w:val="00CB405C"/>
    <w:rPr>
      <w:rFonts w:ascii="Cambria" w:eastAsia="Cambria" w:hAnsi="Cambria" w:cs="Cambria"/>
      <w:sz w:val="20"/>
      <w:szCs w:val="20"/>
      <w:lang w:val="en-AU"/>
    </w:rPr>
  </w:style>
  <w:style w:type="character" w:styleId="PageNumber">
    <w:name w:val="page number"/>
    <w:basedOn w:val="DefaultParagraphFont"/>
    <w:uiPriority w:val="99"/>
    <w:semiHidden/>
    <w:unhideWhenUsed/>
    <w:rsid w:val="00CB405C"/>
  </w:style>
  <w:style w:type="paragraph" w:styleId="ListParagraph">
    <w:name w:val="List Paragraph"/>
    <w:basedOn w:val="Normal"/>
    <w:uiPriority w:val="34"/>
    <w:qFormat/>
    <w:rsid w:val="009B46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9554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3</Pages>
  <Words>872</Words>
  <Characters>4572</Characters>
  <Application>Microsoft Macintosh Word</Application>
  <DocSecurity>0</DocSecurity>
  <Lines>117</Lines>
  <Paragraphs>54</Paragraphs>
  <ScaleCrop>false</ScaleCrop>
  <Company>University of New England</Company>
  <LinksUpToDate>false</LinksUpToDate>
  <CharactersWithSpaces>5390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Moore</dc:creator>
  <cp:keywords/>
  <dc:description/>
  <cp:lastModifiedBy>Mark Moore</cp:lastModifiedBy>
  <cp:revision>31</cp:revision>
  <dcterms:created xsi:type="dcterms:W3CDTF">2019-07-11T22:31:00Z</dcterms:created>
  <dcterms:modified xsi:type="dcterms:W3CDTF">2019-08-15T05:37:00Z</dcterms:modified>
</cp:coreProperties>
</file>