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54F45E15" w:rsidR="00867996" w:rsidRDefault="00AE3C8F" w:rsidP="00B475C0">
      <w:pPr>
        <w:spacing w:after="120" w:line="240" w:lineRule="auto"/>
        <w:rPr>
          <w:rFonts w:ascii="Arial" w:hAnsi="Arial" w:cs="Arial"/>
          <w:b/>
          <w:sz w:val="20"/>
        </w:rPr>
      </w:pPr>
      <w:r w:rsidRPr="00667D58">
        <w:rPr>
          <w:rFonts w:ascii="Arial" w:hAnsi="Arial" w:cs="Arial"/>
          <w:b/>
          <w:sz w:val="20"/>
        </w:rPr>
        <w:t>S</w:t>
      </w:r>
      <w:r w:rsidR="00897034">
        <w:rPr>
          <w:rFonts w:ascii="Arial" w:hAnsi="Arial" w:cs="Arial"/>
          <w:b/>
          <w:sz w:val="20"/>
        </w:rPr>
        <w:t>1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E50F3D">
        <w:rPr>
          <w:rFonts w:ascii="Arial" w:hAnsi="Arial" w:cs="Arial"/>
          <w:b/>
          <w:sz w:val="20"/>
        </w:rPr>
        <w:t>Patients who d</w:t>
      </w:r>
      <w:r w:rsidR="007D7637">
        <w:rPr>
          <w:rFonts w:ascii="Arial" w:hAnsi="Arial" w:cs="Arial"/>
          <w:b/>
          <w:sz w:val="20"/>
        </w:rPr>
        <w:t xml:space="preserve">iscontinued </w:t>
      </w:r>
      <w:r w:rsidR="00E50F3D">
        <w:rPr>
          <w:rFonts w:ascii="Arial" w:hAnsi="Arial" w:cs="Arial"/>
          <w:b/>
          <w:sz w:val="20"/>
        </w:rPr>
        <w:t>the trial or</w:t>
      </w:r>
      <w:r w:rsidR="008D6F2C">
        <w:rPr>
          <w:rFonts w:ascii="Arial" w:hAnsi="Arial" w:cs="Arial"/>
          <w:b/>
          <w:sz w:val="20"/>
        </w:rPr>
        <w:t xml:space="preserve"> </w:t>
      </w:r>
      <w:r w:rsidR="00E50F3D">
        <w:rPr>
          <w:rFonts w:ascii="Arial" w:hAnsi="Arial" w:cs="Arial"/>
          <w:b/>
          <w:sz w:val="20"/>
        </w:rPr>
        <w:t>were lost to follow-up</w:t>
      </w:r>
      <w:r w:rsidR="00B42AC3">
        <w:rPr>
          <w:rFonts w:ascii="Arial" w:hAnsi="Arial" w:cs="Arial"/>
          <w:b/>
          <w:sz w:val="20"/>
        </w:rPr>
        <w:t xml:space="preserve"> (Intention-to-Treat population)</w:t>
      </w:r>
      <w:r w:rsidR="00C6783A">
        <w:rPr>
          <w:rFonts w:ascii="Arial" w:hAnsi="Arial" w:cs="Arial"/>
          <w:b/>
          <w:sz w:val="20"/>
        </w:rPr>
        <w:t>.</w:t>
      </w:r>
    </w:p>
    <w:tbl>
      <w:tblPr>
        <w:tblStyle w:val="Grilledutableau1"/>
        <w:tblW w:w="5011" w:type="pct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51"/>
        <w:gridCol w:w="832"/>
        <w:gridCol w:w="557"/>
        <w:gridCol w:w="832"/>
        <w:gridCol w:w="5304"/>
        <w:gridCol w:w="546"/>
        <w:gridCol w:w="512"/>
        <w:gridCol w:w="711"/>
        <w:gridCol w:w="546"/>
        <w:gridCol w:w="544"/>
        <w:gridCol w:w="1980"/>
      </w:tblGrid>
      <w:tr w:rsidR="007D7637" w:rsidRPr="007D7637" w14:paraId="3FF65F2C" w14:textId="77777777" w:rsidTr="00137292">
        <w:trPr>
          <w:tblHeader/>
        </w:trPr>
        <w:tc>
          <w:tcPr>
            <w:tcW w:w="819" w:type="dxa"/>
            <w:shd w:val="clear" w:color="auto" w:fill="auto"/>
          </w:tcPr>
          <w:p w14:paraId="4C029FB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851" w:type="dxa"/>
            <w:shd w:val="clear" w:color="auto" w:fill="auto"/>
          </w:tcPr>
          <w:p w14:paraId="1BB5B64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832" w:type="dxa"/>
            <w:shd w:val="clear" w:color="auto" w:fill="auto"/>
          </w:tcPr>
          <w:p w14:paraId="251F6FC2" w14:textId="2875C82B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Dataset</w:t>
            </w:r>
          </w:p>
        </w:tc>
        <w:tc>
          <w:tcPr>
            <w:tcW w:w="557" w:type="dxa"/>
            <w:shd w:val="clear" w:color="auto" w:fill="auto"/>
          </w:tcPr>
          <w:p w14:paraId="420F1967" w14:textId="77777777" w:rsidR="007D7637" w:rsidRPr="007D7637" w:rsidRDefault="007D7637" w:rsidP="00D16509">
            <w:pPr>
              <w:pStyle w:val="Tableaulisting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832" w:type="dxa"/>
            <w:shd w:val="clear" w:color="auto" w:fill="auto"/>
          </w:tcPr>
          <w:p w14:paraId="584E5989" w14:textId="684DCE9E" w:rsidR="007D7637" w:rsidRPr="007D7637" w:rsidRDefault="00007F3A" w:rsidP="00D4631D">
            <w:pPr>
              <w:pStyle w:val="Tableaulisting"/>
              <w:spacing w:before="60" w:after="60"/>
              <w:ind w:left="-1" w:hanging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5304" w:type="dxa"/>
            <w:shd w:val="clear" w:color="auto" w:fill="auto"/>
          </w:tcPr>
          <w:p w14:paraId="50CDC3C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00DD399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Injection</w:t>
            </w:r>
          </w:p>
        </w:tc>
        <w:tc>
          <w:tcPr>
            <w:tcW w:w="711" w:type="dxa"/>
            <w:shd w:val="clear" w:color="auto" w:fill="auto"/>
          </w:tcPr>
          <w:p w14:paraId="41F6E61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Left trial</w:t>
            </w:r>
          </w:p>
        </w:tc>
        <w:tc>
          <w:tcPr>
            <w:tcW w:w="1090" w:type="dxa"/>
            <w:gridSpan w:val="2"/>
            <w:shd w:val="clear" w:color="auto" w:fill="auto"/>
          </w:tcPr>
          <w:p w14:paraId="37E6D05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Last visit</w:t>
            </w:r>
          </w:p>
        </w:tc>
        <w:tc>
          <w:tcPr>
            <w:tcW w:w="1980" w:type="dxa"/>
            <w:shd w:val="clear" w:color="auto" w:fill="auto"/>
          </w:tcPr>
          <w:p w14:paraId="2CD3447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7D7637">
              <w:rPr>
                <w:rFonts w:ascii="Arial" w:hAnsi="Arial" w:cs="Arial"/>
                <w:b/>
              </w:rPr>
              <w:t>Reason(s) given</w:t>
            </w:r>
          </w:p>
        </w:tc>
      </w:tr>
      <w:tr w:rsidR="00BA0FC2" w:rsidRPr="007D7637" w14:paraId="5EE33A16" w14:textId="77777777" w:rsidTr="00137292">
        <w:trPr>
          <w:trHeight w:val="20"/>
        </w:trPr>
        <w:tc>
          <w:tcPr>
            <w:tcW w:w="819" w:type="dxa"/>
          </w:tcPr>
          <w:p w14:paraId="69AE01E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025</w:t>
            </w:r>
          </w:p>
        </w:tc>
        <w:tc>
          <w:tcPr>
            <w:tcW w:w="851" w:type="dxa"/>
          </w:tcPr>
          <w:p w14:paraId="538D1DB1" w14:textId="25703AEB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67B8F068" w14:textId="0C756884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3CEBAF35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74</w:t>
            </w:r>
          </w:p>
        </w:tc>
        <w:tc>
          <w:tcPr>
            <w:tcW w:w="832" w:type="dxa"/>
          </w:tcPr>
          <w:p w14:paraId="38AD4D89" w14:textId="77777777" w:rsidR="007D7637" w:rsidRPr="007D7637" w:rsidRDefault="007D7637" w:rsidP="00D4631D">
            <w:pPr>
              <w:pStyle w:val="Tableaulisting"/>
              <w:spacing w:before="60" w:after="60"/>
              <w:ind w:left="-1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Male</w:t>
            </w:r>
          </w:p>
        </w:tc>
        <w:tc>
          <w:tcPr>
            <w:tcW w:w="5304" w:type="dxa"/>
          </w:tcPr>
          <w:p w14:paraId="6B844CF8" w14:textId="749E980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chose to leave the study without giving a reason 92 days </w:t>
            </w:r>
            <w:r w:rsidR="00BA0FC2">
              <w:rPr>
                <w:rStyle w:val="None"/>
                <w:rFonts w:ascii="Arial" w:hAnsi="Arial" w:cs="Arial"/>
              </w:rPr>
              <w:t xml:space="preserve">post injection,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="00BA0FC2">
              <w:rPr>
                <w:rStyle w:val="None"/>
                <w:rFonts w:ascii="Arial" w:hAnsi="Arial" w:cs="Arial"/>
              </w:rPr>
              <w:t xml:space="preserve"> 61 days post </w:t>
            </w:r>
            <w:r w:rsidRPr="007D7637">
              <w:rPr>
                <w:rStyle w:val="None"/>
                <w:rFonts w:ascii="Arial" w:hAnsi="Arial" w:cs="Arial"/>
              </w:rPr>
              <w:t>C3.</w:t>
            </w:r>
          </w:p>
        </w:tc>
        <w:tc>
          <w:tcPr>
            <w:tcW w:w="546" w:type="dxa"/>
          </w:tcPr>
          <w:p w14:paraId="4D89BBE1" w14:textId="1A3DB768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37F9954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7CDFDBB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D92</w:t>
            </w:r>
          </w:p>
        </w:tc>
        <w:tc>
          <w:tcPr>
            <w:tcW w:w="546" w:type="dxa"/>
          </w:tcPr>
          <w:p w14:paraId="32FDEEE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52C2D68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D31</w:t>
            </w:r>
          </w:p>
        </w:tc>
        <w:tc>
          <w:tcPr>
            <w:tcW w:w="1980" w:type="dxa"/>
          </w:tcPr>
          <w:p w14:paraId="17ACE53E" w14:textId="15E39207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36B5FE0D" w14:textId="77777777" w:rsidTr="00137292">
        <w:trPr>
          <w:trHeight w:val="20"/>
        </w:trPr>
        <w:tc>
          <w:tcPr>
            <w:tcW w:w="819" w:type="dxa"/>
          </w:tcPr>
          <w:p w14:paraId="4E38518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026</w:t>
            </w:r>
          </w:p>
        </w:tc>
        <w:tc>
          <w:tcPr>
            <w:tcW w:w="851" w:type="dxa"/>
          </w:tcPr>
          <w:p w14:paraId="619CABB1" w14:textId="20A806D5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5273849C" w14:textId="57EBB012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34B3304F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82</w:t>
            </w:r>
          </w:p>
        </w:tc>
        <w:tc>
          <w:tcPr>
            <w:tcW w:w="832" w:type="dxa"/>
          </w:tcPr>
          <w:p w14:paraId="59512628" w14:textId="77777777" w:rsidR="007D7637" w:rsidRPr="007D7637" w:rsidRDefault="007D7637" w:rsidP="00D4631D">
            <w:pPr>
              <w:pStyle w:val="Tableaulisting"/>
              <w:spacing w:before="60" w:after="60"/>
              <w:ind w:left="-1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1931B61C" w14:textId="147B5D1E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chose to leave the study without giving a reason 122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30 days post</w:t>
            </w:r>
            <w:r w:rsidR="00BA0FC2">
              <w:rPr>
                <w:rStyle w:val="None"/>
                <w:rFonts w:ascii="Arial" w:hAnsi="Arial" w:cs="Arial"/>
              </w:rPr>
              <w:t xml:space="preserve"> </w:t>
            </w:r>
            <w:r w:rsidRPr="007D7637">
              <w:rPr>
                <w:rStyle w:val="None"/>
                <w:rFonts w:ascii="Arial" w:hAnsi="Arial" w:cs="Arial"/>
              </w:rPr>
              <w:t>C4.</w:t>
            </w:r>
          </w:p>
        </w:tc>
        <w:tc>
          <w:tcPr>
            <w:tcW w:w="546" w:type="dxa"/>
          </w:tcPr>
          <w:p w14:paraId="23240107" w14:textId="2EC7C340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37482D8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67067E0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D122</w:t>
            </w:r>
          </w:p>
        </w:tc>
        <w:tc>
          <w:tcPr>
            <w:tcW w:w="546" w:type="dxa"/>
          </w:tcPr>
          <w:p w14:paraId="7F1E06B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C4</w:t>
            </w:r>
          </w:p>
        </w:tc>
        <w:tc>
          <w:tcPr>
            <w:tcW w:w="544" w:type="dxa"/>
          </w:tcPr>
          <w:p w14:paraId="3DF5A14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D92</w:t>
            </w:r>
          </w:p>
        </w:tc>
        <w:tc>
          <w:tcPr>
            <w:tcW w:w="1980" w:type="dxa"/>
          </w:tcPr>
          <w:p w14:paraId="133A17F6" w14:textId="1CEC71FF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0FD44B2A" w14:textId="77777777" w:rsidTr="00137292">
        <w:trPr>
          <w:trHeight w:val="20"/>
        </w:trPr>
        <w:tc>
          <w:tcPr>
            <w:tcW w:w="819" w:type="dxa"/>
          </w:tcPr>
          <w:p w14:paraId="7EE00FB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034</w:t>
            </w:r>
          </w:p>
        </w:tc>
        <w:tc>
          <w:tcPr>
            <w:tcW w:w="851" w:type="dxa"/>
          </w:tcPr>
          <w:p w14:paraId="74C7B4E5" w14:textId="4431BF3B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2C73B818" w14:textId="65FE9E2D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6E6A30C8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62</w:t>
            </w:r>
          </w:p>
        </w:tc>
        <w:tc>
          <w:tcPr>
            <w:tcW w:w="832" w:type="dxa"/>
          </w:tcPr>
          <w:p w14:paraId="7ADE4E1B" w14:textId="77777777" w:rsidR="007D7637" w:rsidRPr="007D7637" w:rsidRDefault="007D7637" w:rsidP="00D4631D">
            <w:pPr>
              <w:pStyle w:val="Tableaulisting"/>
              <w:spacing w:before="60" w:after="60"/>
              <w:ind w:left="-1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Male</w:t>
            </w:r>
          </w:p>
        </w:tc>
        <w:tc>
          <w:tcPr>
            <w:tcW w:w="5304" w:type="dxa"/>
          </w:tcPr>
          <w:p w14:paraId="3D675FEA" w14:textId="692681D3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Patient did not attend the injection visit C2 and therefore did not receive an injection. He left the trial 3 days post</w:t>
            </w:r>
            <w:r w:rsidR="00BA0FC2">
              <w:rPr>
                <w:rStyle w:val="None"/>
                <w:rFonts w:ascii="Arial" w:hAnsi="Arial" w:cs="Arial"/>
              </w:rPr>
              <w:t xml:space="preserve"> </w:t>
            </w:r>
            <w:r w:rsidRPr="007D7637">
              <w:rPr>
                <w:rStyle w:val="None"/>
                <w:rFonts w:ascii="Arial" w:hAnsi="Arial" w:cs="Arial"/>
              </w:rPr>
              <w:t>C1.</w:t>
            </w:r>
          </w:p>
        </w:tc>
        <w:tc>
          <w:tcPr>
            <w:tcW w:w="546" w:type="dxa"/>
          </w:tcPr>
          <w:p w14:paraId="41D76275" w14:textId="2CA10C7E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512" w:type="dxa"/>
          </w:tcPr>
          <w:p w14:paraId="7EE9032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711" w:type="dxa"/>
          </w:tcPr>
          <w:p w14:paraId="4C2B21D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</w:t>
            </w:r>
          </w:p>
        </w:tc>
        <w:tc>
          <w:tcPr>
            <w:tcW w:w="546" w:type="dxa"/>
          </w:tcPr>
          <w:p w14:paraId="2DBF4A1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C1</w:t>
            </w:r>
          </w:p>
        </w:tc>
        <w:tc>
          <w:tcPr>
            <w:tcW w:w="544" w:type="dxa"/>
          </w:tcPr>
          <w:p w14:paraId="1E8A4BA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1980" w:type="dxa"/>
          </w:tcPr>
          <w:p w14:paraId="3A84B303" w14:textId="20523A37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7D7DE007" w14:textId="77777777" w:rsidTr="00137292">
        <w:trPr>
          <w:trHeight w:val="20"/>
        </w:trPr>
        <w:tc>
          <w:tcPr>
            <w:tcW w:w="819" w:type="dxa"/>
          </w:tcPr>
          <w:p w14:paraId="5E545243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095</w:t>
            </w:r>
          </w:p>
        </w:tc>
        <w:tc>
          <w:tcPr>
            <w:tcW w:w="851" w:type="dxa"/>
          </w:tcPr>
          <w:p w14:paraId="63E4C388" w14:textId="703F53E0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5A2E2786" w14:textId="544819DA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37AF27D5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55</w:t>
            </w:r>
          </w:p>
        </w:tc>
        <w:tc>
          <w:tcPr>
            <w:tcW w:w="832" w:type="dxa"/>
          </w:tcPr>
          <w:p w14:paraId="5597DC49" w14:textId="77777777" w:rsidR="007D7637" w:rsidRPr="007D7637" w:rsidRDefault="007D7637" w:rsidP="00D4631D">
            <w:pPr>
              <w:pStyle w:val="Tableaulisting"/>
              <w:spacing w:before="60" w:after="60"/>
              <w:ind w:left="-1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3DEAC86B" w14:textId="3F8B523C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After the last visit completed (C2) the evaluating investigator heard nothing further from the patient. She was therefore withdrawn from the study 250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>.</w:t>
            </w:r>
          </w:p>
        </w:tc>
        <w:tc>
          <w:tcPr>
            <w:tcW w:w="546" w:type="dxa"/>
          </w:tcPr>
          <w:p w14:paraId="731779EC" w14:textId="73F0DC55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66AD56C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22E62C6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D250</w:t>
            </w:r>
          </w:p>
        </w:tc>
        <w:tc>
          <w:tcPr>
            <w:tcW w:w="546" w:type="dxa"/>
          </w:tcPr>
          <w:p w14:paraId="7342B37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C2</w:t>
            </w:r>
          </w:p>
        </w:tc>
        <w:tc>
          <w:tcPr>
            <w:tcW w:w="544" w:type="dxa"/>
          </w:tcPr>
          <w:p w14:paraId="60EC286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1980" w:type="dxa"/>
          </w:tcPr>
          <w:p w14:paraId="5ED71CE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Lost to follow-up</w:t>
            </w:r>
          </w:p>
        </w:tc>
      </w:tr>
      <w:tr w:rsidR="00BA0FC2" w:rsidRPr="007D7637" w14:paraId="4C74FC09" w14:textId="77777777" w:rsidTr="00137292">
        <w:trPr>
          <w:trHeight w:val="20"/>
        </w:trPr>
        <w:tc>
          <w:tcPr>
            <w:tcW w:w="819" w:type="dxa"/>
          </w:tcPr>
          <w:p w14:paraId="61085943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097</w:t>
            </w:r>
          </w:p>
        </w:tc>
        <w:tc>
          <w:tcPr>
            <w:tcW w:w="851" w:type="dxa"/>
          </w:tcPr>
          <w:p w14:paraId="18554EC3" w14:textId="31766FD4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1BBB4624" w14:textId="02A7FA40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7A7E8880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60</w:t>
            </w:r>
          </w:p>
        </w:tc>
        <w:tc>
          <w:tcPr>
            <w:tcW w:w="832" w:type="dxa"/>
          </w:tcPr>
          <w:p w14:paraId="634783E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499BC98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developed an effusion in the studied knee (AE appeared outside the treatment) 2 days before C2, which was treated by puncture of knee and infiltration of 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cortivazol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 xml:space="preserve"> on the same day. The injecting investigator then decided not to proceed to injection with the trial drug.</w:t>
            </w:r>
          </w:p>
        </w:tc>
        <w:tc>
          <w:tcPr>
            <w:tcW w:w="546" w:type="dxa"/>
          </w:tcPr>
          <w:p w14:paraId="788EF1A4" w14:textId="440DB845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512" w:type="dxa"/>
          </w:tcPr>
          <w:p w14:paraId="1ED92A3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711" w:type="dxa"/>
          </w:tcPr>
          <w:p w14:paraId="0C359A1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D6</w:t>
            </w:r>
          </w:p>
        </w:tc>
        <w:tc>
          <w:tcPr>
            <w:tcW w:w="546" w:type="dxa"/>
          </w:tcPr>
          <w:p w14:paraId="7F65EFF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C2</w:t>
            </w:r>
          </w:p>
        </w:tc>
        <w:tc>
          <w:tcPr>
            <w:tcW w:w="544" w:type="dxa"/>
          </w:tcPr>
          <w:p w14:paraId="04B502F3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D6</w:t>
            </w:r>
          </w:p>
        </w:tc>
        <w:tc>
          <w:tcPr>
            <w:tcW w:w="1980" w:type="dxa"/>
          </w:tcPr>
          <w:p w14:paraId="2F3EDAC0" w14:textId="77777777" w:rsidR="007D7637" w:rsidRPr="007D7637" w:rsidRDefault="007D7637" w:rsidP="00BA0FC2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Adverse event</w:t>
            </w:r>
          </w:p>
          <w:p w14:paraId="195AD39D" w14:textId="77777777" w:rsidR="007D7637" w:rsidRPr="007D7637" w:rsidRDefault="007D7637" w:rsidP="00BA0FC2">
            <w:pPr>
              <w:pStyle w:val="Tableaulisting"/>
              <w:spacing w:before="60" w:after="60"/>
              <w:ind w:right="-114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(Withdrawal by injector)</w:t>
            </w:r>
          </w:p>
        </w:tc>
      </w:tr>
      <w:tr w:rsidR="00BA0FC2" w:rsidRPr="007D7637" w14:paraId="49D1DAFC" w14:textId="77777777" w:rsidTr="00137292">
        <w:trPr>
          <w:trHeight w:val="20"/>
        </w:trPr>
        <w:tc>
          <w:tcPr>
            <w:tcW w:w="819" w:type="dxa"/>
          </w:tcPr>
          <w:p w14:paraId="3EF5C27B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117</w:t>
            </w:r>
          </w:p>
        </w:tc>
        <w:tc>
          <w:tcPr>
            <w:tcW w:w="851" w:type="dxa"/>
          </w:tcPr>
          <w:p w14:paraId="7532C105" w14:textId="2D20FA43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3723E2F0" w14:textId="16FF4CFE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76C5F06B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64</w:t>
            </w:r>
          </w:p>
        </w:tc>
        <w:tc>
          <w:tcPr>
            <w:tcW w:w="832" w:type="dxa"/>
          </w:tcPr>
          <w:p w14:paraId="22A533E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36C508A6" w14:textId="736F10CC" w:rsidR="007D7637" w:rsidRPr="007D7637" w:rsidRDefault="007D7637" w:rsidP="007C59B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received an infiltration of 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cortivazol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 xml:space="preserve"> (</w:t>
            </w:r>
            <w:r w:rsidR="007C59B3">
              <w:rPr>
                <w:rStyle w:val="None"/>
                <w:rFonts w:ascii="Arial" w:hAnsi="Arial" w:cs="Arial"/>
              </w:rPr>
              <w:t>ALTIM</w:t>
            </w:r>
            <w:r w:rsidRPr="007D7637">
              <w:rPr>
                <w:rStyle w:val="None"/>
                <w:rFonts w:ascii="Arial" w:hAnsi="Arial" w:cs="Arial"/>
              </w:rPr>
              <w:t xml:space="preserve">) in the studied knee (arthralgia) 90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at C4.</w:t>
            </w:r>
          </w:p>
        </w:tc>
        <w:tc>
          <w:tcPr>
            <w:tcW w:w="546" w:type="dxa"/>
          </w:tcPr>
          <w:p w14:paraId="3FE99914" w14:textId="0DD4EB75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7FA266C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144D202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D90</w:t>
            </w:r>
          </w:p>
        </w:tc>
        <w:tc>
          <w:tcPr>
            <w:tcW w:w="546" w:type="dxa"/>
          </w:tcPr>
          <w:p w14:paraId="6DD765C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C4</w:t>
            </w:r>
          </w:p>
        </w:tc>
        <w:tc>
          <w:tcPr>
            <w:tcW w:w="544" w:type="dxa"/>
          </w:tcPr>
          <w:p w14:paraId="7B68C64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D90</w:t>
            </w:r>
          </w:p>
        </w:tc>
        <w:tc>
          <w:tcPr>
            <w:tcW w:w="1980" w:type="dxa"/>
          </w:tcPr>
          <w:p w14:paraId="7D8A9DB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Forbidden treatment</w:t>
            </w:r>
          </w:p>
        </w:tc>
      </w:tr>
      <w:tr w:rsidR="00BA0FC2" w:rsidRPr="007D7637" w14:paraId="78FCB045" w14:textId="77777777" w:rsidTr="00137292">
        <w:trPr>
          <w:trHeight w:val="20"/>
        </w:trPr>
        <w:tc>
          <w:tcPr>
            <w:tcW w:w="819" w:type="dxa"/>
          </w:tcPr>
          <w:p w14:paraId="12CADD7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311</w:t>
            </w:r>
          </w:p>
        </w:tc>
        <w:tc>
          <w:tcPr>
            <w:tcW w:w="851" w:type="dxa"/>
          </w:tcPr>
          <w:p w14:paraId="0B9F4254" w14:textId="25203AFB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77C03C0C" w14:textId="4351B7F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24CC86A8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53</w:t>
            </w:r>
          </w:p>
        </w:tc>
        <w:tc>
          <w:tcPr>
            <w:tcW w:w="832" w:type="dxa"/>
          </w:tcPr>
          <w:p w14:paraId="55569CE4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76CDCA11" w14:textId="685EE5D4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chose to leave the study without giving a reason 90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at C3.</w:t>
            </w:r>
          </w:p>
        </w:tc>
        <w:tc>
          <w:tcPr>
            <w:tcW w:w="546" w:type="dxa"/>
          </w:tcPr>
          <w:p w14:paraId="4FCDD5F3" w14:textId="035A0C5E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2695BB2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</w:t>
            </w:r>
          </w:p>
        </w:tc>
        <w:tc>
          <w:tcPr>
            <w:tcW w:w="711" w:type="dxa"/>
          </w:tcPr>
          <w:p w14:paraId="59395B8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D91</w:t>
            </w:r>
          </w:p>
        </w:tc>
        <w:tc>
          <w:tcPr>
            <w:tcW w:w="546" w:type="dxa"/>
          </w:tcPr>
          <w:p w14:paraId="0879F34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497700C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D91</w:t>
            </w:r>
          </w:p>
        </w:tc>
        <w:tc>
          <w:tcPr>
            <w:tcW w:w="1980" w:type="dxa"/>
          </w:tcPr>
          <w:p w14:paraId="756684AC" w14:textId="6DCF5866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6E739221" w14:textId="77777777" w:rsidTr="00137292">
        <w:trPr>
          <w:trHeight w:val="20"/>
        </w:trPr>
        <w:tc>
          <w:tcPr>
            <w:tcW w:w="819" w:type="dxa"/>
          </w:tcPr>
          <w:p w14:paraId="1103359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358</w:t>
            </w:r>
          </w:p>
        </w:tc>
        <w:tc>
          <w:tcPr>
            <w:tcW w:w="851" w:type="dxa"/>
          </w:tcPr>
          <w:p w14:paraId="432B9256" w14:textId="2E1BC029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7999B4B8" w14:textId="1B040E35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18B701FD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62</w:t>
            </w:r>
          </w:p>
        </w:tc>
        <w:tc>
          <w:tcPr>
            <w:tcW w:w="832" w:type="dxa"/>
          </w:tcPr>
          <w:p w14:paraId="3FD4063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43FFA534" w14:textId="0B0C396B" w:rsidR="007D7637" w:rsidRPr="007D7637" w:rsidRDefault="007D7637" w:rsidP="007C59B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took 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nabumetone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 xml:space="preserve"> (N</w:t>
            </w:r>
            <w:r w:rsidR="007C59B3">
              <w:rPr>
                <w:rStyle w:val="None"/>
                <w:rFonts w:ascii="Arial" w:hAnsi="Arial" w:cs="Arial"/>
              </w:rPr>
              <w:t>ABUCOX</w:t>
            </w:r>
            <w:r w:rsidRPr="007D7637">
              <w:rPr>
                <w:rStyle w:val="None"/>
                <w:rFonts w:ascii="Arial" w:hAnsi="Arial" w:cs="Arial"/>
              </w:rPr>
              <w:t xml:space="preserve">) as continuous treatment (arthralgia) from 19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 until 4 days before C3 (87 days before C4) (10 days’ treatment). She then received 2 x 10-day courses of diclofenac (V</w:t>
            </w:r>
            <w:r w:rsidR="007C59B3">
              <w:rPr>
                <w:rStyle w:val="None"/>
                <w:rFonts w:ascii="Arial" w:hAnsi="Arial" w:cs="Arial"/>
              </w:rPr>
              <w:t>OLTAREN</w:t>
            </w:r>
            <w:r w:rsidRPr="007D7637">
              <w:rPr>
                <w:rStyle w:val="None"/>
                <w:rFonts w:ascii="Arial" w:hAnsi="Arial" w:cs="Arial"/>
              </w:rPr>
              <w:t xml:space="preserve">) (arthralgia) from 36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 until 30 days before C4. Patient also received an infiltration of 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cortivazol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 xml:space="preserve"> (A</w:t>
            </w:r>
            <w:r w:rsidR="007C59B3">
              <w:rPr>
                <w:rStyle w:val="None"/>
                <w:rFonts w:ascii="Arial" w:hAnsi="Arial" w:cs="Arial"/>
              </w:rPr>
              <w:t>LTIM</w:t>
            </w:r>
            <w:r w:rsidRPr="007D7637">
              <w:rPr>
                <w:rStyle w:val="None"/>
                <w:rFonts w:ascii="Arial" w:hAnsi="Arial" w:cs="Arial"/>
              </w:rPr>
              <w:t xml:space="preserve">) in the studied knee (arthralgia) 81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25 days before C4. The trial treatment was considered to be ineffective.</w:t>
            </w:r>
          </w:p>
        </w:tc>
        <w:tc>
          <w:tcPr>
            <w:tcW w:w="546" w:type="dxa"/>
          </w:tcPr>
          <w:p w14:paraId="41719654" w14:textId="20726515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3DA0F79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  <w:bookmarkStart w:id="0" w:name="_GoBack"/>
            <w:bookmarkEnd w:id="0"/>
          </w:p>
        </w:tc>
        <w:tc>
          <w:tcPr>
            <w:tcW w:w="711" w:type="dxa"/>
          </w:tcPr>
          <w:p w14:paraId="63467AD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D106</w:t>
            </w:r>
          </w:p>
        </w:tc>
        <w:tc>
          <w:tcPr>
            <w:tcW w:w="546" w:type="dxa"/>
          </w:tcPr>
          <w:p w14:paraId="21E2C1E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C4</w:t>
            </w:r>
          </w:p>
        </w:tc>
        <w:tc>
          <w:tcPr>
            <w:tcW w:w="544" w:type="dxa"/>
          </w:tcPr>
          <w:p w14:paraId="13348452" w14:textId="77777777" w:rsidR="007D7637" w:rsidRPr="007D7637" w:rsidRDefault="007D7637" w:rsidP="00137292">
            <w:pPr>
              <w:pStyle w:val="Tableaulisting"/>
              <w:spacing w:before="60" w:after="60"/>
              <w:ind w:right="-109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D106</w:t>
            </w:r>
          </w:p>
        </w:tc>
        <w:tc>
          <w:tcPr>
            <w:tcW w:w="1980" w:type="dxa"/>
          </w:tcPr>
          <w:p w14:paraId="60C4FE60" w14:textId="77777777" w:rsidR="007D7637" w:rsidRPr="007D7637" w:rsidRDefault="007D7637" w:rsidP="00BA0FC2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Lack of efficacy</w:t>
            </w:r>
          </w:p>
          <w:p w14:paraId="005F98B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(Forbidden treatment)</w:t>
            </w:r>
          </w:p>
        </w:tc>
      </w:tr>
      <w:tr w:rsidR="00BA0FC2" w:rsidRPr="007D7637" w14:paraId="2F626EE7" w14:textId="77777777" w:rsidTr="00137292">
        <w:trPr>
          <w:trHeight w:val="20"/>
        </w:trPr>
        <w:tc>
          <w:tcPr>
            <w:tcW w:w="819" w:type="dxa"/>
          </w:tcPr>
          <w:p w14:paraId="62B9E56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362</w:t>
            </w:r>
          </w:p>
        </w:tc>
        <w:tc>
          <w:tcPr>
            <w:tcW w:w="851" w:type="dxa"/>
          </w:tcPr>
          <w:p w14:paraId="10A2EB41" w14:textId="2F5C115D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5527C4A0" w14:textId="27E190FB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71AF07D0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60</w:t>
            </w:r>
          </w:p>
        </w:tc>
        <w:tc>
          <w:tcPr>
            <w:tcW w:w="832" w:type="dxa"/>
          </w:tcPr>
          <w:p w14:paraId="62CBA0A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38DF5507" w14:textId="3ACD1170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lost to follow-up 98 days </w:t>
            </w:r>
            <w:r w:rsidR="00BA0FC2">
              <w:rPr>
                <w:rStyle w:val="None"/>
                <w:rFonts w:ascii="Arial" w:hAnsi="Arial" w:cs="Arial"/>
              </w:rPr>
              <w:t xml:space="preserve">post injection,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="00BA0FC2">
              <w:rPr>
                <w:rStyle w:val="None"/>
                <w:rFonts w:ascii="Arial" w:hAnsi="Arial" w:cs="Arial"/>
              </w:rPr>
              <w:t xml:space="preserve"> 63 days post </w:t>
            </w:r>
            <w:r w:rsidRPr="007D7637">
              <w:rPr>
                <w:rStyle w:val="None"/>
                <w:rFonts w:ascii="Arial" w:hAnsi="Arial" w:cs="Arial"/>
              </w:rPr>
              <w:t>C3.</w:t>
            </w:r>
          </w:p>
        </w:tc>
        <w:tc>
          <w:tcPr>
            <w:tcW w:w="546" w:type="dxa"/>
          </w:tcPr>
          <w:p w14:paraId="6ACDBB04" w14:textId="2ACE60DD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718C819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365532F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D98</w:t>
            </w:r>
          </w:p>
        </w:tc>
        <w:tc>
          <w:tcPr>
            <w:tcW w:w="546" w:type="dxa"/>
          </w:tcPr>
          <w:p w14:paraId="7D8FDF0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136AFD9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D35</w:t>
            </w:r>
          </w:p>
        </w:tc>
        <w:tc>
          <w:tcPr>
            <w:tcW w:w="1980" w:type="dxa"/>
          </w:tcPr>
          <w:p w14:paraId="0A8F1D44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Lost to follow-up</w:t>
            </w:r>
          </w:p>
        </w:tc>
      </w:tr>
      <w:tr w:rsidR="00BA0FC2" w:rsidRPr="007D7637" w14:paraId="6EA7B7E1" w14:textId="77777777" w:rsidTr="00137292">
        <w:trPr>
          <w:trHeight w:val="20"/>
        </w:trPr>
        <w:tc>
          <w:tcPr>
            <w:tcW w:w="819" w:type="dxa"/>
          </w:tcPr>
          <w:p w14:paraId="6E456C6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391</w:t>
            </w:r>
          </w:p>
        </w:tc>
        <w:tc>
          <w:tcPr>
            <w:tcW w:w="851" w:type="dxa"/>
          </w:tcPr>
          <w:p w14:paraId="785CBF79" w14:textId="42CBBDF9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</w:p>
        </w:tc>
        <w:tc>
          <w:tcPr>
            <w:tcW w:w="832" w:type="dxa"/>
          </w:tcPr>
          <w:p w14:paraId="192A822A" w14:textId="56A2CBCA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0ED04CD1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73</w:t>
            </w:r>
          </w:p>
        </w:tc>
        <w:tc>
          <w:tcPr>
            <w:tcW w:w="832" w:type="dxa"/>
          </w:tcPr>
          <w:p w14:paraId="681FB34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232EBF2F" w14:textId="2007D0D5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chose to leave the study without giving a reason 24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>.</w:t>
            </w:r>
          </w:p>
        </w:tc>
        <w:tc>
          <w:tcPr>
            <w:tcW w:w="546" w:type="dxa"/>
          </w:tcPr>
          <w:p w14:paraId="53692D9D" w14:textId="7ECB7CDA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0507BB14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14A095FB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D24</w:t>
            </w:r>
          </w:p>
        </w:tc>
        <w:tc>
          <w:tcPr>
            <w:tcW w:w="546" w:type="dxa"/>
          </w:tcPr>
          <w:p w14:paraId="6FA67BF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C2</w:t>
            </w:r>
          </w:p>
        </w:tc>
        <w:tc>
          <w:tcPr>
            <w:tcW w:w="544" w:type="dxa"/>
          </w:tcPr>
          <w:p w14:paraId="60EFE03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1980" w:type="dxa"/>
          </w:tcPr>
          <w:p w14:paraId="6D79A479" w14:textId="19FD3DE7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5F25F641" w14:textId="77777777" w:rsidTr="00137292">
        <w:trPr>
          <w:trHeight w:val="20"/>
        </w:trPr>
        <w:tc>
          <w:tcPr>
            <w:tcW w:w="819" w:type="dxa"/>
          </w:tcPr>
          <w:p w14:paraId="334631B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018</w:t>
            </w:r>
          </w:p>
        </w:tc>
        <w:tc>
          <w:tcPr>
            <w:tcW w:w="851" w:type="dxa"/>
          </w:tcPr>
          <w:p w14:paraId="26EF1B5E" w14:textId="1BB9ABE8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3DF9BAB8" w14:textId="3C5B1DB2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307CE8F4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54</w:t>
            </w:r>
          </w:p>
        </w:tc>
        <w:tc>
          <w:tcPr>
            <w:tcW w:w="832" w:type="dxa"/>
          </w:tcPr>
          <w:p w14:paraId="4301B6C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Male</w:t>
            </w:r>
          </w:p>
        </w:tc>
        <w:tc>
          <w:tcPr>
            <w:tcW w:w="5304" w:type="dxa"/>
          </w:tcPr>
          <w:p w14:paraId="33CCC2FC" w14:textId="1A44A023" w:rsidR="007D7637" w:rsidRPr="007D7637" w:rsidRDefault="007D7637" w:rsidP="007C59B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received an infiltration of 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cortivazol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 xml:space="preserve"> (A</w:t>
            </w:r>
            <w:r w:rsidR="007C59B3">
              <w:rPr>
                <w:rStyle w:val="None"/>
                <w:rFonts w:ascii="Arial" w:hAnsi="Arial" w:cs="Arial"/>
              </w:rPr>
              <w:t>LTIM</w:t>
            </w:r>
            <w:r w:rsidRPr="007D7637">
              <w:rPr>
                <w:rStyle w:val="None"/>
                <w:rFonts w:ascii="Arial" w:hAnsi="Arial" w:cs="Arial"/>
              </w:rPr>
              <w:t xml:space="preserve">) in the studied knee (arthralgia) 85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7 days before C4.</w:t>
            </w:r>
          </w:p>
        </w:tc>
        <w:tc>
          <w:tcPr>
            <w:tcW w:w="546" w:type="dxa"/>
          </w:tcPr>
          <w:p w14:paraId="51611237" w14:textId="7885EF63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1404AB9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1236762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D92</w:t>
            </w:r>
          </w:p>
        </w:tc>
        <w:tc>
          <w:tcPr>
            <w:tcW w:w="546" w:type="dxa"/>
          </w:tcPr>
          <w:p w14:paraId="4E5F6A8B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C4</w:t>
            </w:r>
          </w:p>
        </w:tc>
        <w:tc>
          <w:tcPr>
            <w:tcW w:w="544" w:type="dxa"/>
          </w:tcPr>
          <w:p w14:paraId="3D872F1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D92</w:t>
            </w:r>
          </w:p>
        </w:tc>
        <w:tc>
          <w:tcPr>
            <w:tcW w:w="1980" w:type="dxa"/>
          </w:tcPr>
          <w:p w14:paraId="0625471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Forbidden treatment</w:t>
            </w:r>
          </w:p>
        </w:tc>
      </w:tr>
      <w:tr w:rsidR="00BA0FC2" w:rsidRPr="007D7637" w14:paraId="764B6162" w14:textId="77777777" w:rsidTr="00137292">
        <w:trPr>
          <w:trHeight w:val="20"/>
        </w:trPr>
        <w:tc>
          <w:tcPr>
            <w:tcW w:w="819" w:type="dxa"/>
          </w:tcPr>
          <w:p w14:paraId="4E6509D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108</w:t>
            </w:r>
          </w:p>
        </w:tc>
        <w:tc>
          <w:tcPr>
            <w:tcW w:w="851" w:type="dxa"/>
          </w:tcPr>
          <w:p w14:paraId="153711A4" w14:textId="74579F4D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7CAC6B35" w14:textId="208C4276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7D99DE04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53</w:t>
            </w:r>
          </w:p>
        </w:tc>
        <w:tc>
          <w:tcPr>
            <w:tcW w:w="832" w:type="dxa"/>
          </w:tcPr>
          <w:p w14:paraId="12E732C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4A937806" w14:textId="03DFB743" w:rsidR="007D7637" w:rsidRPr="007D7637" w:rsidRDefault="007D7637" w:rsidP="007C59B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began treatment with ibuprofen 29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6 days before C3. She then suffered an osteoarthritis flare up (osteoarthritis, AE) of the studied knee 35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 requiring puncture of the knee and infiltration of 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cortivazol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 xml:space="preserve"> (</w:t>
            </w:r>
            <w:r w:rsidR="007C59B3" w:rsidRPr="007D7637">
              <w:rPr>
                <w:rStyle w:val="None"/>
                <w:rFonts w:ascii="Arial" w:hAnsi="Arial" w:cs="Arial"/>
              </w:rPr>
              <w:t>A</w:t>
            </w:r>
            <w:r w:rsidR="007C59B3">
              <w:rPr>
                <w:rStyle w:val="None"/>
                <w:rFonts w:ascii="Arial" w:hAnsi="Arial" w:cs="Arial"/>
              </w:rPr>
              <w:t>LTIM</w:t>
            </w:r>
            <w:r w:rsidRPr="007D7637">
              <w:rPr>
                <w:rStyle w:val="None"/>
                <w:rFonts w:ascii="Arial" w:hAnsi="Arial" w:cs="Arial"/>
              </w:rPr>
              <w:t>) 4 days later.</w:t>
            </w:r>
          </w:p>
        </w:tc>
        <w:tc>
          <w:tcPr>
            <w:tcW w:w="546" w:type="dxa"/>
          </w:tcPr>
          <w:p w14:paraId="16704A76" w14:textId="1FB486B9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6CE540E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31F77B9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D35</w:t>
            </w:r>
          </w:p>
        </w:tc>
        <w:tc>
          <w:tcPr>
            <w:tcW w:w="546" w:type="dxa"/>
          </w:tcPr>
          <w:p w14:paraId="7E4D26F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70DDE7F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D35</w:t>
            </w:r>
          </w:p>
        </w:tc>
        <w:tc>
          <w:tcPr>
            <w:tcW w:w="1980" w:type="dxa"/>
          </w:tcPr>
          <w:p w14:paraId="0C19CFB9" w14:textId="77777777" w:rsidR="007D7637" w:rsidRPr="007D7637" w:rsidRDefault="007D7637" w:rsidP="00BA0FC2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Adverse event</w:t>
            </w:r>
          </w:p>
          <w:p w14:paraId="5542949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(Forbidden treatment)</w:t>
            </w:r>
          </w:p>
        </w:tc>
      </w:tr>
      <w:tr w:rsidR="00BA0FC2" w:rsidRPr="007D7637" w14:paraId="51234550" w14:textId="77777777" w:rsidTr="00137292">
        <w:trPr>
          <w:trHeight w:val="20"/>
        </w:trPr>
        <w:tc>
          <w:tcPr>
            <w:tcW w:w="819" w:type="dxa"/>
          </w:tcPr>
          <w:p w14:paraId="44E3E87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111</w:t>
            </w:r>
          </w:p>
        </w:tc>
        <w:tc>
          <w:tcPr>
            <w:tcW w:w="851" w:type="dxa"/>
          </w:tcPr>
          <w:p w14:paraId="7659B415" w14:textId="3F80A1ED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6A5E72D3" w14:textId="4B934BB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446809C1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86</w:t>
            </w:r>
          </w:p>
        </w:tc>
        <w:tc>
          <w:tcPr>
            <w:tcW w:w="832" w:type="dxa"/>
          </w:tcPr>
          <w:p w14:paraId="664B09A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67BF2682" w14:textId="0EBD374D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moved address temporarily and therefore chose to leave the study 90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>.</w:t>
            </w:r>
          </w:p>
        </w:tc>
        <w:tc>
          <w:tcPr>
            <w:tcW w:w="546" w:type="dxa"/>
          </w:tcPr>
          <w:p w14:paraId="2B354250" w14:textId="39272E70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353DBEEB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</w:t>
            </w:r>
          </w:p>
        </w:tc>
        <w:tc>
          <w:tcPr>
            <w:tcW w:w="711" w:type="dxa"/>
          </w:tcPr>
          <w:p w14:paraId="1CD21EA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D91</w:t>
            </w:r>
          </w:p>
        </w:tc>
        <w:tc>
          <w:tcPr>
            <w:tcW w:w="546" w:type="dxa"/>
          </w:tcPr>
          <w:p w14:paraId="43EDD77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C2</w:t>
            </w:r>
          </w:p>
        </w:tc>
        <w:tc>
          <w:tcPr>
            <w:tcW w:w="544" w:type="dxa"/>
          </w:tcPr>
          <w:p w14:paraId="16709773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</w:t>
            </w:r>
          </w:p>
        </w:tc>
        <w:tc>
          <w:tcPr>
            <w:tcW w:w="1980" w:type="dxa"/>
          </w:tcPr>
          <w:p w14:paraId="786EE3BA" w14:textId="641BD03F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2F80D60D" w14:textId="77777777" w:rsidTr="00137292">
        <w:trPr>
          <w:trHeight w:val="20"/>
        </w:trPr>
        <w:tc>
          <w:tcPr>
            <w:tcW w:w="819" w:type="dxa"/>
          </w:tcPr>
          <w:p w14:paraId="5126F9E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851" w:type="dxa"/>
          </w:tcPr>
          <w:p w14:paraId="5F4D3B8D" w14:textId="1A3E2871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30F27201" w14:textId="01F123DF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600C6BC6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80</w:t>
            </w:r>
          </w:p>
        </w:tc>
        <w:tc>
          <w:tcPr>
            <w:tcW w:w="832" w:type="dxa"/>
          </w:tcPr>
          <w:p w14:paraId="578F7BD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368F0368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Evaluating investigator was admitted to hospital after C3.</w:t>
            </w:r>
          </w:p>
        </w:tc>
        <w:tc>
          <w:tcPr>
            <w:tcW w:w="546" w:type="dxa"/>
          </w:tcPr>
          <w:p w14:paraId="278282E0" w14:textId="0F713D0A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54E399E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D5</w:t>
            </w:r>
          </w:p>
        </w:tc>
        <w:tc>
          <w:tcPr>
            <w:tcW w:w="711" w:type="dxa"/>
          </w:tcPr>
          <w:p w14:paraId="3A93F42E" w14:textId="1F40B7CC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546" w:type="dxa"/>
          </w:tcPr>
          <w:p w14:paraId="590B6A9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26041F0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D30</w:t>
            </w:r>
          </w:p>
        </w:tc>
        <w:tc>
          <w:tcPr>
            <w:tcW w:w="1980" w:type="dxa"/>
          </w:tcPr>
          <w:p w14:paraId="072848E3" w14:textId="0F930463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Evaluator withdrawal</w:t>
            </w:r>
          </w:p>
        </w:tc>
      </w:tr>
      <w:tr w:rsidR="00BA0FC2" w:rsidRPr="007D7637" w14:paraId="102DFABD" w14:textId="77777777" w:rsidTr="00137292">
        <w:trPr>
          <w:trHeight w:val="20"/>
        </w:trPr>
        <w:tc>
          <w:tcPr>
            <w:tcW w:w="819" w:type="dxa"/>
          </w:tcPr>
          <w:p w14:paraId="7CA0834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173</w:t>
            </w:r>
          </w:p>
        </w:tc>
        <w:tc>
          <w:tcPr>
            <w:tcW w:w="851" w:type="dxa"/>
          </w:tcPr>
          <w:p w14:paraId="34D9B488" w14:textId="32D01D00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1EEF889F" w14:textId="52D6B321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6658EC9D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71</w:t>
            </w:r>
          </w:p>
        </w:tc>
        <w:tc>
          <w:tcPr>
            <w:tcW w:w="832" w:type="dxa"/>
          </w:tcPr>
          <w:p w14:paraId="7C7A2D5B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762AF298" w14:textId="34257FFD" w:rsidR="007D7637" w:rsidRPr="007D7637" w:rsidRDefault="007D7637" w:rsidP="007C59B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Patient took diclofenac (V</w:t>
            </w:r>
            <w:r w:rsidR="007C59B3">
              <w:rPr>
                <w:rStyle w:val="None"/>
                <w:rFonts w:ascii="Arial" w:hAnsi="Arial" w:cs="Arial"/>
              </w:rPr>
              <w:t>OLTAREN</w:t>
            </w:r>
            <w:r w:rsidRPr="007D7637">
              <w:rPr>
                <w:rStyle w:val="None"/>
                <w:rFonts w:ascii="Arial" w:hAnsi="Arial" w:cs="Arial"/>
              </w:rPr>
              <w:t xml:space="preserve">) as continuous treatment (arthralgia) from 67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 until 7 days before C4 (19 days</w:t>
            </w:r>
            <w:r w:rsidR="00BE38F8">
              <w:rPr>
                <w:rStyle w:val="None"/>
                <w:rFonts w:ascii="Arial" w:hAnsi="Arial" w:cs="Arial"/>
              </w:rPr>
              <w:t xml:space="preserve"> of</w:t>
            </w:r>
            <w:r w:rsidRPr="007D7637">
              <w:rPr>
                <w:rStyle w:val="None"/>
                <w:rFonts w:ascii="Arial" w:hAnsi="Arial" w:cs="Arial"/>
              </w:rPr>
              <w:t xml:space="preserve"> treatment). The trial treatment was considered to be ineffective.</w:t>
            </w:r>
          </w:p>
        </w:tc>
        <w:tc>
          <w:tcPr>
            <w:tcW w:w="546" w:type="dxa"/>
          </w:tcPr>
          <w:p w14:paraId="68A998D8" w14:textId="30ABF1F1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4D59786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7C6CCA6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D92</w:t>
            </w:r>
          </w:p>
        </w:tc>
        <w:tc>
          <w:tcPr>
            <w:tcW w:w="546" w:type="dxa"/>
          </w:tcPr>
          <w:p w14:paraId="749DBA1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C4</w:t>
            </w:r>
          </w:p>
        </w:tc>
        <w:tc>
          <w:tcPr>
            <w:tcW w:w="544" w:type="dxa"/>
          </w:tcPr>
          <w:p w14:paraId="61F8FB1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D92</w:t>
            </w:r>
          </w:p>
        </w:tc>
        <w:tc>
          <w:tcPr>
            <w:tcW w:w="1980" w:type="dxa"/>
          </w:tcPr>
          <w:p w14:paraId="05C275CD" w14:textId="56905E2F" w:rsidR="007D7637" w:rsidRPr="007D7637" w:rsidRDefault="007D7637" w:rsidP="00D4631D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Lack of efficacy</w:t>
            </w:r>
            <w:r w:rsidR="00D4631D">
              <w:rPr>
                <w:rStyle w:val="None"/>
                <w:rFonts w:ascii="Arial" w:hAnsi="Arial" w:cs="Arial"/>
              </w:rPr>
              <w:br/>
            </w:r>
            <w:r w:rsidRPr="007D7637">
              <w:rPr>
                <w:rStyle w:val="None"/>
                <w:rFonts w:ascii="Arial" w:hAnsi="Arial" w:cs="Arial"/>
              </w:rPr>
              <w:t>(Forbidden treatment)</w:t>
            </w:r>
          </w:p>
        </w:tc>
      </w:tr>
      <w:tr w:rsidR="00BA0FC2" w:rsidRPr="007D7637" w14:paraId="3D0D83A8" w14:textId="77777777" w:rsidTr="00137292">
        <w:trPr>
          <w:trHeight w:val="20"/>
        </w:trPr>
        <w:tc>
          <w:tcPr>
            <w:tcW w:w="819" w:type="dxa"/>
          </w:tcPr>
          <w:p w14:paraId="4EF8E02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187</w:t>
            </w:r>
          </w:p>
        </w:tc>
        <w:tc>
          <w:tcPr>
            <w:tcW w:w="851" w:type="dxa"/>
          </w:tcPr>
          <w:p w14:paraId="3CBC1A8D" w14:textId="00AD7405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175359A8" w14:textId="2E4E02E3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73A351FA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65</w:t>
            </w:r>
          </w:p>
        </w:tc>
        <w:tc>
          <w:tcPr>
            <w:tcW w:w="832" w:type="dxa"/>
          </w:tcPr>
          <w:p w14:paraId="5B8CDCC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Male</w:t>
            </w:r>
          </w:p>
        </w:tc>
        <w:tc>
          <w:tcPr>
            <w:tcW w:w="5304" w:type="dxa"/>
          </w:tcPr>
          <w:p w14:paraId="45FDB88C" w14:textId="7AB9BAF4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chose to leave the study without giving a reason 124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92 days </w:t>
            </w:r>
            <w:r w:rsidR="00BA0FC2">
              <w:rPr>
                <w:rStyle w:val="None"/>
                <w:rFonts w:ascii="Arial" w:hAnsi="Arial" w:cs="Arial"/>
              </w:rPr>
              <w:t>post C3</w:t>
            </w:r>
            <w:r w:rsidRPr="007D7637">
              <w:rPr>
                <w:rStyle w:val="None"/>
                <w:rFonts w:ascii="Arial" w:hAnsi="Arial" w:cs="Arial"/>
              </w:rPr>
              <w:t xml:space="preserve">. </w:t>
            </w:r>
          </w:p>
        </w:tc>
        <w:tc>
          <w:tcPr>
            <w:tcW w:w="546" w:type="dxa"/>
          </w:tcPr>
          <w:p w14:paraId="319DA3EF" w14:textId="2A8B18F1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07A6CFD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257FE73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D124</w:t>
            </w:r>
          </w:p>
        </w:tc>
        <w:tc>
          <w:tcPr>
            <w:tcW w:w="546" w:type="dxa"/>
          </w:tcPr>
          <w:p w14:paraId="36D5CB6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42E7E3A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D32</w:t>
            </w:r>
          </w:p>
        </w:tc>
        <w:tc>
          <w:tcPr>
            <w:tcW w:w="1980" w:type="dxa"/>
          </w:tcPr>
          <w:p w14:paraId="5515B6AA" w14:textId="474D2EEF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0EE0F602" w14:textId="77777777" w:rsidTr="00137292">
        <w:trPr>
          <w:trHeight w:val="20"/>
        </w:trPr>
        <w:tc>
          <w:tcPr>
            <w:tcW w:w="819" w:type="dxa"/>
          </w:tcPr>
          <w:p w14:paraId="4A808D1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221</w:t>
            </w:r>
          </w:p>
        </w:tc>
        <w:tc>
          <w:tcPr>
            <w:tcW w:w="851" w:type="dxa"/>
          </w:tcPr>
          <w:p w14:paraId="40B162A7" w14:textId="1137260B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70227C74" w14:textId="3072C914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760D5B88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56</w:t>
            </w:r>
          </w:p>
        </w:tc>
        <w:tc>
          <w:tcPr>
            <w:tcW w:w="832" w:type="dxa"/>
          </w:tcPr>
          <w:p w14:paraId="797D781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5D75557C" w14:textId="0855F39C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was doing well and then chose to leave the study 41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>.</w:t>
            </w:r>
          </w:p>
        </w:tc>
        <w:tc>
          <w:tcPr>
            <w:tcW w:w="546" w:type="dxa"/>
          </w:tcPr>
          <w:p w14:paraId="795D605E" w14:textId="381724EE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0E46ECB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D4</w:t>
            </w:r>
          </w:p>
        </w:tc>
        <w:tc>
          <w:tcPr>
            <w:tcW w:w="711" w:type="dxa"/>
          </w:tcPr>
          <w:p w14:paraId="51F2DD33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D45</w:t>
            </w:r>
          </w:p>
        </w:tc>
        <w:tc>
          <w:tcPr>
            <w:tcW w:w="546" w:type="dxa"/>
          </w:tcPr>
          <w:p w14:paraId="6D1CCF6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C2</w:t>
            </w:r>
          </w:p>
        </w:tc>
        <w:tc>
          <w:tcPr>
            <w:tcW w:w="544" w:type="dxa"/>
          </w:tcPr>
          <w:p w14:paraId="054CC4F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D4</w:t>
            </w:r>
          </w:p>
        </w:tc>
        <w:tc>
          <w:tcPr>
            <w:tcW w:w="1980" w:type="dxa"/>
          </w:tcPr>
          <w:p w14:paraId="6D2DBE0D" w14:textId="7E099DA5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42FAAA1C" w14:textId="77777777" w:rsidTr="00137292">
        <w:trPr>
          <w:trHeight w:val="20"/>
        </w:trPr>
        <w:tc>
          <w:tcPr>
            <w:tcW w:w="819" w:type="dxa"/>
          </w:tcPr>
          <w:p w14:paraId="674A52D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227</w:t>
            </w:r>
          </w:p>
        </w:tc>
        <w:tc>
          <w:tcPr>
            <w:tcW w:w="851" w:type="dxa"/>
          </w:tcPr>
          <w:p w14:paraId="2957D639" w14:textId="26466A4C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29C20853" w14:textId="5FBBA64B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13C613CC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84</w:t>
            </w:r>
          </w:p>
        </w:tc>
        <w:tc>
          <w:tcPr>
            <w:tcW w:w="832" w:type="dxa"/>
          </w:tcPr>
          <w:p w14:paraId="30F2431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5903A15D" w14:textId="28B4B923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Last information about the patient was 90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63 days </w:t>
            </w:r>
            <w:r w:rsidR="00BA0FC2">
              <w:rPr>
                <w:rStyle w:val="None"/>
                <w:rFonts w:ascii="Arial" w:hAnsi="Arial" w:cs="Arial"/>
              </w:rPr>
              <w:t>post C3</w:t>
            </w:r>
            <w:r w:rsidRPr="007D7637">
              <w:rPr>
                <w:rStyle w:val="None"/>
                <w:rFonts w:ascii="Arial" w:hAnsi="Arial" w:cs="Arial"/>
              </w:rPr>
              <w:t xml:space="preserve">. Since then, the evaluating investigator has heard no more. He therefore withdrew the patient from the study 224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197 days </w:t>
            </w:r>
            <w:r w:rsidR="00BA0FC2">
              <w:rPr>
                <w:rStyle w:val="None"/>
                <w:rFonts w:ascii="Arial" w:hAnsi="Arial" w:cs="Arial"/>
              </w:rPr>
              <w:t>post C3</w:t>
            </w:r>
            <w:r w:rsidRPr="007D7637">
              <w:rPr>
                <w:rStyle w:val="None"/>
                <w:rFonts w:ascii="Arial" w:hAnsi="Arial" w:cs="Arial"/>
              </w:rPr>
              <w:t>.</w:t>
            </w:r>
          </w:p>
        </w:tc>
        <w:tc>
          <w:tcPr>
            <w:tcW w:w="546" w:type="dxa"/>
          </w:tcPr>
          <w:p w14:paraId="7B5263D8" w14:textId="0685A9A2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22CD475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D5</w:t>
            </w:r>
          </w:p>
        </w:tc>
        <w:tc>
          <w:tcPr>
            <w:tcW w:w="711" w:type="dxa"/>
          </w:tcPr>
          <w:p w14:paraId="383771D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D95</w:t>
            </w:r>
          </w:p>
        </w:tc>
        <w:tc>
          <w:tcPr>
            <w:tcW w:w="546" w:type="dxa"/>
          </w:tcPr>
          <w:p w14:paraId="4217CBC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25F2713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D32</w:t>
            </w:r>
          </w:p>
        </w:tc>
        <w:tc>
          <w:tcPr>
            <w:tcW w:w="1980" w:type="dxa"/>
          </w:tcPr>
          <w:p w14:paraId="60EEC4A4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Lost to follow-up</w:t>
            </w:r>
          </w:p>
        </w:tc>
      </w:tr>
      <w:tr w:rsidR="00BA0FC2" w:rsidRPr="007D7637" w14:paraId="7413B2F9" w14:textId="77777777" w:rsidTr="00137292">
        <w:trPr>
          <w:trHeight w:val="20"/>
        </w:trPr>
        <w:tc>
          <w:tcPr>
            <w:tcW w:w="819" w:type="dxa"/>
          </w:tcPr>
          <w:p w14:paraId="255CC88B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230</w:t>
            </w:r>
          </w:p>
        </w:tc>
        <w:tc>
          <w:tcPr>
            <w:tcW w:w="851" w:type="dxa"/>
          </w:tcPr>
          <w:p w14:paraId="73864433" w14:textId="2AE307C2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00F35237" w14:textId="153A78DE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11A5BADC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74</w:t>
            </w:r>
          </w:p>
        </w:tc>
        <w:tc>
          <w:tcPr>
            <w:tcW w:w="832" w:type="dxa"/>
          </w:tcPr>
          <w:p w14:paraId="1DFE4A3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3F71D91D" w14:textId="094657B1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suffered an arthrosis flare up (osteoarthritis, AE) of the studied knee 54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27 days </w:t>
            </w:r>
            <w:r w:rsidR="00BA0FC2">
              <w:rPr>
                <w:rStyle w:val="None"/>
                <w:rFonts w:ascii="Arial" w:hAnsi="Arial" w:cs="Arial"/>
              </w:rPr>
              <w:t>post C3</w:t>
            </w:r>
            <w:r w:rsidRPr="007D7637">
              <w:rPr>
                <w:rStyle w:val="None"/>
                <w:rFonts w:ascii="Arial" w:hAnsi="Arial" w:cs="Arial"/>
              </w:rPr>
              <w:t xml:space="preserve"> which was treated by puncture of the knee and infiltration of steroids on the same day.</w:t>
            </w:r>
          </w:p>
        </w:tc>
        <w:tc>
          <w:tcPr>
            <w:tcW w:w="546" w:type="dxa"/>
          </w:tcPr>
          <w:p w14:paraId="0DA3076A" w14:textId="555BC9A4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42602F7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D2</w:t>
            </w:r>
          </w:p>
        </w:tc>
        <w:tc>
          <w:tcPr>
            <w:tcW w:w="711" w:type="dxa"/>
          </w:tcPr>
          <w:p w14:paraId="7F08FC4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D56</w:t>
            </w:r>
          </w:p>
        </w:tc>
        <w:tc>
          <w:tcPr>
            <w:tcW w:w="546" w:type="dxa"/>
          </w:tcPr>
          <w:p w14:paraId="16C253A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380F37C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D29</w:t>
            </w:r>
          </w:p>
        </w:tc>
        <w:tc>
          <w:tcPr>
            <w:tcW w:w="1980" w:type="dxa"/>
          </w:tcPr>
          <w:p w14:paraId="062C7F13" w14:textId="41076FFD" w:rsidR="007D7637" w:rsidRPr="007D7637" w:rsidRDefault="007D7637" w:rsidP="00D4631D">
            <w:pPr>
              <w:pStyle w:val="Tableaulisting"/>
              <w:spacing w:before="60" w:after="60"/>
              <w:ind w:right="-137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Adverse event</w:t>
            </w:r>
            <w:r w:rsidR="00D4631D">
              <w:rPr>
                <w:rStyle w:val="None"/>
                <w:rFonts w:ascii="Arial" w:hAnsi="Arial" w:cs="Arial"/>
              </w:rPr>
              <w:br/>
            </w:r>
            <w:r w:rsidRPr="007D7637">
              <w:rPr>
                <w:rStyle w:val="None"/>
                <w:rFonts w:ascii="Arial" w:hAnsi="Arial" w:cs="Arial"/>
              </w:rPr>
              <w:t>(Forbidden treatment)</w:t>
            </w:r>
            <w:r w:rsidR="00D4631D">
              <w:rPr>
                <w:rStyle w:val="None"/>
                <w:rFonts w:ascii="Arial" w:hAnsi="Arial" w:cs="Arial"/>
              </w:rPr>
              <w:br/>
            </w:r>
            <w:r w:rsidRPr="007D7637">
              <w:rPr>
                <w:rStyle w:val="None"/>
                <w:rFonts w:ascii="Arial" w:hAnsi="Arial" w:cs="Arial"/>
              </w:rPr>
              <w:t>(Withdrawal by evaluator)</w:t>
            </w:r>
          </w:p>
        </w:tc>
      </w:tr>
      <w:tr w:rsidR="00BA0FC2" w:rsidRPr="007D7637" w14:paraId="73BFCA0F" w14:textId="77777777" w:rsidTr="00137292">
        <w:trPr>
          <w:trHeight w:val="20"/>
        </w:trPr>
        <w:tc>
          <w:tcPr>
            <w:tcW w:w="819" w:type="dxa"/>
          </w:tcPr>
          <w:p w14:paraId="32C5E7B4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237</w:t>
            </w:r>
          </w:p>
        </w:tc>
        <w:tc>
          <w:tcPr>
            <w:tcW w:w="851" w:type="dxa"/>
          </w:tcPr>
          <w:p w14:paraId="6D56B7EF" w14:textId="313D8D54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32DB39F8" w14:textId="2BC1658A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1F4BB989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51</w:t>
            </w:r>
          </w:p>
        </w:tc>
        <w:tc>
          <w:tcPr>
            <w:tcW w:w="832" w:type="dxa"/>
          </w:tcPr>
          <w:p w14:paraId="3719797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675582A6" w14:textId="6D3586DB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began treatment with NSAIDs 68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36 days </w:t>
            </w:r>
            <w:r w:rsidR="00BA0FC2">
              <w:rPr>
                <w:rStyle w:val="None"/>
                <w:rFonts w:ascii="Arial" w:hAnsi="Arial" w:cs="Arial"/>
              </w:rPr>
              <w:t>post C3</w:t>
            </w:r>
            <w:r w:rsidRPr="007D7637">
              <w:rPr>
                <w:rStyle w:val="None"/>
                <w:rFonts w:ascii="Arial" w:hAnsi="Arial" w:cs="Arial"/>
              </w:rPr>
              <w:t>.</w:t>
            </w:r>
          </w:p>
        </w:tc>
        <w:tc>
          <w:tcPr>
            <w:tcW w:w="546" w:type="dxa"/>
          </w:tcPr>
          <w:p w14:paraId="568211E4" w14:textId="7B483910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56F52DC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16E9C58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D68</w:t>
            </w:r>
          </w:p>
        </w:tc>
        <w:tc>
          <w:tcPr>
            <w:tcW w:w="546" w:type="dxa"/>
          </w:tcPr>
          <w:p w14:paraId="214B48D3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6035816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D32</w:t>
            </w:r>
          </w:p>
        </w:tc>
        <w:tc>
          <w:tcPr>
            <w:tcW w:w="1980" w:type="dxa"/>
          </w:tcPr>
          <w:p w14:paraId="6748ED2D" w14:textId="45A5501D" w:rsidR="007D7637" w:rsidRPr="007D7637" w:rsidRDefault="007D7637" w:rsidP="00D4631D">
            <w:pPr>
              <w:pStyle w:val="Tableaulisting"/>
              <w:spacing w:before="60" w:after="60"/>
              <w:ind w:right="-114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Forbidden treatment</w:t>
            </w:r>
            <w:r w:rsidR="00D4631D">
              <w:rPr>
                <w:rStyle w:val="None"/>
                <w:rFonts w:ascii="Arial" w:hAnsi="Arial" w:cs="Arial"/>
              </w:rPr>
              <w:br/>
            </w:r>
            <w:r w:rsidRPr="007D7637">
              <w:rPr>
                <w:rStyle w:val="None"/>
                <w:rFonts w:ascii="Arial" w:hAnsi="Arial" w:cs="Arial"/>
              </w:rPr>
              <w:t>(Withdrawal by evaluator)</w:t>
            </w:r>
          </w:p>
        </w:tc>
      </w:tr>
      <w:tr w:rsidR="00BA0FC2" w:rsidRPr="007D7637" w14:paraId="4FA384DE" w14:textId="77777777" w:rsidTr="00137292">
        <w:trPr>
          <w:trHeight w:val="20"/>
        </w:trPr>
        <w:tc>
          <w:tcPr>
            <w:tcW w:w="819" w:type="dxa"/>
          </w:tcPr>
          <w:p w14:paraId="1FB7A52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261</w:t>
            </w:r>
          </w:p>
        </w:tc>
        <w:tc>
          <w:tcPr>
            <w:tcW w:w="851" w:type="dxa"/>
          </w:tcPr>
          <w:p w14:paraId="63486F69" w14:textId="032C0A5C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6CE6F498" w14:textId="4384D856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7342692C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69</w:t>
            </w:r>
          </w:p>
        </w:tc>
        <w:tc>
          <w:tcPr>
            <w:tcW w:w="832" w:type="dxa"/>
          </w:tcPr>
          <w:p w14:paraId="55C9A3D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33A017E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Patient refused injection at C2.</w:t>
            </w:r>
          </w:p>
        </w:tc>
        <w:tc>
          <w:tcPr>
            <w:tcW w:w="546" w:type="dxa"/>
          </w:tcPr>
          <w:p w14:paraId="1FC19864" w14:textId="214303FB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512" w:type="dxa"/>
          </w:tcPr>
          <w:p w14:paraId="60FFF2E4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711" w:type="dxa"/>
          </w:tcPr>
          <w:p w14:paraId="5616085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546" w:type="dxa"/>
          </w:tcPr>
          <w:p w14:paraId="264BDB7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C2</w:t>
            </w:r>
          </w:p>
        </w:tc>
        <w:tc>
          <w:tcPr>
            <w:tcW w:w="544" w:type="dxa"/>
          </w:tcPr>
          <w:p w14:paraId="472E10A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1980" w:type="dxa"/>
          </w:tcPr>
          <w:p w14:paraId="4D40F27D" w14:textId="419642AC" w:rsidR="007D7637" w:rsidRPr="007D7637" w:rsidRDefault="00BA0FC2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Consent withdrawal</w:t>
            </w:r>
          </w:p>
        </w:tc>
      </w:tr>
      <w:tr w:rsidR="00BA0FC2" w:rsidRPr="007D7637" w14:paraId="285D3D7C" w14:textId="77777777" w:rsidTr="00137292">
        <w:trPr>
          <w:trHeight w:val="20"/>
        </w:trPr>
        <w:tc>
          <w:tcPr>
            <w:tcW w:w="819" w:type="dxa"/>
          </w:tcPr>
          <w:p w14:paraId="4F2D223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269</w:t>
            </w:r>
          </w:p>
        </w:tc>
        <w:tc>
          <w:tcPr>
            <w:tcW w:w="851" w:type="dxa"/>
          </w:tcPr>
          <w:p w14:paraId="1186BBED" w14:textId="5B59D623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78E4370E" w14:textId="08B2680F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66210A9F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79</w:t>
            </w:r>
          </w:p>
        </w:tc>
        <w:tc>
          <w:tcPr>
            <w:tcW w:w="832" w:type="dxa"/>
          </w:tcPr>
          <w:p w14:paraId="1CA15D64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758880D1" w14:textId="79CFAB4B" w:rsidR="007D7637" w:rsidRPr="007D7637" w:rsidRDefault="007D7637" w:rsidP="007C59B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Patient was on oral anticoagulants (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fluindione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>, P</w:t>
            </w:r>
            <w:r w:rsidR="007C59B3">
              <w:rPr>
                <w:rStyle w:val="None"/>
                <w:rFonts w:ascii="Arial" w:hAnsi="Arial" w:cs="Arial"/>
              </w:rPr>
              <w:t>REVISCAN</w:t>
            </w:r>
            <w:r w:rsidRPr="007D7637">
              <w:rPr>
                <w:rStyle w:val="None"/>
                <w:rFonts w:ascii="Arial" w:hAnsi="Arial" w:cs="Arial"/>
              </w:rPr>
              <w:t>) and developed an effusion in the studied knee (AE appeared outside the treatment) at C2. The patient did not therefore receive the injection.</w:t>
            </w:r>
          </w:p>
        </w:tc>
        <w:tc>
          <w:tcPr>
            <w:tcW w:w="546" w:type="dxa"/>
          </w:tcPr>
          <w:p w14:paraId="10C2DAAC" w14:textId="196272EE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No</w:t>
            </w:r>
          </w:p>
        </w:tc>
        <w:tc>
          <w:tcPr>
            <w:tcW w:w="512" w:type="dxa"/>
          </w:tcPr>
          <w:p w14:paraId="1E4BBEF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711" w:type="dxa"/>
          </w:tcPr>
          <w:p w14:paraId="5AEAED3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D5</w:t>
            </w:r>
          </w:p>
        </w:tc>
        <w:tc>
          <w:tcPr>
            <w:tcW w:w="546" w:type="dxa"/>
          </w:tcPr>
          <w:p w14:paraId="019A3F4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C2</w:t>
            </w:r>
          </w:p>
        </w:tc>
        <w:tc>
          <w:tcPr>
            <w:tcW w:w="544" w:type="dxa"/>
          </w:tcPr>
          <w:p w14:paraId="15795AE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D5</w:t>
            </w:r>
          </w:p>
        </w:tc>
        <w:tc>
          <w:tcPr>
            <w:tcW w:w="1980" w:type="dxa"/>
          </w:tcPr>
          <w:p w14:paraId="6BA15C4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Adverse event</w:t>
            </w:r>
          </w:p>
        </w:tc>
      </w:tr>
      <w:tr w:rsidR="00BA0FC2" w:rsidRPr="007D7637" w14:paraId="328CC48F" w14:textId="77777777" w:rsidTr="00137292">
        <w:trPr>
          <w:trHeight w:val="20"/>
        </w:trPr>
        <w:tc>
          <w:tcPr>
            <w:tcW w:w="819" w:type="dxa"/>
          </w:tcPr>
          <w:p w14:paraId="1C0C96B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312</w:t>
            </w:r>
          </w:p>
        </w:tc>
        <w:tc>
          <w:tcPr>
            <w:tcW w:w="851" w:type="dxa"/>
          </w:tcPr>
          <w:p w14:paraId="29FDB335" w14:textId="5B18C5BA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04D0C6DC" w14:textId="6B389821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586987CA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68</w:t>
            </w:r>
          </w:p>
        </w:tc>
        <w:tc>
          <w:tcPr>
            <w:tcW w:w="832" w:type="dxa"/>
          </w:tcPr>
          <w:p w14:paraId="638B2E1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6D7517A7" w14:textId="01D80F79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After the last visit completed (C4 at D91) the evaluating investigator heard nothing further from the patient. He withdrew her from the study 257 days </w:t>
            </w:r>
            <w:r w:rsidR="00BA0FC2">
              <w:rPr>
                <w:rStyle w:val="None"/>
                <w:rFonts w:ascii="Arial" w:hAnsi="Arial" w:cs="Arial"/>
              </w:rPr>
              <w:t xml:space="preserve">post injection,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="00BA0FC2">
              <w:rPr>
                <w:rStyle w:val="None"/>
                <w:rFonts w:ascii="Arial" w:hAnsi="Arial" w:cs="Arial"/>
              </w:rPr>
              <w:t xml:space="preserve"> 167 days post </w:t>
            </w:r>
            <w:r w:rsidRPr="007D7637">
              <w:rPr>
                <w:rStyle w:val="None"/>
                <w:rFonts w:ascii="Arial" w:hAnsi="Arial" w:cs="Arial"/>
              </w:rPr>
              <w:t>C4.</w:t>
            </w:r>
          </w:p>
        </w:tc>
        <w:tc>
          <w:tcPr>
            <w:tcW w:w="546" w:type="dxa"/>
          </w:tcPr>
          <w:p w14:paraId="40194AF1" w14:textId="5781359F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255CE15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</w:t>
            </w:r>
          </w:p>
        </w:tc>
        <w:tc>
          <w:tcPr>
            <w:tcW w:w="711" w:type="dxa"/>
          </w:tcPr>
          <w:p w14:paraId="773D554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D258</w:t>
            </w:r>
          </w:p>
        </w:tc>
        <w:tc>
          <w:tcPr>
            <w:tcW w:w="546" w:type="dxa"/>
          </w:tcPr>
          <w:p w14:paraId="06FDE8C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C4</w:t>
            </w:r>
          </w:p>
        </w:tc>
        <w:tc>
          <w:tcPr>
            <w:tcW w:w="544" w:type="dxa"/>
          </w:tcPr>
          <w:p w14:paraId="55D8D01F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D91</w:t>
            </w:r>
          </w:p>
        </w:tc>
        <w:tc>
          <w:tcPr>
            <w:tcW w:w="1980" w:type="dxa"/>
          </w:tcPr>
          <w:p w14:paraId="79B5125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Lost to follow-up</w:t>
            </w:r>
          </w:p>
        </w:tc>
      </w:tr>
      <w:tr w:rsidR="00BA0FC2" w:rsidRPr="007D7637" w14:paraId="2F899DB7" w14:textId="77777777" w:rsidTr="00137292">
        <w:trPr>
          <w:trHeight w:val="20"/>
        </w:trPr>
        <w:tc>
          <w:tcPr>
            <w:tcW w:w="819" w:type="dxa"/>
          </w:tcPr>
          <w:p w14:paraId="5D5D63A9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323</w:t>
            </w:r>
          </w:p>
        </w:tc>
        <w:tc>
          <w:tcPr>
            <w:tcW w:w="851" w:type="dxa"/>
          </w:tcPr>
          <w:p w14:paraId="62C52FB2" w14:textId="4E5E5A08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41C3AFAF" w14:textId="79A8317E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0B379542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78</w:t>
            </w:r>
          </w:p>
        </w:tc>
        <w:tc>
          <w:tcPr>
            <w:tcW w:w="832" w:type="dxa"/>
          </w:tcPr>
          <w:p w14:paraId="6E65BFCB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507BBF23" w14:textId="17DDF42C" w:rsidR="007D7637" w:rsidRPr="007D7637" w:rsidRDefault="007D7637" w:rsidP="007C59B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Patient received an infiltration of 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cortivazol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 xml:space="preserve"> (</w:t>
            </w:r>
            <w:r w:rsidR="007C59B3" w:rsidRPr="007D7637">
              <w:rPr>
                <w:rStyle w:val="None"/>
                <w:rFonts w:ascii="Arial" w:hAnsi="Arial" w:cs="Arial"/>
              </w:rPr>
              <w:t>A</w:t>
            </w:r>
            <w:r w:rsidR="007C59B3">
              <w:rPr>
                <w:rStyle w:val="None"/>
                <w:rFonts w:ascii="Arial" w:hAnsi="Arial" w:cs="Arial"/>
              </w:rPr>
              <w:t>LTIM</w:t>
            </w:r>
            <w:r w:rsidRPr="007D7637">
              <w:rPr>
                <w:rStyle w:val="None"/>
                <w:rFonts w:ascii="Arial" w:hAnsi="Arial" w:cs="Arial"/>
              </w:rPr>
              <w:t xml:space="preserve">) in the studied knee (arthralgia) 9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16 days before C3. Patient also took diclofenac (</w:t>
            </w:r>
            <w:r w:rsidR="007C59B3">
              <w:rPr>
                <w:rStyle w:val="None"/>
                <w:rFonts w:ascii="Arial" w:hAnsi="Arial" w:cs="Arial"/>
              </w:rPr>
              <w:t>VOLTAREN</w:t>
            </w:r>
            <w:r w:rsidRPr="007D7637">
              <w:rPr>
                <w:rStyle w:val="None"/>
                <w:rFonts w:ascii="Arial" w:hAnsi="Arial" w:cs="Arial"/>
              </w:rPr>
              <w:t xml:space="preserve">) for 2 days (arthralgia) 2 days before this infiltration,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7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>.</w:t>
            </w:r>
          </w:p>
        </w:tc>
        <w:tc>
          <w:tcPr>
            <w:tcW w:w="546" w:type="dxa"/>
          </w:tcPr>
          <w:p w14:paraId="36608D3D" w14:textId="0F725C88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311729BD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60A9039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D25</w:t>
            </w:r>
          </w:p>
        </w:tc>
        <w:tc>
          <w:tcPr>
            <w:tcW w:w="546" w:type="dxa"/>
          </w:tcPr>
          <w:p w14:paraId="4EFA853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C3</w:t>
            </w:r>
          </w:p>
        </w:tc>
        <w:tc>
          <w:tcPr>
            <w:tcW w:w="544" w:type="dxa"/>
          </w:tcPr>
          <w:p w14:paraId="7BD5DAB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D25</w:t>
            </w:r>
          </w:p>
        </w:tc>
        <w:tc>
          <w:tcPr>
            <w:tcW w:w="1980" w:type="dxa"/>
          </w:tcPr>
          <w:p w14:paraId="56344D6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Forbidden treatment</w:t>
            </w:r>
          </w:p>
        </w:tc>
      </w:tr>
      <w:tr w:rsidR="00BA0FC2" w:rsidRPr="007D7637" w14:paraId="729B4BCD" w14:textId="77777777" w:rsidTr="00137292">
        <w:trPr>
          <w:trHeight w:val="20"/>
        </w:trPr>
        <w:tc>
          <w:tcPr>
            <w:tcW w:w="819" w:type="dxa"/>
          </w:tcPr>
          <w:p w14:paraId="4D744BA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324</w:t>
            </w:r>
          </w:p>
        </w:tc>
        <w:tc>
          <w:tcPr>
            <w:tcW w:w="851" w:type="dxa"/>
          </w:tcPr>
          <w:p w14:paraId="0186F4CD" w14:textId="5E4CF7A1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316A199E" w14:textId="720F3710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FAS</w:t>
            </w:r>
          </w:p>
        </w:tc>
        <w:tc>
          <w:tcPr>
            <w:tcW w:w="557" w:type="dxa"/>
          </w:tcPr>
          <w:p w14:paraId="4E657E44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55</w:t>
            </w:r>
          </w:p>
        </w:tc>
        <w:tc>
          <w:tcPr>
            <w:tcW w:w="832" w:type="dxa"/>
          </w:tcPr>
          <w:p w14:paraId="26A9E11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Female</w:t>
            </w:r>
          </w:p>
        </w:tc>
        <w:tc>
          <w:tcPr>
            <w:tcW w:w="5304" w:type="dxa"/>
          </w:tcPr>
          <w:p w14:paraId="5E2C099D" w14:textId="05ECD0A9" w:rsidR="007D7637" w:rsidRPr="007D7637" w:rsidRDefault="007D7637" w:rsidP="007C59B3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Patient took diclofenac (V</w:t>
            </w:r>
            <w:r w:rsidR="007C59B3">
              <w:rPr>
                <w:rStyle w:val="None"/>
                <w:rFonts w:ascii="Arial" w:hAnsi="Arial" w:cs="Arial"/>
              </w:rPr>
              <w:t>OLTAREN</w:t>
            </w:r>
            <w:r w:rsidRPr="007D7637">
              <w:rPr>
                <w:rStyle w:val="None"/>
                <w:rFonts w:ascii="Arial" w:hAnsi="Arial" w:cs="Arial"/>
              </w:rPr>
              <w:t xml:space="preserve">) for 2 days (arthralgia) 42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, </w:t>
            </w:r>
            <w:r w:rsidR="00FE0C0D">
              <w:rPr>
                <w:rStyle w:val="None"/>
                <w:rFonts w:ascii="Arial" w:hAnsi="Arial" w:cs="Arial"/>
              </w:rPr>
              <w:t>i.e.,</w:t>
            </w:r>
            <w:r w:rsidRPr="007D7637">
              <w:rPr>
                <w:rStyle w:val="None"/>
                <w:rFonts w:ascii="Arial" w:hAnsi="Arial" w:cs="Arial"/>
              </w:rPr>
              <w:t xml:space="preserve"> 45 days before C4. She also received 13 days’ continuous treatment (arthralgia) with </w:t>
            </w:r>
            <w:proofErr w:type="spellStart"/>
            <w:r w:rsidRPr="007D7637">
              <w:rPr>
                <w:rStyle w:val="None"/>
                <w:rFonts w:ascii="Arial" w:hAnsi="Arial" w:cs="Arial"/>
              </w:rPr>
              <w:t>ketoprofen</w:t>
            </w:r>
            <w:proofErr w:type="spellEnd"/>
            <w:r w:rsidRPr="007D7637">
              <w:rPr>
                <w:rStyle w:val="None"/>
                <w:rFonts w:ascii="Arial" w:hAnsi="Arial" w:cs="Arial"/>
              </w:rPr>
              <w:t xml:space="preserve"> (P</w:t>
            </w:r>
            <w:r w:rsidR="007C59B3">
              <w:rPr>
                <w:rStyle w:val="None"/>
                <w:rFonts w:ascii="Arial" w:hAnsi="Arial" w:cs="Arial"/>
              </w:rPr>
              <w:t>ROFENID</w:t>
            </w:r>
            <w:r w:rsidRPr="007D7637">
              <w:rPr>
                <w:rStyle w:val="None"/>
                <w:rFonts w:ascii="Arial" w:hAnsi="Arial" w:cs="Arial"/>
              </w:rPr>
              <w:t xml:space="preserve">) from 57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 until 18 days before C4.</w:t>
            </w:r>
          </w:p>
        </w:tc>
        <w:tc>
          <w:tcPr>
            <w:tcW w:w="546" w:type="dxa"/>
          </w:tcPr>
          <w:p w14:paraId="5A79ADF7" w14:textId="379E44C6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0913C61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D0</w:t>
            </w:r>
          </w:p>
        </w:tc>
        <w:tc>
          <w:tcPr>
            <w:tcW w:w="711" w:type="dxa"/>
          </w:tcPr>
          <w:p w14:paraId="56A2D5F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D87</w:t>
            </w:r>
          </w:p>
        </w:tc>
        <w:tc>
          <w:tcPr>
            <w:tcW w:w="546" w:type="dxa"/>
          </w:tcPr>
          <w:p w14:paraId="3FF64EE0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C4</w:t>
            </w:r>
          </w:p>
        </w:tc>
        <w:tc>
          <w:tcPr>
            <w:tcW w:w="544" w:type="dxa"/>
          </w:tcPr>
          <w:p w14:paraId="673CB66C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D87</w:t>
            </w:r>
          </w:p>
        </w:tc>
        <w:tc>
          <w:tcPr>
            <w:tcW w:w="1980" w:type="dxa"/>
          </w:tcPr>
          <w:p w14:paraId="1F2F3F47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Forbidden treatment</w:t>
            </w:r>
          </w:p>
        </w:tc>
      </w:tr>
      <w:tr w:rsidR="00BA0FC2" w:rsidRPr="007D7637" w14:paraId="601FED67" w14:textId="77777777" w:rsidTr="00137292">
        <w:trPr>
          <w:trHeight w:val="70"/>
        </w:trPr>
        <w:tc>
          <w:tcPr>
            <w:tcW w:w="819" w:type="dxa"/>
          </w:tcPr>
          <w:p w14:paraId="4AB7DC7A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350</w:t>
            </w:r>
          </w:p>
        </w:tc>
        <w:tc>
          <w:tcPr>
            <w:tcW w:w="851" w:type="dxa"/>
          </w:tcPr>
          <w:p w14:paraId="0A920878" w14:textId="1F834E9B" w:rsidR="007D7637" w:rsidRPr="007D7637" w:rsidRDefault="005B73E9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832" w:type="dxa"/>
          </w:tcPr>
          <w:p w14:paraId="1F5B9666" w14:textId="57036CFB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ITT</w:t>
            </w:r>
          </w:p>
        </w:tc>
        <w:tc>
          <w:tcPr>
            <w:tcW w:w="557" w:type="dxa"/>
          </w:tcPr>
          <w:p w14:paraId="17A58061" w14:textId="77777777" w:rsidR="007D7637" w:rsidRPr="007D7637" w:rsidRDefault="007D7637" w:rsidP="00D4631D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7D7637">
              <w:rPr>
                <w:rFonts w:ascii="Arial" w:hAnsi="Arial" w:cs="Arial"/>
              </w:rPr>
              <w:t>78</w:t>
            </w:r>
          </w:p>
        </w:tc>
        <w:tc>
          <w:tcPr>
            <w:tcW w:w="832" w:type="dxa"/>
          </w:tcPr>
          <w:p w14:paraId="433ABAFE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Male</w:t>
            </w:r>
          </w:p>
        </w:tc>
        <w:tc>
          <w:tcPr>
            <w:tcW w:w="5304" w:type="dxa"/>
          </w:tcPr>
          <w:p w14:paraId="3F246D21" w14:textId="4559333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 xml:space="preserve">Development of fever, requiring admission to hospital 22 days </w:t>
            </w:r>
            <w:r w:rsidR="00BA0FC2">
              <w:rPr>
                <w:rStyle w:val="None"/>
                <w:rFonts w:ascii="Arial" w:hAnsi="Arial" w:cs="Arial"/>
              </w:rPr>
              <w:t>post injection</w:t>
            </w:r>
            <w:r w:rsidRPr="007D7637">
              <w:rPr>
                <w:rStyle w:val="None"/>
                <w:rFonts w:ascii="Arial" w:hAnsi="Arial" w:cs="Arial"/>
              </w:rPr>
              <w:t xml:space="preserve"> (SAE).</w:t>
            </w:r>
          </w:p>
        </w:tc>
        <w:tc>
          <w:tcPr>
            <w:tcW w:w="546" w:type="dxa"/>
          </w:tcPr>
          <w:p w14:paraId="737B5012" w14:textId="68398F29" w:rsidR="007D7637" w:rsidRPr="007D7637" w:rsidRDefault="00D4631D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Yes</w:t>
            </w:r>
          </w:p>
        </w:tc>
        <w:tc>
          <w:tcPr>
            <w:tcW w:w="512" w:type="dxa"/>
          </w:tcPr>
          <w:p w14:paraId="5CBBAE82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</w:t>
            </w:r>
          </w:p>
        </w:tc>
        <w:tc>
          <w:tcPr>
            <w:tcW w:w="711" w:type="dxa"/>
          </w:tcPr>
          <w:p w14:paraId="2722A7B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D35</w:t>
            </w:r>
          </w:p>
        </w:tc>
        <w:tc>
          <w:tcPr>
            <w:tcW w:w="546" w:type="dxa"/>
          </w:tcPr>
          <w:p w14:paraId="7787EB71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C2</w:t>
            </w:r>
          </w:p>
        </w:tc>
        <w:tc>
          <w:tcPr>
            <w:tcW w:w="544" w:type="dxa"/>
          </w:tcPr>
          <w:p w14:paraId="34604C75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D1</w:t>
            </w:r>
          </w:p>
        </w:tc>
        <w:tc>
          <w:tcPr>
            <w:tcW w:w="1980" w:type="dxa"/>
          </w:tcPr>
          <w:p w14:paraId="6D61E876" w14:textId="77777777" w:rsidR="007D7637" w:rsidRPr="007D7637" w:rsidRDefault="007D7637" w:rsidP="00BA0FC2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7D7637">
              <w:rPr>
                <w:rStyle w:val="None"/>
                <w:rFonts w:ascii="Arial" w:hAnsi="Arial" w:cs="Arial"/>
              </w:rPr>
              <w:t>Adverse event</w:t>
            </w:r>
          </w:p>
        </w:tc>
      </w:tr>
    </w:tbl>
    <w:p w14:paraId="4AED76C0" w14:textId="344A4C65" w:rsidR="00667D58" w:rsidRPr="007D7637" w:rsidRDefault="00BA0FC2" w:rsidP="00BA0FC2">
      <w:pPr>
        <w:pStyle w:val="Tableaulisting"/>
        <w:spacing w:before="60"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AE = adverse event; C = Consultation; </w:t>
      </w:r>
      <w:r w:rsidR="002D4702">
        <w:rPr>
          <w:rFonts w:ascii="Arial" w:hAnsi="Arial" w:cs="Arial"/>
          <w:sz w:val="18"/>
          <w:szCs w:val="18"/>
          <w:lang w:val="en-GB"/>
        </w:rPr>
        <w:t>c</w:t>
      </w:r>
      <w:r w:rsidR="005B73E9">
        <w:rPr>
          <w:rFonts w:ascii="Arial" w:hAnsi="Arial" w:cs="Arial"/>
          <w:sz w:val="18"/>
          <w:szCs w:val="18"/>
          <w:lang w:val="en-GB"/>
        </w:rPr>
        <w:t xml:space="preserve">ontrol = </w:t>
      </w:r>
      <w:proofErr w:type="spellStart"/>
      <w:r w:rsidR="005B73E9">
        <w:rPr>
          <w:rFonts w:ascii="Arial" w:hAnsi="Arial" w:cs="Arial"/>
          <w:sz w:val="18"/>
          <w:szCs w:val="18"/>
          <w:lang w:val="en-GB"/>
        </w:rPr>
        <w:t>hylan</w:t>
      </w:r>
      <w:proofErr w:type="spellEnd"/>
      <w:r w:rsidR="005B73E9">
        <w:rPr>
          <w:rFonts w:ascii="Arial" w:hAnsi="Arial" w:cs="Arial"/>
          <w:sz w:val="18"/>
          <w:szCs w:val="18"/>
          <w:lang w:val="en-GB"/>
        </w:rPr>
        <w:t xml:space="preserve"> G-F 20; </w:t>
      </w:r>
      <w:r>
        <w:rPr>
          <w:rFonts w:ascii="Arial" w:hAnsi="Arial" w:cs="Arial"/>
          <w:sz w:val="18"/>
          <w:szCs w:val="18"/>
          <w:lang w:val="en-GB"/>
        </w:rPr>
        <w:t xml:space="preserve">D = Day; </w:t>
      </w:r>
      <w:r w:rsidR="007D7637" w:rsidRPr="007D7637">
        <w:rPr>
          <w:rFonts w:ascii="Arial" w:hAnsi="Arial" w:cs="Arial"/>
          <w:sz w:val="18"/>
          <w:szCs w:val="18"/>
          <w:lang w:val="en-GB"/>
        </w:rPr>
        <w:t xml:space="preserve">FAS = </w:t>
      </w:r>
      <w:r w:rsidR="007D7637" w:rsidRPr="007D7637">
        <w:rPr>
          <w:rStyle w:val="None"/>
          <w:rFonts w:ascii="Arial" w:hAnsi="Arial" w:cs="Arial"/>
          <w:iCs/>
          <w:sz w:val="18"/>
          <w:szCs w:val="18"/>
          <w:lang w:val="en-GB"/>
        </w:rPr>
        <w:t>Full Analysis Set</w:t>
      </w:r>
      <w:r>
        <w:rPr>
          <w:rStyle w:val="None"/>
          <w:rFonts w:ascii="Arial" w:hAnsi="Arial" w:cs="Arial"/>
          <w:iCs/>
          <w:sz w:val="18"/>
          <w:szCs w:val="18"/>
          <w:lang w:val="en-GB"/>
        </w:rPr>
        <w:t>;</w:t>
      </w:r>
      <w:r w:rsidR="007D7637" w:rsidRPr="007D763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ITT = Intention-to-Treat; </w:t>
      </w:r>
      <w:r w:rsidR="007D7637" w:rsidRPr="007D7637">
        <w:rPr>
          <w:rFonts w:ascii="Arial" w:hAnsi="Arial" w:cs="Arial"/>
          <w:sz w:val="18"/>
          <w:szCs w:val="18"/>
          <w:lang w:val="en-GB"/>
        </w:rPr>
        <w:t>NA = not applicable</w:t>
      </w:r>
      <w:r>
        <w:rPr>
          <w:rFonts w:ascii="Arial" w:hAnsi="Arial" w:cs="Arial"/>
          <w:sz w:val="18"/>
          <w:szCs w:val="18"/>
          <w:lang w:val="en-GB"/>
        </w:rPr>
        <w:t>, SAE = serious adverse event</w:t>
      </w:r>
      <w:r w:rsidR="005B73E9">
        <w:rPr>
          <w:rFonts w:ascii="Arial" w:hAnsi="Arial" w:cs="Arial"/>
          <w:sz w:val="18"/>
          <w:szCs w:val="18"/>
          <w:lang w:val="en-GB"/>
        </w:rPr>
        <w:t xml:space="preserve">; SH = sodium </w:t>
      </w:r>
      <w:proofErr w:type="spellStart"/>
      <w:r w:rsidR="005B73E9">
        <w:rPr>
          <w:rFonts w:ascii="Arial" w:hAnsi="Arial" w:cs="Arial"/>
          <w:sz w:val="18"/>
          <w:szCs w:val="18"/>
          <w:lang w:val="en-GB"/>
        </w:rPr>
        <w:t>hyaluronate</w:t>
      </w:r>
      <w:proofErr w:type="spellEnd"/>
      <w:r w:rsidR="002A19F9">
        <w:rPr>
          <w:rFonts w:ascii="Arial" w:hAnsi="Arial" w:cs="Arial"/>
          <w:sz w:val="18"/>
          <w:szCs w:val="18"/>
          <w:lang w:val="en-GB"/>
        </w:rPr>
        <w:t>.</w:t>
      </w:r>
    </w:p>
    <w:sectPr w:rsidR="00667D58" w:rsidRPr="007D7637" w:rsidSect="007D7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247EBF" w:rsidRDefault="00247EBF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247EBF" w:rsidRDefault="00247EBF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86FC" w14:textId="77777777" w:rsidR="00513172" w:rsidRDefault="005131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4E664321" w:rsidR="00247EBF" w:rsidRDefault="00247EBF" w:rsidP="0051317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E4" w:rsidRPr="00BF35E4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E4B3" w14:textId="77777777" w:rsidR="00513172" w:rsidRDefault="0051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247EBF" w:rsidRDefault="00247EBF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247EBF" w:rsidRDefault="00247EBF" w:rsidP="00DC7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73D98" w14:textId="77777777" w:rsidR="00513172" w:rsidRDefault="005131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19DC" w14:textId="77777777" w:rsidR="00513172" w:rsidRDefault="005131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1312" w14:textId="77777777" w:rsidR="00513172" w:rsidRDefault="005131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B3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32675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852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96"/>
    <w:multiLevelType w:val="hybridMultilevel"/>
    <w:tmpl w:val="A62A47A8"/>
    <w:lvl w:ilvl="0" w:tplc="27320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140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BA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53D2"/>
    <w:multiLevelType w:val="hybridMultilevel"/>
    <w:tmpl w:val="53D6BAA2"/>
    <w:lvl w:ilvl="0" w:tplc="5B1E04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11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43C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733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6F"/>
    <w:multiLevelType w:val="hybridMultilevel"/>
    <w:tmpl w:val="52A4CF4E"/>
    <w:lvl w:ilvl="0" w:tplc="4468B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5873"/>
    <w:multiLevelType w:val="hybridMultilevel"/>
    <w:tmpl w:val="263042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A1D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B8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C5"/>
    <w:multiLevelType w:val="hybridMultilevel"/>
    <w:tmpl w:val="B6B0FFC2"/>
    <w:lvl w:ilvl="0" w:tplc="6C5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6836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60B0D"/>
    <w:multiLevelType w:val="hybridMultilevel"/>
    <w:tmpl w:val="325203D6"/>
    <w:numStyleLink w:val="ImportedStyle3"/>
  </w:abstractNum>
  <w:abstractNum w:abstractNumId="17" w15:restartNumberingAfterBreak="0">
    <w:nsid w:val="6D506CA9"/>
    <w:multiLevelType w:val="hybridMultilevel"/>
    <w:tmpl w:val="AE86E5B2"/>
    <w:lvl w:ilvl="0" w:tplc="DA70AE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792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391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6"/>
    <w:lvlOverride w:ilvl="0">
      <w:lvl w:ilvl="0" w:tplc="3AD6A9CC">
        <w:start w:val="1"/>
        <w:numFmt w:val="bullet"/>
        <w:lvlText w:val="·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E8A8208">
        <w:start w:val="1"/>
        <w:numFmt w:val="bullet"/>
        <w:lvlText w:val="o"/>
        <w:lvlJc w:val="left"/>
        <w:pPr>
          <w:ind w:left="10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EA49562">
        <w:start w:val="1"/>
        <w:numFmt w:val="bullet"/>
        <w:lvlText w:val="▪"/>
        <w:lvlJc w:val="left"/>
        <w:pPr>
          <w:ind w:left="17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8FAAC0A">
        <w:start w:val="1"/>
        <w:numFmt w:val="bullet"/>
        <w:lvlText w:val="·"/>
        <w:lvlJc w:val="left"/>
        <w:pPr>
          <w:ind w:left="24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AC6F9CC">
        <w:start w:val="1"/>
        <w:numFmt w:val="bullet"/>
        <w:lvlText w:val="o"/>
        <w:lvlJc w:val="left"/>
        <w:pPr>
          <w:ind w:left="31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0AEC9EA">
        <w:start w:val="1"/>
        <w:numFmt w:val="bullet"/>
        <w:lvlText w:val="▪"/>
        <w:lvlJc w:val="left"/>
        <w:pPr>
          <w:ind w:left="38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7BC89B4">
        <w:start w:val="1"/>
        <w:numFmt w:val="bullet"/>
        <w:lvlText w:val="·"/>
        <w:lvlJc w:val="left"/>
        <w:pPr>
          <w:ind w:left="46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EDED46C">
        <w:start w:val="1"/>
        <w:numFmt w:val="bullet"/>
        <w:lvlText w:val="o"/>
        <w:lvlJc w:val="left"/>
        <w:pPr>
          <w:ind w:left="53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35631F4">
        <w:start w:val="1"/>
        <w:numFmt w:val="bullet"/>
        <w:lvlText w:val="▪"/>
        <w:lvlJc w:val="left"/>
        <w:pPr>
          <w:ind w:left="60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7F3A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198E"/>
    <w:rsid w:val="00103F2D"/>
    <w:rsid w:val="00106F21"/>
    <w:rsid w:val="001100ED"/>
    <w:rsid w:val="00115913"/>
    <w:rsid w:val="00131F5E"/>
    <w:rsid w:val="00137292"/>
    <w:rsid w:val="00145E93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09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19F9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507"/>
    <w:rsid w:val="002D4702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11837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506E"/>
    <w:rsid w:val="004A6129"/>
    <w:rsid w:val="004A6597"/>
    <w:rsid w:val="004A7271"/>
    <w:rsid w:val="004A7D0E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55FE"/>
    <w:rsid w:val="005110D5"/>
    <w:rsid w:val="00511239"/>
    <w:rsid w:val="00513172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B73E9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8755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C59B3"/>
    <w:rsid w:val="007D05AF"/>
    <w:rsid w:val="007D139D"/>
    <w:rsid w:val="007D1E97"/>
    <w:rsid w:val="007D2850"/>
    <w:rsid w:val="007D7637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D6F2C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2AC3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70CC"/>
    <w:rsid w:val="00B97DA2"/>
    <w:rsid w:val="00BA0FC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38F8"/>
    <w:rsid w:val="00BE7091"/>
    <w:rsid w:val="00BF35E4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6783A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6509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31D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0F3D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C0D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4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paragraph" w:customStyle="1" w:styleId="Tableautitre">
    <w:name w:val="Tableau titre"/>
    <w:qFormat/>
    <w:rsid w:val="007D7637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D7637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2F64-0E72-44B9-ACEC-0F10FA9A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C5C14AC5.dotm</Template>
  <TotalTime>0</TotalTime>
  <Pages>2</Pages>
  <Words>967</Words>
  <Characters>5322</Characters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2019-05-31T12:54:00Z</cp:lastPrinted>
  <dcterms:created xsi:type="dcterms:W3CDTF">2018-07-25T07:27:00Z</dcterms:created>
  <dcterms:modified xsi:type="dcterms:W3CDTF">2019-05-31T12:54:00Z</dcterms:modified>
</cp:coreProperties>
</file>