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6F" w:rsidRPr="001820B9" w:rsidRDefault="00D81F6F" w:rsidP="00D81F6F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bidi="th-TH"/>
        </w:rPr>
      </w:pPr>
      <w:r w:rsidRPr="001820B9">
        <w:rPr>
          <w:rFonts w:ascii="Times New Roman" w:eastAsia="Calibri" w:hAnsi="Times New Roman" w:cs="Times New Roman"/>
          <w:b/>
          <w:sz w:val="24"/>
          <w:szCs w:val="24"/>
          <w:lang w:bidi="th-TH"/>
        </w:rPr>
        <w:t>Table S</w:t>
      </w:r>
      <w:r>
        <w:rPr>
          <w:rFonts w:ascii="Times New Roman" w:eastAsia="Calibri" w:hAnsi="Times New Roman" w:cs="Times New Roman"/>
          <w:b/>
          <w:sz w:val="24"/>
          <w:szCs w:val="24"/>
          <w:lang w:bidi="th-TH"/>
        </w:rPr>
        <w:t>4.</w:t>
      </w:r>
      <w:r w:rsidRPr="001820B9">
        <w:rPr>
          <w:rFonts w:ascii="Times New Roman" w:eastAsia="Calibri" w:hAnsi="Times New Roman" w:cs="Times New Roman"/>
          <w:b/>
          <w:sz w:val="24"/>
          <w:szCs w:val="24"/>
          <w:lang w:bidi="th-TH"/>
        </w:rPr>
        <w:t xml:space="preserve"> Univariate associations of characteristic at discontinuation with </w:t>
      </w:r>
      <w:proofErr w:type="spellStart"/>
      <w:r w:rsidRPr="001820B9">
        <w:rPr>
          <w:rFonts w:ascii="Times New Roman" w:eastAsia="Calibri" w:hAnsi="Times New Roman" w:cs="Times New Roman"/>
          <w:b/>
          <w:sz w:val="24"/>
          <w:szCs w:val="24"/>
          <w:lang w:bidi="th-TH"/>
        </w:rPr>
        <w:t>reinitiation</w:t>
      </w:r>
      <w:proofErr w:type="spellEnd"/>
      <w:r w:rsidRPr="001820B9">
        <w:rPr>
          <w:rFonts w:ascii="Times New Roman" w:eastAsia="Calibri" w:hAnsi="Times New Roman" w:cs="Times New Roman"/>
          <w:b/>
          <w:sz w:val="24"/>
          <w:szCs w:val="24"/>
          <w:lang w:bidi="th-TH"/>
        </w:rPr>
        <w:t xml:space="preserve"> to antihypertensive drug (N= 1,201)</w:t>
      </w:r>
      <w:r>
        <w:rPr>
          <w:rFonts w:ascii="Times New Roman" w:eastAsia="Calibri" w:hAnsi="Times New Roman" w:cs="Times New Roman"/>
          <w:b/>
          <w:sz w:val="24"/>
          <w:szCs w:val="24"/>
          <w:lang w:bidi="th-TH"/>
        </w:rPr>
        <w:t>.</w:t>
      </w:r>
    </w:p>
    <w:tbl>
      <w:tblPr>
        <w:tblStyle w:val="TableGrid2"/>
        <w:tblW w:w="8963" w:type="dxa"/>
        <w:jc w:val="center"/>
        <w:tblLook w:val="04A0" w:firstRow="1" w:lastRow="0" w:firstColumn="1" w:lastColumn="0" w:noHBand="0" w:noVBand="1"/>
      </w:tblPr>
      <w:tblGrid>
        <w:gridCol w:w="4199"/>
        <w:gridCol w:w="1897"/>
        <w:gridCol w:w="1839"/>
        <w:gridCol w:w="1028"/>
      </w:tblGrid>
      <w:tr w:rsidR="00D81F6F" w:rsidRPr="001820B9" w:rsidTr="00E90315">
        <w:trPr>
          <w:jc w:val="center"/>
        </w:trPr>
        <w:tc>
          <w:tcPr>
            <w:tcW w:w="4199" w:type="dxa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Potential predictors</w:t>
            </w:r>
          </w:p>
        </w:tc>
        <w:tc>
          <w:tcPr>
            <w:tcW w:w="1897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Reinitiate</w:t>
            </w:r>
          </w:p>
          <w:p w:rsidR="00D81F6F" w:rsidRPr="001820B9" w:rsidRDefault="00D81F6F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N (%)</w:t>
            </w:r>
          </w:p>
        </w:tc>
        <w:tc>
          <w:tcPr>
            <w:tcW w:w="183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No reinitiate</w:t>
            </w:r>
          </w:p>
          <w:p w:rsidR="00D81F6F" w:rsidRPr="001820B9" w:rsidRDefault="00D81F6F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N (%)</w:t>
            </w:r>
          </w:p>
        </w:tc>
        <w:tc>
          <w:tcPr>
            <w:tcW w:w="1028" w:type="dxa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i/>
                <w:sz w:val="24"/>
                <w:szCs w:val="24"/>
                <w:lang w:bidi="th-TH"/>
              </w:rPr>
              <w:t>P</w:t>
            </w: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 xml:space="preserve"> value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Gender (N)</w:t>
            </w:r>
          </w:p>
        </w:tc>
        <w:tc>
          <w:tcPr>
            <w:tcW w:w="1897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183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1028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0.420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Male (608)</w:t>
            </w:r>
          </w:p>
        </w:tc>
        <w:tc>
          <w:tcPr>
            <w:tcW w:w="1897" w:type="dxa"/>
            <w:vAlign w:val="center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142 (52.8)</w:t>
            </w:r>
          </w:p>
        </w:tc>
        <w:tc>
          <w:tcPr>
            <w:tcW w:w="1839" w:type="dxa"/>
            <w:vAlign w:val="center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466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5</w:t>
            </w:r>
            <w:r w:rsidRPr="004338A4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0.0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028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Female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593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897" w:type="dxa"/>
            <w:vAlign w:val="center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127 (47.2)</w:t>
            </w:r>
          </w:p>
        </w:tc>
        <w:tc>
          <w:tcPr>
            <w:tcW w:w="1839" w:type="dxa"/>
            <w:vAlign w:val="center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466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50.0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028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Age group, years (N)</w:t>
            </w:r>
          </w:p>
        </w:tc>
        <w:tc>
          <w:tcPr>
            <w:tcW w:w="1897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183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1028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40-49 (144)</w:t>
            </w:r>
          </w:p>
        </w:tc>
        <w:tc>
          <w:tcPr>
            <w:tcW w:w="1897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32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1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1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.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9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83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112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1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2.0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028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0.999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50-59 (283)</w:t>
            </w:r>
          </w:p>
        </w:tc>
        <w:tc>
          <w:tcPr>
            <w:tcW w:w="1897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63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23.4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83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220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2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3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.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6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028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60-69 (339)</w:t>
            </w:r>
          </w:p>
        </w:tc>
        <w:tc>
          <w:tcPr>
            <w:tcW w:w="1897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77 (28.6) </w:t>
            </w:r>
          </w:p>
        </w:tc>
        <w:tc>
          <w:tcPr>
            <w:tcW w:w="183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262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2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8.1)</w:t>
            </w:r>
          </w:p>
        </w:tc>
        <w:tc>
          <w:tcPr>
            <w:tcW w:w="1028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70-79 (296)</w:t>
            </w:r>
          </w:p>
        </w:tc>
        <w:tc>
          <w:tcPr>
            <w:tcW w:w="1897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67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nl-NL" w:bidi="th-TH"/>
              </w:rPr>
              <w:t>24.9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83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229 (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val="id-ID" w:bidi="th-TH"/>
              </w:rPr>
              <w:t>2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4.6)</w:t>
            </w:r>
          </w:p>
        </w:tc>
        <w:tc>
          <w:tcPr>
            <w:tcW w:w="1028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≥ 80 (139)</w:t>
            </w:r>
          </w:p>
        </w:tc>
        <w:tc>
          <w:tcPr>
            <w:tcW w:w="1897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30 (11.2)</w:t>
            </w:r>
          </w:p>
        </w:tc>
        <w:tc>
          <w:tcPr>
            <w:tcW w:w="183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109 (11.7)</w:t>
            </w:r>
          </w:p>
        </w:tc>
        <w:tc>
          <w:tcPr>
            <w:tcW w:w="1028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hideMark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Socioeconomic status (N)</w:t>
            </w:r>
          </w:p>
        </w:tc>
        <w:tc>
          <w:tcPr>
            <w:tcW w:w="1897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39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028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0.391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hideMark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High (590)</w:t>
            </w:r>
          </w:p>
        </w:tc>
        <w:tc>
          <w:tcPr>
            <w:tcW w:w="1897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127 (47.6)</w:t>
            </w:r>
          </w:p>
        </w:tc>
        <w:tc>
          <w:tcPr>
            <w:tcW w:w="183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463 (50.5)</w:t>
            </w:r>
          </w:p>
        </w:tc>
        <w:tc>
          <w:tcPr>
            <w:tcW w:w="1028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Low (593)</w:t>
            </w:r>
          </w:p>
        </w:tc>
        <w:tc>
          <w:tcPr>
            <w:tcW w:w="1897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140 (52.4)</w:t>
            </w:r>
          </w:p>
        </w:tc>
        <w:tc>
          <w:tcPr>
            <w:tcW w:w="1839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453 (49.5)</w:t>
            </w:r>
          </w:p>
        </w:tc>
        <w:tc>
          <w:tcPr>
            <w:tcW w:w="1028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Missing (18)</w:t>
            </w:r>
          </w:p>
        </w:tc>
        <w:tc>
          <w:tcPr>
            <w:tcW w:w="1897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39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028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81F6F" w:rsidRPr="001820B9" w:rsidTr="00E90315">
        <w:trPr>
          <w:jc w:val="center"/>
        </w:trPr>
        <w:tc>
          <w:tcPr>
            <w:tcW w:w="6096" w:type="dxa"/>
            <w:gridSpan w:val="2"/>
            <w:hideMark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Type of antihypertensive class (N)</w:t>
            </w:r>
          </w:p>
        </w:tc>
        <w:tc>
          <w:tcPr>
            <w:tcW w:w="183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1028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0.352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hideMark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Diuretics (240)</w:t>
            </w:r>
          </w:p>
        </w:tc>
        <w:tc>
          <w:tcPr>
            <w:tcW w:w="1897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55 (20.4)</w:t>
            </w:r>
          </w:p>
        </w:tc>
        <w:tc>
          <w:tcPr>
            <w:tcW w:w="183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185 (19.8)</w:t>
            </w:r>
          </w:p>
        </w:tc>
        <w:tc>
          <w:tcPr>
            <w:tcW w:w="1028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hideMark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Beta-blocking agents (288)</w:t>
            </w:r>
          </w:p>
        </w:tc>
        <w:tc>
          <w:tcPr>
            <w:tcW w:w="1897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57 (21.2)</w:t>
            </w:r>
          </w:p>
        </w:tc>
        <w:tc>
          <w:tcPr>
            <w:tcW w:w="183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231 (24.8)</w:t>
            </w:r>
          </w:p>
        </w:tc>
        <w:tc>
          <w:tcPr>
            <w:tcW w:w="1028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hideMark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Calcium channel blockers (99)</w:t>
            </w:r>
          </w:p>
        </w:tc>
        <w:tc>
          <w:tcPr>
            <w:tcW w:w="1897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18 (6.7)</w:t>
            </w:r>
          </w:p>
        </w:tc>
        <w:tc>
          <w:tcPr>
            <w:tcW w:w="1839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81   (8.7)</w:t>
            </w:r>
          </w:p>
        </w:tc>
        <w:tc>
          <w:tcPr>
            <w:tcW w:w="1028" w:type="dxa"/>
            <w:vAlign w:val="bottom"/>
            <w:hideMark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Agents acting on renin-angiotensin system (574)</w:t>
            </w:r>
          </w:p>
        </w:tc>
        <w:tc>
          <w:tcPr>
            <w:tcW w:w="1897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139 (51.7)</w:t>
            </w:r>
          </w:p>
        </w:tc>
        <w:tc>
          <w:tcPr>
            <w:tcW w:w="1839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435 (46.7)</w:t>
            </w:r>
          </w:p>
        </w:tc>
        <w:tc>
          <w:tcPr>
            <w:tcW w:w="1028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Polypharmacy (N)</w:t>
            </w:r>
          </w:p>
        </w:tc>
        <w:tc>
          <w:tcPr>
            <w:tcW w:w="1897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39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028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0.272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Yes (280)</w:t>
            </w:r>
          </w:p>
        </w:tc>
        <w:tc>
          <w:tcPr>
            <w:tcW w:w="1897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56 (20.8)</w:t>
            </w:r>
          </w:p>
        </w:tc>
        <w:tc>
          <w:tcPr>
            <w:tcW w:w="1839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224 (24.0</w:t>
            </w:r>
          </w:p>
        </w:tc>
        <w:tc>
          <w:tcPr>
            <w:tcW w:w="1028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No (921)</w:t>
            </w:r>
          </w:p>
        </w:tc>
        <w:tc>
          <w:tcPr>
            <w:tcW w:w="1897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213 (79.2)</w:t>
            </w:r>
          </w:p>
        </w:tc>
        <w:tc>
          <w:tcPr>
            <w:tcW w:w="1839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708 (76.0)</w:t>
            </w:r>
          </w:p>
        </w:tc>
        <w:tc>
          <w:tcPr>
            <w:tcW w:w="1028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Type of prescriber (N)</w:t>
            </w:r>
          </w:p>
        </w:tc>
        <w:tc>
          <w:tcPr>
            <w:tcW w:w="1897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39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028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0.108*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General practitioner (861)</w:t>
            </w:r>
          </w:p>
        </w:tc>
        <w:tc>
          <w:tcPr>
            <w:tcW w:w="1897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185 (68.8)</w:t>
            </w:r>
          </w:p>
        </w:tc>
        <w:tc>
          <w:tcPr>
            <w:tcW w:w="1839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676 (72.5)</w:t>
            </w:r>
          </w:p>
        </w:tc>
        <w:tc>
          <w:tcPr>
            <w:tcW w:w="1028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Specialist (37)</w:t>
            </w:r>
          </w:p>
        </w:tc>
        <w:tc>
          <w:tcPr>
            <w:tcW w:w="1897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  5 (1.9)</w:t>
            </w:r>
          </w:p>
        </w:tc>
        <w:tc>
          <w:tcPr>
            <w:tcW w:w="1839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32 (3.4)</w:t>
            </w:r>
          </w:p>
        </w:tc>
        <w:tc>
          <w:tcPr>
            <w:tcW w:w="1028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Unknown (303)</w:t>
            </w:r>
          </w:p>
        </w:tc>
        <w:tc>
          <w:tcPr>
            <w:tcW w:w="1897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79 (29.4)</w:t>
            </w:r>
          </w:p>
        </w:tc>
        <w:tc>
          <w:tcPr>
            <w:tcW w:w="1839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224 (24.0)</w:t>
            </w:r>
          </w:p>
        </w:tc>
        <w:tc>
          <w:tcPr>
            <w:tcW w:w="1028" w:type="dxa"/>
            <w:vAlign w:val="bottom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Duration of persistence, days (N)</w:t>
            </w:r>
          </w:p>
        </w:tc>
        <w:tc>
          <w:tcPr>
            <w:tcW w:w="1897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39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028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&lt;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</w:t>
            </w: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*</w:t>
            </w: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&lt; 90 (640)</w:t>
            </w:r>
          </w:p>
        </w:tc>
        <w:tc>
          <w:tcPr>
            <w:tcW w:w="1897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48 (17.8)</w:t>
            </w:r>
          </w:p>
        </w:tc>
        <w:tc>
          <w:tcPr>
            <w:tcW w:w="1839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592 (63.5)</w:t>
            </w:r>
          </w:p>
        </w:tc>
        <w:tc>
          <w:tcPr>
            <w:tcW w:w="1028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91-180 (168)</w:t>
            </w:r>
          </w:p>
        </w:tc>
        <w:tc>
          <w:tcPr>
            <w:tcW w:w="1897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34 (12.6)</w:t>
            </w:r>
          </w:p>
        </w:tc>
        <w:tc>
          <w:tcPr>
            <w:tcW w:w="1839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134 (14.4)</w:t>
            </w:r>
          </w:p>
        </w:tc>
        <w:tc>
          <w:tcPr>
            <w:tcW w:w="1028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181-270 (100)</w:t>
            </w:r>
          </w:p>
        </w:tc>
        <w:tc>
          <w:tcPr>
            <w:tcW w:w="1897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23 (8.6)</w:t>
            </w:r>
          </w:p>
        </w:tc>
        <w:tc>
          <w:tcPr>
            <w:tcW w:w="1839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 77 (8.3)</w:t>
            </w:r>
          </w:p>
        </w:tc>
        <w:tc>
          <w:tcPr>
            <w:tcW w:w="1028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81F6F" w:rsidRPr="001820B9" w:rsidTr="00E90315">
        <w:trPr>
          <w:jc w:val="center"/>
        </w:trPr>
        <w:tc>
          <w:tcPr>
            <w:tcW w:w="4199" w:type="dxa"/>
            <w:vAlign w:val="bottom"/>
          </w:tcPr>
          <w:p w:rsidR="00D81F6F" w:rsidRPr="001820B9" w:rsidRDefault="00D81F6F" w:rsidP="00E9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&gt;270 (293)</w:t>
            </w:r>
          </w:p>
        </w:tc>
        <w:tc>
          <w:tcPr>
            <w:tcW w:w="1897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164 (61.0)</w:t>
            </w:r>
          </w:p>
        </w:tc>
        <w:tc>
          <w:tcPr>
            <w:tcW w:w="1839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129 (13.8)</w:t>
            </w:r>
          </w:p>
        </w:tc>
        <w:tc>
          <w:tcPr>
            <w:tcW w:w="1028" w:type="dxa"/>
          </w:tcPr>
          <w:p w:rsidR="00D81F6F" w:rsidRPr="001820B9" w:rsidRDefault="00D81F6F" w:rsidP="00E9031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</w:tbl>
    <w:p w:rsidR="00D81F6F" w:rsidRPr="001820B9" w:rsidRDefault="00D81F6F" w:rsidP="00D81F6F">
      <w:pPr>
        <w:spacing w:after="0" w:line="240" w:lineRule="auto"/>
        <w:rPr>
          <w:rFonts w:ascii="Times New Roman" w:eastAsia="Calibri" w:hAnsi="Times New Roman" w:cs="Times New Roman"/>
          <w:lang w:bidi="th-TH"/>
        </w:rPr>
      </w:pPr>
      <w:r>
        <w:rPr>
          <w:rFonts w:ascii="Times New Roman" w:eastAsia="Calibri" w:hAnsi="Times New Roman" w:cs="Times New Roman"/>
          <w:lang w:bidi="th-TH"/>
        </w:rPr>
        <w:t xml:space="preserve">Note: </w:t>
      </w:r>
      <w:r w:rsidRPr="001820B9">
        <w:rPr>
          <w:rFonts w:ascii="Times New Roman" w:eastAsia="Calibri" w:hAnsi="Times New Roman" w:cs="Times New Roman"/>
          <w:lang w:bidi="th-TH"/>
        </w:rPr>
        <w:t>* included in initial multivariate model</w:t>
      </w:r>
    </w:p>
    <w:p w:rsidR="00D81F6F" w:rsidRPr="001820B9" w:rsidRDefault="00D81F6F" w:rsidP="00D81F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th-TH"/>
        </w:rPr>
      </w:pPr>
    </w:p>
    <w:p w:rsidR="002D48AC" w:rsidRDefault="002D48AC">
      <w:bookmarkStart w:id="0" w:name="_GoBack"/>
      <w:bookmarkEnd w:id="0"/>
    </w:p>
    <w:sectPr w:rsidR="002D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6F"/>
    <w:rsid w:val="00022481"/>
    <w:rsid w:val="00022745"/>
    <w:rsid w:val="0005444C"/>
    <w:rsid w:val="00054BB0"/>
    <w:rsid w:val="000569D5"/>
    <w:rsid w:val="000571D2"/>
    <w:rsid w:val="00057C52"/>
    <w:rsid w:val="00062E89"/>
    <w:rsid w:val="0007000B"/>
    <w:rsid w:val="000752DE"/>
    <w:rsid w:val="000B649A"/>
    <w:rsid w:val="000C7E29"/>
    <w:rsid w:val="000D60A6"/>
    <w:rsid w:val="000E12F8"/>
    <w:rsid w:val="000E2F41"/>
    <w:rsid w:val="000E5DCD"/>
    <w:rsid w:val="00140933"/>
    <w:rsid w:val="00142E7A"/>
    <w:rsid w:val="00154E81"/>
    <w:rsid w:val="001655D1"/>
    <w:rsid w:val="001658C4"/>
    <w:rsid w:val="00174237"/>
    <w:rsid w:val="00186C87"/>
    <w:rsid w:val="001A28D9"/>
    <w:rsid w:val="001B58F7"/>
    <w:rsid w:val="001F51F4"/>
    <w:rsid w:val="001F5DA1"/>
    <w:rsid w:val="0022334B"/>
    <w:rsid w:val="002366D2"/>
    <w:rsid w:val="00243667"/>
    <w:rsid w:val="00252496"/>
    <w:rsid w:val="00260DAF"/>
    <w:rsid w:val="002A49A7"/>
    <w:rsid w:val="002B2751"/>
    <w:rsid w:val="002B2D17"/>
    <w:rsid w:val="002C125B"/>
    <w:rsid w:val="002D48AC"/>
    <w:rsid w:val="002E2E49"/>
    <w:rsid w:val="002E378A"/>
    <w:rsid w:val="002F1B0A"/>
    <w:rsid w:val="002F22A3"/>
    <w:rsid w:val="002F69C2"/>
    <w:rsid w:val="00306EBA"/>
    <w:rsid w:val="00327DA4"/>
    <w:rsid w:val="003323EC"/>
    <w:rsid w:val="00341A5D"/>
    <w:rsid w:val="00352442"/>
    <w:rsid w:val="003561AA"/>
    <w:rsid w:val="00360160"/>
    <w:rsid w:val="003604C4"/>
    <w:rsid w:val="003618EA"/>
    <w:rsid w:val="0036472F"/>
    <w:rsid w:val="00385857"/>
    <w:rsid w:val="003C4D6B"/>
    <w:rsid w:val="003C7A94"/>
    <w:rsid w:val="003D5157"/>
    <w:rsid w:val="003D5D75"/>
    <w:rsid w:val="003E1D14"/>
    <w:rsid w:val="003F16E2"/>
    <w:rsid w:val="003F1C23"/>
    <w:rsid w:val="00401B46"/>
    <w:rsid w:val="00401C13"/>
    <w:rsid w:val="00405FF9"/>
    <w:rsid w:val="004073F4"/>
    <w:rsid w:val="00442170"/>
    <w:rsid w:val="00444B51"/>
    <w:rsid w:val="00446A7B"/>
    <w:rsid w:val="0047098A"/>
    <w:rsid w:val="00480F50"/>
    <w:rsid w:val="004A6301"/>
    <w:rsid w:val="004A7D4B"/>
    <w:rsid w:val="004B019E"/>
    <w:rsid w:val="004E5EF3"/>
    <w:rsid w:val="0050307D"/>
    <w:rsid w:val="00506371"/>
    <w:rsid w:val="00510075"/>
    <w:rsid w:val="005119EE"/>
    <w:rsid w:val="005414FF"/>
    <w:rsid w:val="00546D1E"/>
    <w:rsid w:val="00547A26"/>
    <w:rsid w:val="00556CE8"/>
    <w:rsid w:val="005769CF"/>
    <w:rsid w:val="00582775"/>
    <w:rsid w:val="005921C9"/>
    <w:rsid w:val="005A4EC7"/>
    <w:rsid w:val="005A541F"/>
    <w:rsid w:val="005B13C9"/>
    <w:rsid w:val="005D118A"/>
    <w:rsid w:val="005D5562"/>
    <w:rsid w:val="005D55AD"/>
    <w:rsid w:val="005E1918"/>
    <w:rsid w:val="005E590A"/>
    <w:rsid w:val="006024EC"/>
    <w:rsid w:val="00614298"/>
    <w:rsid w:val="00615891"/>
    <w:rsid w:val="006308BE"/>
    <w:rsid w:val="00632D53"/>
    <w:rsid w:val="00647210"/>
    <w:rsid w:val="0068361A"/>
    <w:rsid w:val="00685895"/>
    <w:rsid w:val="00693AF3"/>
    <w:rsid w:val="00693CDB"/>
    <w:rsid w:val="006C4D43"/>
    <w:rsid w:val="006E4901"/>
    <w:rsid w:val="0071038E"/>
    <w:rsid w:val="00717032"/>
    <w:rsid w:val="0073111E"/>
    <w:rsid w:val="007439B6"/>
    <w:rsid w:val="00757B8E"/>
    <w:rsid w:val="00760D8C"/>
    <w:rsid w:val="00760FFC"/>
    <w:rsid w:val="007764CE"/>
    <w:rsid w:val="007B10B1"/>
    <w:rsid w:val="0080304F"/>
    <w:rsid w:val="00811C0E"/>
    <w:rsid w:val="0082681A"/>
    <w:rsid w:val="00842666"/>
    <w:rsid w:val="00842CDE"/>
    <w:rsid w:val="00846A17"/>
    <w:rsid w:val="00857465"/>
    <w:rsid w:val="00863A35"/>
    <w:rsid w:val="008674F0"/>
    <w:rsid w:val="008730F7"/>
    <w:rsid w:val="00881C92"/>
    <w:rsid w:val="00884ED9"/>
    <w:rsid w:val="008A27B7"/>
    <w:rsid w:val="008B3378"/>
    <w:rsid w:val="008D0808"/>
    <w:rsid w:val="008D5937"/>
    <w:rsid w:val="008F34B6"/>
    <w:rsid w:val="008F506E"/>
    <w:rsid w:val="008F5F8A"/>
    <w:rsid w:val="009133CD"/>
    <w:rsid w:val="00930D7C"/>
    <w:rsid w:val="009424A9"/>
    <w:rsid w:val="009717DE"/>
    <w:rsid w:val="009734E0"/>
    <w:rsid w:val="00974386"/>
    <w:rsid w:val="00980EEF"/>
    <w:rsid w:val="00993378"/>
    <w:rsid w:val="00993D2C"/>
    <w:rsid w:val="009B0DB8"/>
    <w:rsid w:val="009B710B"/>
    <w:rsid w:val="009D4E94"/>
    <w:rsid w:val="00A03CB4"/>
    <w:rsid w:val="00A32826"/>
    <w:rsid w:val="00A3368C"/>
    <w:rsid w:val="00A34247"/>
    <w:rsid w:val="00A7239D"/>
    <w:rsid w:val="00A761A5"/>
    <w:rsid w:val="00AA552D"/>
    <w:rsid w:val="00AC5E23"/>
    <w:rsid w:val="00AD225F"/>
    <w:rsid w:val="00AD2E38"/>
    <w:rsid w:val="00AD36B0"/>
    <w:rsid w:val="00B00B52"/>
    <w:rsid w:val="00B05717"/>
    <w:rsid w:val="00B14A17"/>
    <w:rsid w:val="00B14C1D"/>
    <w:rsid w:val="00B342A7"/>
    <w:rsid w:val="00B37BE9"/>
    <w:rsid w:val="00B72EDF"/>
    <w:rsid w:val="00B7604F"/>
    <w:rsid w:val="00B7676F"/>
    <w:rsid w:val="00B8598D"/>
    <w:rsid w:val="00B93197"/>
    <w:rsid w:val="00BA23D2"/>
    <w:rsid w:val="00BA7955"/>
    <w:rsid w:val="00BC308A"/>
    <w:rsid w:val="00BC35A4"/>
    <w:rsid w:val="00BC5703"/>
    <w:rsid w:val="00BD2B11"/>
    <w:rsid w:val="00BD4349"/>
    <w:rsid w:val="00BF1648"/>
    <w:rsid w:val="00C06CBC"/>
    <w:rsid w:val="00C27703"/>
    <w:rsid w:val="00C65276"/>
    <w:rsid w:val="00C70E60"/>
    <w:rsid w:val="00CA1C8B"/>
    <w:rsid w:val="00CA3220"/>
    <w:rsid w:val="00CB5E7A"/>
    <w:rsid w:val="00CE444D"/>
    <w:rsid w:val="00CF7BDB"/>
    <w:rsid w:val="00D06E02"/>
    <w:rsid w:val="00D230AB"/>
    <w:rsid w:val="00D3183E"/>
    <w:rsid w:val="00D46518"/>
    <w:rsid w:val="00D47960"/>
    <w:rsid w:val="00D55521"/>
    <w:rsid w:val="00D709C0"/>
    <w:rsid w:val="00D7267D"/>
    <w:rsid w:val="00D81F6F"/>
    <w:rsid w:val="00D96AD5"/>
    <w:rsid w:val="00DA3972"/>
    <w:rsid w:val="00DA5EB1"/>
    <w:rsid w:val="00DB7D8A"/>
    <w:rsid w:val="00DC7CC7"/>
    <w:rsid w:val="00DD43F0"/>
    <w:rsid w:val="00DE6F8F"/>
    <w:rsid w:val="00DF286E"/>
    <w:rsid w:val="00E151C1"/>
    <w:rsid w:val="00E3020D"/>
    <w:rsid w:val="00E63720"/>
    <w:rsid w:val="00E767BB"/>
    <w:rsid w:val="00E9454F"/>
    <w:rsid w:val="00EA0C40"/>
    <w:rsid w:val="00EA13F9"/>
    <w:rsid w:val="00EB5C3C"/>
    <w:rsid w:val="00EC6484"/>
    <w:rsid w:val="00ED1AE4"/>
    <w:rsid w:val="00ED2616"/>
    <w:rsid w:val="00ED4BAA"/>
    <w:rsid w:val="00EF3EC6"/>
    <w:rsid w:val="00F07765"/>
    <w:rsid w:val="00F15DEF"/>
    <w:rsid w:val="00F70D07"/>
    <w:rsid w:val="00F905C0"/>
    <w:rsid w:val="00FA6D9E"/>
    <w:rsid w:val="00FB3A03"/>
    <w:rsid w:val="00FB40C8"/>
    <w:rsid w:val="00FC7E16"/>
    <w:rsid w:val="00FD560C"/>
    <w:rsid w:val="00FE25DB"/>
    <w:rsid w:val="00FE28C2"/>
    <w:rsid w:val="00FF3B08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822F-0878-4186-9931-F3DF72D7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D81F6F"/>
    <w:pPr>
      <w:spacing w:after="0" w:line="240" w:lineRule="auto"/>
    </w:pPr>
    <w:rPr>
      <w:rFonts w:ascii="Calibri" w:eastAsia="Calibri" w:hAnsi="Calibri" w:cs="Cordia New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8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8EA3D08</Template>
  <TotalTime>0</TotalTime>
  <Pages>1</Pages>
  <Words>212</Words>
  <Characters>1171</Characters>
  <Application>Microsoft Office Word</Application>
  <DocSecurity>0</DocSecurity>
  <Lines>9</Lines>
  <Paragraphs>2</Paragraphs>
  <ScaleCrop>false</ScaleCrop>
  <Company>University of Groningen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S.D. Alfian</dc:creator>
  <cp:keywords/>
  <dc:description/>
  <cp:lastModifiedBy>S.D. Alfian</cp:lastModifiedBy>
  <cp:revision>1</cp:revision>
  <dcterms:created xsi:type="dcterms:W3CDTF">2019-11-07T15:49:00Z</dcterms:created>
  <dcterms:modified xsi:type="dcterms:W3CDTF">2019-11-07T15:49:00Z</dcterms:modified>
</cp:coreProperties>
</file>