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6C" w:rsidRDefault="00E1726C" w:rsidP="00E1726C">
      <w:pPr>
        <w:rPr>
          <w:rFonts w:ascii="Times New Roman" w:hAnsi="Times New Roman" w:cs="Times New Roman"/>
          <w:b/>
          <w:sz w:val="24"/>
          <w:szCs w:val="24"/>
        </w:rPr>
      </w:pPr>
      <w:proofErr w:type="gramStart"/>
      <w:r>
        <w:rPr>
          <w:rFonts w:ascii="Times New Roman" w:hAnsi="Times New Roman" w:cs="Times New Roman"/>
          <w:b/>
          <w:sz w:val="24"/>
          <w:szCs w:val="24"/>
        </w:rPr>
        <w:t>S2 Table.</w:t>
      </w:r>
      <w:proofErr w:type="gramEnd"/>
      <w:r>
        <w:rPr>
          <w:rFonts w:ascii="Times New Roman" w:hAnsi="Times New Roman" w:cs="Times New Roman"/>
          <w:b/>
          <w:sz w:val="24"/>
          <w:szCs w:val="24"/>
        </w:rPr>
        <w:t xml:space="preserve"> Unadjusted association (p value^) of potential confounders (to be considered in generalised linear models) with </w:t>
      </w:r>
      <w:r>
        <w:rPr>
          <w:rFonts w:ascii="Times New Roman" w:hAnsi="Times New Roman" w:cs="Times New Roman"/>
          <w:b/>
          <w:i/>
          <w:sz w:val="24"/>
          <w:szCs w:val="24"/>
        </w:rPr>
        <w:t>Axshya</w:t>
      </w:r>
      <w:r>
        <w:rPr>
          <w:rFonts w:ascii="Times New Roman" w:hAnsi="Times New Roman" w:cs="Times New Roman"/>
          <w:b/>
          <w:sz w:val="24"/>
          <w:szCs w:val="24"/>
        </w:rPr>
        <w:t xml:space="preserve"> </w:t>
      </w:r>
      <w:r>
        <w:rPr>
          <w:rFonts w:ascii="Times New Roman" w:hAnsi="Times New Roman" w:cs="Times New Roman"/>
          <w:b/>
          <w:i/>
          <w:sz w:val="24"/>
          <w:szCs w:val="24"/>
        </w:rPr>
        <w:t>SAMVAD</w:t>
      </w:r>
      <w:r>
        <w:rPr>
          <w:rFonts w:ascii="Times New Roman" w:hAnsi="Times New Roman" w:cs="Times New Roman"/>
          <w:b/>
          <w:sz w:val="24"/>
          <w:szCs w:val="24"/>
        </w:rPr>
        <w:t xml:space="preserve"> exposure (exposure of interest) and various delays* (outcome), </w:t>
      </w:r>
      <w:r>
        <w:rPr>
          <w:rFonts w:ascii="Times New Roman" w:hAnsi="Times New Roman" w:cs="Times New Roman"/>
          <w:b/>
          <w:i/>
          <w:sz w:val="24"/>
          <w:szCs w:val="24"/>
        </w:rPr>
        <w:t>Axshya</w:t>
      </w:r>
      <w:r>
        <w:rPr>
          <w:rFonts w:ascii="Times New Roman" w:hAnsi="Times New Roman" w:cs="Times New Roman"/>
          <w:b/>
          <w:sz w:val="24"/>
          <w:szCs w:val="24"/>
        </w:rPr>
        <w:t xml:space="preserve"> </w:t>
      </w:r>
      <w:r>
        <w:rPr>
          <w:rFonts w:ascii="Times New Roman" w:hAnsi="Times New Roman" w:cs="Times New Roman"/>
          <w:b/>
          <w:i/>
          <w:sz w:val="24"/>
          <w:szCs w:val="24"/>
        </w:rPr>
        <w:t>SAMVAD</w:t>
      </w:r>
      <w:r>
        <w:rPr>
          <w:rFonts w:ascii="Times New Roman" w:hAnsi="Times New Roman" w:cs="Times New Roman"/>
          <w:b/>
          <w:sz w:val="24"/>
          <w:szCs w:val="24"/>
        </w:rPr>
        <w:t xml:space="preserve"> study, India, 2016-17(n=465)</w:t>
      </w:r>
    </w:p>
    <w:tbl>
      <w:tblPr>
        <w:tblStyle w:val="TableGrid"/>
        <w:tblW w:w="10455" w:type="dxa"/>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92"/>
        <w:gridCol w:w="1275"/>
        <w:gridCol w:w="850"/>
        <w:gridCol w:w="1134"/>
        <w:gridCol w:w="992"/>
        <w:gridCol w:w="1418"/>
        <w:gridCol w:w="1418"/>
        <w:gridCol w:w="1276"/>
      </w:tblGrid>
      <w:tr w:rsidR="00E1726C" w:rsidTr="00E1726C">
        <w:trPr>
          <w:trHeight w:val="1238"/>
        </w:trPr>
        <w:tc>
          <w:tcPr>
            <w:tcW w:w="2093" w:type="dxa"/>
            <w:tcBorders>
              <w:top w:val="single" w:sz="4" w:space="0" w:color="auto"/>
              <w:left w:val="nil"/>
              <w:bottom w:val="single" w:sz="4" w:space="0" w:color="auto"/>
              <w:right w:val="nil"/>
            </w:tcBorders>
            <w:hideMark/>
          </w:tcPr>
          <w:p w:rsidR="00E1726C" w:rsidRDefault="00E1726C">
            <w:pPr>
              <w:rPr>
                <w:rFonts w:ascii="Times New Roman" w:hAnsi="Times New Roman" w:cs="Times New Roman"/>
                <w:b/>
              </w:rPr>
            </w:pPr>
            <w:r>
              <w:rPr>
                <w:rFonts w:ascii="Times New Roman" w:hAnsi="Times New Roman" w:cs="Times New Roman"/>
                <w:b/>
              </w:rPr>
              <w:t>Potential confounder**</w:t>
            </w:r>
          </w:p>
        </w:tc>
        <w:tc>
          <w:tcPr>
            <w:tcW w:w="1276" w:type="dxa"/>
            <w:tcBorders>
              <w:top w:val="single" w:sz="4" w:space="0" w:color="auto"/>
              <w:left w:val="nil"/>
              <w:bottom w:val="single" w:sz="4" w:space="0" w:color="auto"/>
              <w:right w:val="nil"/>
            </w:tcBorders>
            <w:hideMark/>
          </w:tcPr>
          <w:p w:rsidR="00E1726C" w:rsidRDefault="00E1726C">
            <w:pPr>
              <w:rPr>
                <w:rFonts w:ascii="Times New Roman" w:hAnsi="Times New Roman" w:cs="Times New Roman"/>
                <w:b/>
              </w:rPr>
            </w:pPr>
            <w:r>
              <w:rPr>
                <w:rFonts w:ascii="Times New Roman" w:hAnsi="Times New Roman" w:cs="Times New Roman"/>
                <w:b/>
                <w:i/>
              </w:rPr>
              <w:t>Axshya</w:t>
            </w:r>
            <w:r>
              <w:rPr>
                <w:rFonts w:ascii="Times New Roman" w:hAnsi="Times New Roman" w:cs="Times New Roman"/>
                <w:b/>
              </w:rPr>
              <w:t xml:space="preserve"> </w:t>
            </w:r>
            <w:r>
              <w:rPr>
                <w:rFonts w:ascii="Times New Roman" w:hAnsi="Times New Roman" w:cs="Times New Roman"/>
                <w:b/>
                <w:i/>
              </w:rPr>
              <w:t>SAMVAD</w:t>
            </w:r>
            <w:r>
              <w:rPr>
                <w:rFonts w:ascii="Times New Roman" w:hAnsi="Times New Roman" w:cs="Times New Roman"/>
                <w:b/>
              </w:rPr>
              <w:t xml:space="preserve"> exposure</w:t>
            </w:r>
          </w:p>
        </w:tc>
        <w:tc>
          <w:tcPr>
            <w:tcW w:w="850" w:type="dxa"/>
            <w:tcBorders>
              <w:top w:val="single" w:sz="4" w:space="0" w:color="auto"/>
              <w:left w:val="nil"/>
              <w:bottom w:val="single" w:sz="4" w:space="0" w:color="auto"/>
              <w:right w:val="nil"/>
            </w:tcBorders>
            <w:hideMark/>
          </w:tcPr>
          <w:p w:rsidR="00E1726C" w:rsidRDefault="00E1726C">
            <w:pPr>
              <w:rPr>
                <w:rFonts w:ascii="Times New Roman" w:hAnsi="Times New Roman" w:cs="Times New Roman"/>
                <w:b/>
              </w:rPr>
            </w:pPr>
            <w:r>
              <w:rPr>
                <w:rFonts w:ascii="Times New Roman" w:hAnsi="Times New Roman" w:cs="Times New Roman"/>
                <w:b/>
              </w:rPr>
              <w:t>Total  delay</w:t>
            </w:r>
          </w:p>
        </w:tc>
        <w:tc>
          <w:tcPr>
            <w:tcW w:w="1134" w:type="dxa"/>
            <w:tcBorders>
              <w:top w:val="single" w:sz="4" w:space="0" w:color="auto"/>
              <w:left w:val="nil"/>
              <w:bottom w:val="single" w:sz="4" w:space="0" w:color="auto"/>
              <w:right w:val="nil"/>
            </w:tcBorders>
            <w:hideMark/>
          </w:tcPr>
          <w:p w:rsidR="00E1726C" w:rsidRDefault="00E1726C">
            <w:pPr>
              <w:rPr>
                <w:rFonts w:ascii="Times New Roman" w:hAnsi="Times New Roman" w:cs="Times New Roman"/>
                <w:b/>
              </w:rPr>
            </w:pPr>
            <w:r>
              <w:rPr>
                <w:rFonts w:ascii="Times New Roman" w:hAnsi="Times New Roman" w:cs="Times New Roman"/>
                <w:b/>
              </w:rPr>
              <w:t>Diagnosis delay</w:t>
            </w:r>
          </w:p>
        </w:tc>
        <w:tc>
          <w:tcPr>
            <w:tcW w:w="992" w:type="dxa"/>
            <w:tcBorders>
              <w:top w:val="single" w:sz="4" w:space="0" w:color="auto"/>
              <w:left w:val="nil"/>
              <w:bottom w:val="single" w:sz="4" w:space="0" w:color="auto"/>
              <w:right w:val="nil"/>
            </w:tcBorders>
            <w:hideMark/>
          </w:tcPr>
          <w:p w:rsidR="00E1726C" w:rsidRDefault="00E1726C">
            <w:pPr>
              <w:rPr>
                <w:rFonts w:ascii="Times New Roman" w:hAnsi="Times New Roman" w:cs="Times New Roman"/>
                <w:b/>
              </w:rPr>
            </w:pPr>
            <w:r>
              <w:rPr>
                <w:rFonts w:ascii="Times New Roman" w:hAnsi="Times New Roman" w:cs="Times New Roman"/>
                <w:b/>
              </w:rPr>
              <w:t>Health system level delay</w:t>
            </w:r>
          </w:p>
        </w:tc>
        <w:tc>
          <w:tcPr>
            <w:tcW w:w="1418" w:type="dxa"/>
            <w:tcBorders>
              <w:top w:val="single" w:sz="4" w:space="0" w:color="auto"/>
              <w:left w:val="nil"/>
              <w:bottom w:val="single" w:sz="4" w:space="0" w:color="auto"/>
              <w:right w:val="nil"/>
            </w:tcBorders>
            <w:hideMark/>
          </w:tcPr>
          <w:p w:rsidR="00E1726C" w:rsidRDefault="00E1726C">
            <w:pPr>
              <w:rPr>
                <w:rFonts w:ascii="Times New Roman" w:hAnsi="Times New Roman" w:cs="Times New Roman"/>
                <w:b/>
              </w:rPr>
            </w:pPr>
            <w:r>
              <w:rPr>
                <w:rFonts w:ascii="Times New Roman" w:hAnsi="Times New Roman" w:cs="Times New Roman"/>
                <w:b/>
              </w:rPr>
              <w:t>Patient level delay</w:t>
            </w:r>
          </w:p>
        </w:tc>
        <w:tc>
          <w:tcPr>
            <w:tcW w:w="1418" w:type="dxa"/>
            <w:tcBorders>
              <w:top w:val="single" w:sz="4" w:space="0" w:color="auto"/>
              <w:left w:val="nil"/>
              <w:bottom w:val="single" w:sz="4" w:space="0" w:color="auto"/>
              <w:right w:val="nil"/>
            </w:tcBorders>
            <w:hideMark/>
          </w:tcPr>
          <w:p w:rsidR="00E1726C" w:rsidRDefault="00E1726C">
            <w:pPr>
              <w:rPr>
                <w:rFonts w:ascii="Times New Roman" w:hAnsi="Times New Roman" w:cs="Times New Roman"/>
                <w:b/>
              </w:rPr>
            </w:pPr>
            <w:r>
              <w:rPr>
                <w:rFonts w:ascii="Times New Roman" w:hAnsi="Times New Roman" w:cs="Times New Roman"/>
                <w:b/>
              </w:rPr>
              <w:t>Health system level diagnosis delay</w:t>
            </w:r>
          </w:p>
        </w:tc>
        <w:tc>
          <w:tcPr>
            <w:tcW w:w="1276" w:type="dxa"/>
            <w:tcBorders>
              <w:top w:val="single" w:sz="4" w:space="0" w:color="auto"/>
              <w:left w:val="nil"/>
              <w:bottom w:val="single" w:sz="4" w:space="0" w:color="auto"/>
              <w:right w:val="nil"/>
            </w:tcBorders>
            <w:hideMark/>
          </w:tcPr>
          <w:p w:rsidR="00E1726C" w:rsidRDefault="00E1726C">
            <w:pPr>
              <w:rPr>
                <w:rFonts w:ascii="Times New Roman" w:hAnsi="Times New Roman" w:cs="Times New Roman"/>
                <w:b/>
              </w:rPr>
            </w:pPr>
            <w:r>
              <w:rPr>
                <w:rFonts w:ascii="Times New Roman" w:hAnsi="Times New Roman" w:cs="Times New Roman"/>
                <w:b/>
              </w:rPr>
              <w:t>Treatment initiation delay</w:t>
            </w:r>
          </w:p>
        </w:tc>
      </w:tr>
      <w:tr w:rsidR="00E1726C" w:rsidTr="00E1726C">
        <w:trPr>
          <w:trHeight w:val="244"/>
        </w:trPr>
        <w:tc>
          <w:tcPr>
            <w:tcW w:w="2093" w:type="dxa"/>
            <w:tcBorders>
              <w:top w:val="single" w:sz="4" w:space="0" w:color="auto"/>
              <w:left w:val="nil"/>
              <w:bottom w:val="nil"/>
              <w:right w:val="nil"/>
            </w:tcBorders>
            <w:hideMark/>
          </w:tcPr>
          <w:p w:rsidR="00E1726C" w:rsidRDefault="00E1726C">
            <w:pPr>
              <w:rPr>
                <w:rFonts w:ascii="Times New Roman" w:hAnsi="Times New Roman" w:cs="Times New Roman"/>
              </w:rPr>
            </w:pPr>
            <w:r>
              <w:rPr>
                <w:rFonts w:ascii="Times New Roman" w:hAnsi="Times New Roman" w:cs="Times New Roman"/>
              </w:rPr>
              <w:t>Age in years</w:t>
            </w:r>
          </w:p>
        </w:tc>
        <w:tc>
          <w:tcPr>
            <w:tcW w:w="1276" w:type="dxa"/>
            <w:tcBorders>
              <w:top w:val="single" w:sz="4" w:space="0" w:color="auto"/>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0.003</w:t>
            </w:r>
          </w:p>
        </w:tc>
        <w:tc>
          <w:tcPr>
            <w:tcW w:w="850" w:type="dxa"/>
            <w:tcBorders>
              <w:top w:val="single" w:sz="4" w:space="0" w:color="auto"/>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0.004</w:t>
            </w:r>
          </w:p>
        </w:tc>
        <w:tc>
          <w:tcPr>
            <w:tcW w:w="1134" w:type="dxa"/>
            <w:tcBorders>
              <w:top w:val="single" w:sz="4" w:space="0" w:color="auto"/>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&lt;0.001</w:t>
            </w:r>
          </w:p>
        </w:tc>
        <w:tc>
          <w:tcPr>
            <w:tcW w:w="992" w:type="dxa"/>
            <w:tcBorders>
              <w:top w:val="single" w:sz="4" w:space="0" w:color="auto"/>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0.740</w:t>
            </w:r>
          </w:p>
        </w:tc>
        <w:tc>
          <w:tcPr>
            <w:tcW w:w="1418" w:type="dxa"/>
            <w:tcBorders>
              <w:top w:val="single" w:sz="4" w:space="0" w:color="auto"/>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0.001</w:t>
            </w:r>
          </w:p>
        </w:tc>
        <w:tc>
          <w:tcPr>
            <w:tcW w:w="1418" w:type="dxa"/>
            <w:tcBorders>
              <w:top w:val="single" w:sz="4" w:space="0" w:color="auto"/>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0.400</w:t>
            </w:r>
          </w:p>
        </w:tc>
        <w:tc>
          <w:tcPr>
            <w:tcW w:w="1276" w:type="dxa"/>
            <w:tcBorders>
              <w:top w:val="single" w:sz="4" w:space="0" w:color="auto"/>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0.076</w:t>
            </w:r>
          </w:p>
        </w:tc>
      </w:tr>
      <w:tr w:rsidR="00E1726C" w:rsidTr="00E1726C">
        <w:trPr>
          <w:trHeight w:val="228"/>
        </w:trPr>
        <w:tc>
          <w:tcPr>
            <w:tcW w:w="2093" w:type="dxa"/>
            <w:tcBorders>
              <w:top w:val="nil"/>
              <w:left w:val="nil"/>
              <w:bottom w:val="nil"/>
              <w:right w:val="nil"/>
            </w:tcBorders>
            <w:hideMark/>
          </w:tcPr>
          <w:p w:rsidR="00E1726C" w:rsidRDefault="00E1726C">
            <w:pPr>
              <w:rPr>
                <w:rFonts w:ascii="Times New Roman" w:hAnsi="Times New Roman" w:cs="Times New Roman"/>
              </w:rPr>
            </w:pPr>
            <w:r>
              <w:rPr>
                <w:rFonts w:ascii="Times New Roman" w:hAnsi="Times New Roman" w:cs="Times New Roman"/>
              </w:rPr>
              <w:t>Gender</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0.721</w:t>
            </w:r>
          </w:p>
        </w:tc>
        <w:tc>
          <w:tcPr>
            <w:tcW w:w="850"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0.667</w:t>
            </w:r>
          </w:p>
        </w:tc>
        <w:tc>
          <w:tcPr>
            <w:tcW w:w="1134"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0.597</w:t>
            </w:r>
          </w:p>
        </w:tc>
        <w:tc>
          <w:tcPr>
            <w:tcW w:w="992"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0.046</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0.145</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0.093</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0.103</w:t>
            </w:r>
          </w:p>
        </w:tc>
      </w:tr>
      <w:tr w:rsidR="00E1726C" w:rsidTr="00E1726C">
        <w:trPr>
          <w:trHeight w:val="505"/>
        </w:trPr>
        <w:tc>
          <w:tcPr>
            <w:tcW w:w="2093" w:type="dxa"/>
            <w:tcBorders>
              <w:top w:val="nil"/>
              <w:left w:val="nil"/>
              <w:bottom w:val="nil"/>
              <w:right w:val="nil"/>
            </w:tcBorders>
            <w:hideMark/>
          </w:tcPr>
          <w:p w:rsidR="00E1726C" w:rsidRDefault="00E1726C">
            <w:pPr>
              <w:rPr>
                <w:rFonts w:ascii="Times New Roman" w:hAnsi="Times New Roman" w:cs="Times New Roman"/>
              </w:rPr>
            </w:pPr>
            <w:r>
              <w:rPr>
                <w:rFonts w:ascii="Times New Roman" w:hAnsi="Times New Roman" w:cs="Times New Roman"/>
              </w:rPr>
              <w:t>Residence (urban/rural)</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&lt;0.001</w:t>
            </w:r>
          </w:p>
        </w:tc>
        <w:tc>
          <w:tcPr>
            <w:tcW w:w="850"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0.160</w:t>
            </w:r>
          </w:p>
        </w:tc>
        <w:tc>
          <w:tcPr>
            <w:tcW w:w="1134"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0.380</w:t>
            </w:r>
          </w:p>
        </w:tc>
        <w:tc>
          <w:tcPr>
            <w:tcW w:w="992"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0.354</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0.696</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0.015</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0.021</w:t>
            </w:r>
          </w:p>
        </w:tc>
      </w:tr>
      <w:tr w:rsidR="00E1726C" w:rsidTr="00E1726C">
        <w:trPr>
          <w:trHeight w:val="228"/>
        </w:trPr>
        <w:tc>
          <w:tcPr>
            <w:tcW w:w="2093" w:type="dxa"/>
            <w:tcBorders>
              <w:top w:val="nil"/>
              <w:left w:val="nil"/>
              <w:bottom w:val="nil"/>
              <w:right w:val="nil"/>
            </w:tcBorders>
            <w:hideMark/>
          </w:tcPr>
          <w:p w:rsidR="00E1726C" w:rsidRDefault="00E1726C">
            <w:pPr>
              <w:rPr>
                <w:rFonts w:ascii="Times New Roman" w:hAnsi="Times New Roman" w:cs="Times New Roman"/>
              </w:rPr>
            </w:pPr>
            <w:r>
              <w:rPr>
                <w:rFonts w:ascii="Times New Roman" w:hAnsi="Times New Roman" w:cs="Times New Roman"/>
              </w:rPr>
              <w:t>Education</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&lt;0.001</w:t>
            </w:r>
          </w:p>
        </w:tc>
        <w:tc>
          <w:tcPr>
            <w:tcW w:w="850"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&lt;0.001</w:t>
            </w:r>
          </w:p>
        </w:tc>
        <w:tc>
          <w:tcPr>
            <w:tcW w:w="1134"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&lt;0.001</w:t>
            </w:r>
          </w:p>
        </w:tc>
        <w:tc>
          <w:tcPr>
            <w:tcW w:w="992"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0.022</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0.273</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0.145</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0.014</w:t>
            </w:r>
          </w:p>
        </w:tc>
      </w:tr>
      <w:tr w:rsidR="00E1726C" w:rsidTr="00E1726C">
        <w:trPr>
          <w:trHeight w:val="244"/>
        </w:trPr>
        <w:tc>
          <w:tcPr>
            <w:tcW w:w="2093" w:type="dxa"/>
            <w:tcBorders>
              <w:top w:val="nil"/>
              <w:left w:val="nil"/>
              <w:bottom w:val="nil"/>
              <w:right w:val="nil"/>
            </w:tcBorders>
            <w:hideMark/>
          </w:tcPr>
          <w:p w:rsidR="00E1726C" w:rsidRDefault="00E1726C">
            <w:pPr>
              <w:rPr>
                <w:rFonts w:ascii="Times New Roman" w:hAnsi="Times New Roman" w:cs="Times New Roman"/>
              </w:rPr>
            </w:pPr>
            <w:r>
              <w:rPr>
                <w:rFonts w:ascii="Times New Roman" w:hAnsi="Times New Roman" w:cs="Times New Roman"/>
              </w:rPr>
              <w:t>Occupation</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0.283</w:t>
            </w:r>
          </w:p>
        </w:tc>
        <w:tc>
          <w:tcPr>
            <w:tcW w:w="850"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0.002</w:t>
            </w:r>
          </w:p>
        </w:tc>
        <w:tc>
          <w:tcPr>
            <w:tcW w:w="1134"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0.006</w:t>
            </w:r>
          </w:p>
        </w:tc>
        <w:tc>
          <w:tcPr>
            <w:tcW w:w="992"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&lt;0.001</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0.629</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0.009</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0.041</w:t>
            </w:r>
          </w:p>
        </w:tc>
      </w:tr>
      <w:tr w:rsidR="00E1726C" w:rsidTr="00E1726C">
        <w:trPr>
          <w:trHeight w:val="131"/>
        </w:trPr>
        <w:tc>
          <w:tcPr>
            <w:tcW w:w="2093" w:type="dxa"/>
            <w:tcBorders>
              <w:top w:val="nil"/>
              <w:left w:val="nil"/>
              <w:bottom w:val="nil"/>
              <w:right w:val="nil"/>
            </w:tcBorders>
            <w:hideMark/>
          </w:tcPr>
          <w:p w:rsidR="00E1726C" w:rsidRDefault="00E1726C">
            <w:pPr>
              <w:rPr>
                <w:rFonts w:ascii="Times New Roman" w:hAnsi="Times New Roman" w:cs="Times New Roman"/>
              </w:rPr>
            </w:pPr>
            <w:r>
              <w:rPr>
                <w:rFonts w:ascii="Times New Roman" w:hAnsi="Times New Roman" w:cs="Times New Roman"/>
              </w:rPr>
              <w:t xml:space="preserve">Monthly income per capita </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0.001</w:t>
            </w:r>
          </w:p>
        </w:tc>
        <w:tc>
          <w:tcPr>
            <w:tcW w:w="850"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0.248</w:t>
            </w:r>
          </w:p>
        </w:tc>
        <w:tc>
          <w:tcPr>
            <w:tcW w:w="1134"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0.346</w:t>
            </w:r>
          </w:p>
        </w:tc>
        <w:tc>
          <w:tcPr>
            <w:tcW w:w="992"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0.787</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0.599</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0.232</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&lt;0.001</w:t>
            </w:r>
          </w:p>
        </w:tc>
      </w:tr>
      <w:tr w:rsidR="00E1726C" w:rsidTr="00E1726C">
        <w:trPr>
          <w:trHeight w:val="213"/>
        </w:trPr>
        <w:tc>
          <w:tcPr>
            <w:tcW w:w="2093" w:type="dxa"/>
            <w:tcBorders>
              <w:top w:val="nil"/>
              <w:left w:val="nil"/>
              <w:bottom w:val="nil"/>
              <w:right w:val="nil"/>
            </w:tcBorders>
            <w:hideMark/>
          </w:tcPr>
          <w:p w:rsidR="00E1726C" w:rsidRDefault="00E1726C">
            <w:pPr>
              <w:rPr>
                <w:rFonts w:ascii="Times New Roman" w:hAnsi="Times New Roman" w:cs="Times New Roman"/>
              </w:rPr>
            </w:pPr>
            <w:r>
              <w:rPr>
                <w:rFonts w:ascii="Times New Roman" w:hAnsi="Times New Roman" w:cs="Times New Roman"/>
              </w:rPr>
              <w:t>TB in household (ever)</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0.321</w:t>
            </w:r>
          </w:p>
        </w:tc>
        <w:tc>
          <w:tcPr>
            <w:tcW w:w="850"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0.418</w:t>
            </w:r>
          </w:p>
        </w:tc>
        <w:tc>
          <w:tcPr>
            <w:tcW w:w="1134"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0.937</w:t>
            </w:r>
          </w:p>
        </w:tc>
        <w:tc>
          <w:tcPr>
            <w:tcW w:w="992"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0.844</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0.100</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0.236</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0.749</w:t>
            </w:r>
          </w:p>
        </w:tc>
      </w:tr>
      <w:tr w:rsidR="00E1726C" w:rsidTr="00E1726C">
        <w:trPr>
          <w:trHeight w:val="231"/>
        </w:trPr>
        <w:tc>
          <w:tcPr>
            <w:tcW w:w="2093" w:type="dxa"/>
            <w:tcBorders>
              <w:top w:val="nil"/>
              <w:left w:val="nil"/>
              <w:bottom w:val="nil"/>
              <w:right w:val="nil"/>
            </w:tcBorders>
            <w:hideMark/>
          </w:tcPr>
          <w:p w:rsidR="00E1726C" w:rsidRDefault="00E1726C">
            <w:pPr>
              <w:rPr>
                <w:rFonts w:ascii="Times New Roman" w:hAnsi="Times New Roman" w:cs="Times New Roman"/>
              </w:rPr>
            </w:pPr>
            <w:r>
              <w:rPr>
                <w:rFonts w:ascii="Times New Roman" w:hAnsi="Times New Roman" w:cs="Times New Roman"/>
              </w:rPr>
              <w:t>TB death in household (ever)</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0.704</w:t>
            </w:r>
          </w:p>
        </w:tc>
        <w:tc>
          <w:tcPr>
            <w:tcW w:w="850"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0.344</w:t>
            </w:r>
          </w:p>
        </w:tc>
        <w:tc>
          <w:tcPr>
            <w:tcW w:w="1134"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0.804</w:t>
            </w:r>
          </w:p>
        </w:tc>
        <w:tc>
          <w:tcPr>
            <w:tcW w:w="992"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0.142</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0.780</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0.292</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0.688</w:t>
            </w:r>
          </w:p>
        </w:tc>
      </w:tr>
      <w:tr w:rsidR="00E1726C" w:rsidTr="00E1726C">
        <w:trPr>
          <w:trHeight w:val="119"/>
        </w:trPr>
        <w:tc>
          <w:tcPr>
            <w:tcW w:w="2093" w:type="dxa"/>
            <w:tcBorders>
              <w:top w:val="nil"/>
              <w:left w:val="nil"/>
              <w:bottom w:val="nil"/>
              <w:right w:val="nil"/>
            </w:tcBorders>
            <w:hideMark/>
          </w:tcPr>
          <w:p w:rsidR="00E1726C" w:rsidRDefault="00E1726C">
            <w:pPr>
              <w:rPr>
                <w:rFonts w:ascii="Times New Roman" w:hAnsi="Times New Roman" w:cs="Times New Roman"/>
              </w:rPr>
            </w:pPr>
            <w:r>
              <w:rPr>
                <w:rFonts w:ascii="Times New Roman" w:hAnsi="Times New Roman" w:cs="Times New Roman"/>
              </w:rPr>
              <w:t>Alcohol use</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0.419</w:t>
            </w:r>
          </w:p>
        </w:tc>
        <w:tc>
          <w:tcPr>
            <w:tcW w:w="850"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0.059</w:t>
            </w:r>
          </w:p>
        </w:tc>
        <w:tc>
          <w:tcPr>
            <w:tcW w:w="1134"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0.074</w:t>
            </w:r>
          </w:p>
        </w:tc>
        <w:tc>
          <w:tcPr>
            <w:tcW w:w="992"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0.755</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0.862</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0.600</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0.864</w:t>
            </w:r>
          </w:p>
        </w:tc>
      </w:tr>
      <w:tr w:rsidR="00E1726C" w:rsidTr="00E1726C">
        <w:trPr>
          <w:trHeight w:val="244"/>
        </w:trPr>
        <w:tc>
          <w:tcPr>
            <w:tcW w:w="2093" w:type="dxa"/>
            <w:tcBorders>
              <w:top w:val="nil"/>
              <w:left w:val="nil"/>
              <w:bottom w:val="nil"/>
              <w:right w:val="nil"/>
            </w:tcBorders>
            <w:hideMark/>
          </w:tcPr>
          <w:p w:rsidR="00E1726C" w:rsidRDefault="00E1726C">
            <w:pPr>
              <w:rPr>
                <w:rFonts w:ascii="Times New Roman" w:hAnsi="Times New Roman" w:cs="Times New Roman"/>
              </w:rPr>
            </w:pPr>
            <w:r>
              <w:rPr>
                <w:rFonts w:ascii="Times New Roman" w:hAnsi="Times New Roman" w:cs="Times New Roman"/>
              </w:rPr>
              <w:t>Smoking</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0.122</w:t>
            </w:r>
          </w:p>
        </w:tc>
        <w:tc>
          <w:tcPr>
            <w:tcW w:w="850"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0.705</w:t>
            </w:r>
          </w:p>
        </w:tc>
        <w:tc>
          <w:tcPr>
            <w:tcW w:w="1134"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0.766</w:t>
            </w:r>
          </w:p>
        </w:tc>
        <w:tc>
          <w:tcPr>
            <w:tcW w:w="992"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0.512</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0.850</w:t>
            </w:r>
          </w:p>
        </w:tc>
        <w:tc>
          <w:tcPr>
            <w:tcW w:w="1418"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0.486</w:t>
            </w:r>
          </w:p>
        </w:tc>
        <w:tc>
          <w:tcPr>
            <w:tcW w:w="1276" w:type="dxa"/>
            <w:tcBorders>
              <w:top w:val="nil"/>
              <w:left w:val="nil"/>
              <w:bottom w:val="nil"/>
              <w:right w:val="nil"/>
            </w:tcBorders>
            <w:hideMark/>
          </w:tcPr>
          <w:p w:rsidR="00E1726C" w:rsidRDefault="00E1726C">
            <w:pPr>
              <w:jc w:val="right"/>
              <w:rPr>
                <w:rFonts w:ascii="Times New Roman" w:hAnsi="Times New Roman" w:cs="Times New Roman"/>
              </w:rPr>
            </w:pPr>
            <w:r>
              <w:rPr>
                <w:rFonts w:ascii="Times New Roman" w:hAnsi="Times New Roman" w:cs="Times New Roman"/>
              </w:rPr>
              <w:t>0.667</w:t>
            </w:r>
          </w:p>
        </w:tc>
      </w:tr>
      <w:tr w:rsidR="00E1726C" w:rsidTr="00E1726C">
        <w:trPr>
          <w:trHeight w:val="547"/>
        </w:trPr>
        <w:tc>
          <w:tcPr>
            <w:tcW w:w="2093" w:type="dxa"/>
            <w:tcBorders>
              <w:top w:val="nil"/>
              <w:left w:val="nil"/>
              <w:bottom w:val="single" w:sz="4" w:space="0" w:color="auto"/>
              <w:right w:val="nil"/>
            </w:tcBorders>
            <w:hideMark/>
          </w:tcPr>
          <w:p w:rsidR="00E1726C" w:rsidRDefault="00E1726C">
            <w:pPr>
              <w:rPr>
                <w:rFonts w:ascii="Times New Roman" w:hAnsi="Times New Roman" w:cs="Times New Roman"/>
              </w:rPr>
            </w:pPr>
            <w:r>
              <w:rPr>
                <w:rFonts w:ascii="Times New Roman" w:hAnsi="Times New Roman" w:cs="Times New Roman"/>
              </w:rPr>
              <w:t>Distance from nearest DMC in km</w:t>
            </w:r>
          </w:p>
        </w:tc>
        <w:tc>
          <w:tcPr>
            <w:tcW w:w="1276" w:type="dxa"/>
            <w:tcBorders>
              <w:top w:val="nil"/>
              <w:left w:val="nil"/>
              <w:bottom w:val="single" w:sz="4" w:space="0" w:color="auto"/>
              <w:right w:val="nil"/>
            </w:tcBorders>
            <w:hideMark/>
          </w:tcPr>
          <w:p w:rsidR="00E1726C" w:rsidRDefault="00E1726C">
            <w:pPr>
              <w:jc w:val="right"/>
              <w:rPr>
                <w:rFonts w:ascii="Times New Roman" w:hAnsi="Times New Roman" w:cs="Times New Roman"/>
              </w:rPr>
            </w:pPr>
            <w:r>
              <w:rPr>
                <w:rFonts w:ascii="Times New Roman" w:hAnsi="Times New Roman" w:cs="Times New Roman"/>
              </w:rPr>
              <w:t>0.090</w:t>
            </w:r>
          </w:p>
        </w:tc>
        <w:tc>
          <w:tcPr>
            <w:tcW w:w="850" w:type="dxa"/>
            <w:tcBorders>
              <w:top w:val="nil"/>
              <w:left w:val="nil"/>
              <w:bottom w:val="single" w:sz="4" w:space="0" w:color="auto"/>
              <w:right w:val="nil"/>
            </w:tcBorders>
            <w:hideMark/>
          </w:tcPr>
          <w:p w:rsidR="00E1726C" w:rsidRDefault="00E1726C">
            <w:pPr>
              <w:jc w:val="right"/>
              <w:rPr>
                <w:rFonts w:ascii="Times New Roman" w:hAnsi="Times New Roman" w:cs="Times New Roman"/>
              </w:rPr>
            </w:pPr>
            <w:r>
              <w:rPr>
                <w:rFonts w:ascii="Times New Roman" w:hAnsi="Times New Roman" w:cs="Times New Roman"/>
              </w:rPr>
              <w:t>0.021</w:t>
            </w:r>
          </w:p>
        </w:tc>
        <w:tc>
          <w:tcPr>
            <w:tcW w:w="1134" w:type="dxa"/>
            <w:tcBorders>
              <w:top w:val="nil"/>
              <w:left w:val="nil"/>
              <w:bottom w:val="single" w:sz="4" w:space="0" w:color="auto"/>
              <w:right w:val="nil"/>
            </w:tcBorders>
            <w:hideMark/>
          </w:tcPr>
          <w:p w:rsidR="00E1726C" w:rsidRDefault="00E1726C">
            <w:pPr>
              <w:jc w:val="right"/>
              <w:rPr>
                <w:rFonts w:ascii="Times New Roman" w:hAnsi="Times New Roman" w:cs="Times New Roman"/>
              </w:rPr>
            </w:pPr>
            <w:r>
              <w:rPr>
                <w:rFonts w:ascii="Times New Roman" w:hAnsi="Times New Roman" w:cs="Times New Roman"/>
              </w:rPr>
              <w:t>0.027</w:t>
            </w:r>
          </w:p>
        </w:tc>
        <w:tc>
          <w:tcPr>
            <w:tcW w:w="992" w:type="dxa"/>
            <w:tcBorders>
              <w:top w:val="nil"/>
              <w:left w:val="nil"/>
              <w:bottom w:val="single" w:sz="4" w:space="0" w:color="auto"/>
              <w:right w:val="nil"/>
            </w:tcBorders>
            <w:hideMark/>
          </w:tcPr>
          <w:p w:rsidR="00E1726C" w:rsidRDefault="00E1726C">
            <w:pPr>
              <w:jc w:val="right"/>
              <w:rPr>
                <w:rFonts w:ascii="Times New Roman" w:hAnsi="Times New Roman" w:cs="Times New Roman"/>
              </w:rPr>
            </w:pPr>
            <w:r>
              <w:rPr>
                <w:rFonts w:ascii="Times New Roman" w:hAnsi="Times New Roman" w:cs="Times New Roman"/>
              </w:rPr>
              <w:t>0.018</w:t>
            </w:r>
          </w:p>
        </w:tc>
        <w:tc>
          <w:tcPr>
            <w:tcW w:w="1418" w:type="dxa"/>
            <w:tcBorders>
              <w:top w:val="nil"/>
              <w:left w:val="nil"/>
              <w:bottom w:val="single" w:sz="4" w:space="0" w:color="auto"/>
              <w:right w:val="nil"/>
            </w:tcBorders>
            <w:hideMark/>
          </w:tcPr>
          <w:p w:rsidR="00E1726C" w:rsidRDefault="00E1726C">
            <w:pPr>
              <w:jc w:val="right"/>
              <w:rPr>
                <w:rFonts w:ascii="Times New Roman" w:hAnsi="Times New Roman" w:cs="Times New Roman"/>
              </w:rPr>
            </w:pPr>
            <w:r>
              <w:rPr>
                <w:rFonts w:ascii="Times New Roman" w:hAnsi="Times New Roman" w:cs="Times New Roman"/>
              </w:rPr>
              <w:t>0.116</w:t>
            </w:r>
          </w:p>
        </w:tc>
        <w:tc>
          <w:tcPr>
            <w:tcW w:w="1418" w:type="dxa"/>
            <w:tcBorders>
              <w:top w:val="nil"/>
              <w:left w:val="nil"/>
              <w:bottom w:val="single" w:sz="4" w:space="0" w:color="auto"/>
              <w:right w:val="nil"/>
            </w:tcBorders>
            <w:hideMark/>
          </w:tcPr>
          <w:p w:rsidR="00E1726C" w:rsidRDefault="00E1726C">
            <w:pPr>
              <w:jc w:val="right"/>
              <w:rPr>
                <w:rFonts w:ascii="Times New Roman" w:hAnsi="Times New Roman" w:cs="Times New Roman"/>
              </w:rPr>
            </w:pPr>
            <w:r>
              <w:rPr>
                <w:rFonts w:ascii="Times New Roman" w:hAnsi="Times New Roman" w:cs="Times New Roman"/>
              </w:rPr>
              <w:t>0.115</w:t>
            </w:r>
          </w:p>
        </w:tc>
        <w:tc>
          <w:tcPr>
            <w:tcW w:w="1276" w:type="dxa"/>
            <w:tcBorders>
              <w:top w:val="nil"/>
              <w:left w:val="nil"/>
              <w:bottom w:val="single" w:sz="4" w:space="0" w:color="auto"/>
              <w:right w:val="nil"/>
            </w:tcBorders>
            <w:hideMark/>
          </w:tcPr>
          <w:p w:rsidR="00E1726C" w:rsidRDefault="00E1726C">
            <w:pPr>
              <w:jc w:val="right"/>
              <w:rPr>
                <w:rFonts w:ascii="Times New Roman" w:hAnsi="Times New Roman" w:cs="Times New Roman"/>
              </w:rPr>
            </w:pPr>
            <w:r>
              <w:rPr>
                <w:rFonts w:ascii="Times New Roman" w:hAnsi="Times New Roman" w:cs="Times New Roman"/>
              </w:rPr>
              <w:t>0.041</w:t>
            </w:r>
          </w:p>
        </w:tc>
      </w:tr>
    </w:tbl>
    <w:p w:rsidR="00E1726C" w:rsidRDefault="00E1726C" w:rsidP="00E1726C">
      <w:pPr>
        <w:spacing w:after="0" w:line="240" w:lineRule="auto"/>
        <w:rPr>
          <w:rFonts w:ascii="Times New Roman" w:hAnsi="Times New Roman" w:cs="Times New Roman"/>
          <w:i/>
        </w:rPr>
      </w:pPr>
    </w:p>
    <w:p w:rsidR="00E1726C" w:rsidRDefault="00E1726C" w:rsidP="00E1726C">
      <w:pPr>
        <w:spacing w:after="0" w:line="240" w:lineRule="auto"/>
        <w:rPr>
          <w:rFonts w:ascii="Times New Roman" w:hAnsi="Times New Roman" w:cs="Times New Roman"/>
        </w:rPr>
      </w:pPr>
      <w:r>
        <w:rPr>
          <w:rFonts w:ascii="Times New Roman" w:hAnsi="Times New Roman" w:cs="Times New Roman"/>
        </w:rPr>
        <w:t>TB – tuberculosis; SAMVAD – sensitization and advocacy in marginalised and vulnerable areas of the district (an active case finding strategy)</w:t>
      </w:r>
    </w:p>
    <w:p w:rsidR="00E1726C" w:rsidRDefault="00E1726C" w:rsidP="00E1726C">
      <w:pPr>
        <w:spacing w:after="0" w:line="240" w:lineRule="auto"/>
        <w:rPr>
          <w:rFonts w:ascii="Times New Roman" w:hAnsi="Times New Roman" w:cs="Times New Roman"/>
        </w:rPr>
      </w:pPr>
      <w:r>
        <w:rPr>
          <w:rFonts w:ascii="Times New Roman" w:hAnsi="Times New Roman" w:cs="Times New Roman"/>
        </w:rPr>
        <w:t>^Mann Whitney U test or unpaired t test or Chi square test was used as appropriate</w:t>
      </w:r>
    </w:p>
    <w:p w:rsidR="00E1726C" w:rsidRDefault="00E1726C" w:rsidP="00E1726C">
      <w:pPr>
        <w:spacing w:after="0" w:line="240" w:lineRule="auto"/>
        <w:rPr>
          <w:rFonts w:ascii="Times New Roman" w:hAnsi="Times New Roman" w:cs="Times New Roman"/>
        </w:rPr>
      </w:pPr>
      <w:r>
        <w:rPr>
          <w:rFonts w:ascii="Times New Roman" w:hAnsi="Times New Roman" w:cs="Times New Roman"/>
        </w:rPr>
        <w:t>*patient level delay from date of eligibility for sputum examination to first health care provider visited; health system level diagnosis delay from date of first health care provider visited to diagnosis; treatment initiation delay from date of diagnosis to treatment initiation. Outcome of interest was delay more than or equal to median</w:t>
      </w:r>
    </w:p>
    <w:p w:rsidR="00E1726C" w:rsidRDefault="00E1726C" w:rsidP="00E1726C">
      <w:pPr>
        <w:spacing w:after="0" w:line="240" w:lineRule="auto"/>
        <w:rPr>
          <w:rFonts w:ascii="Times New Roman" w:hAnsi="Times New Roman" w:cs="Times New Roman"/>
          <w:sz w:val="20"/>
        </w:rPr>
      </w:pPr>
      <w:r>
        <w:rPr>
          <w:rFonts w:ascii="Times New Roman" w:hAnsi="Times New Roman" w:cs="Times New Roman"/>
          <w:szCs w:val="24"/>
        </w:rPr>
        <w:t xml:space="preserve">** </w:t>
      </w:r>
      <w:proofErr w:type="gramStart"/>
      <w:r>
        <w:rPr>
          <w:rFonts w:ascii="Times New Roman" w:hAnsi="Times New Roman" w:cs="Times New Roman"/>
          <w:szCs w:val="24"/>
        </w:rPr>
        <w:t>sputum</w:t>
      </w:r>
      <w:proofErr w:type="gramEnd"/>
      <w:r>
        <w:rPr>
          <w:rFonts w:ascii="Times New Roman" w:hAnsi="Times New Roman" w:cs="Times New Roman"/>
          <w:szCs w:val="24"/>
        </w:rPr>
        <w:t xml:space="preserve"> smear status; and history of weight loss, fever or haemoptysis were excluded as we do not expect these to confound the association between Axshya SAMVAD and delay. Rather it is the other way around: delay in diagnosis results in severe sputum grade and clinical features and presentation. Variables in the causal pathway between Axshya SAMVAD and delay (first health care provider type, number of health care providers visited) were also excluded. Diabetes (large data missing) and HIV status (only one was positive) were also not considered for the adjusted analysis.</w:t>
      </w:r>
    </w:p>
    <w:p w:rsidR="00C63365" w:rsidRDefault="00C63365">
      <w:bookmarkStart w:id="0" w:name="_GoBack"/>
      <w:bookmarkEnd w:id="0"/>
    </w:p>
    <w:sectPr w:rsidR="00C63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65"/>
    <w:rsid w:val="00C63365"/>
    <w:rsid w:val="00E172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2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2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1914</Characters>
  <Application>Microsoft Office Word</Application>
  <DocSecurity>0</DocSecurity>
  <Lines>15</Lines>
  <Paragraphs>4</Paragraphs>
  <ScaleCrop>false</ScaleCrop>
  <Company>Hewlett-Packard Company</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 Shewade</dc:creator>
  <cp:keywords/>
  <dc:description/>
  <cp:lastModifiedBy>Hemant Shewade</cp:lastModifiedBy>
  <cp:revision>2</cp:revision>
  <dcterms:created xsi:type="dcterms:W3CDTF">2019-03-01T06:53:00Z</dcterms:created>
  <dcterms:modified xsi:type="dcterms:W3CDTF">2019-03-01T06:55:00Z</dcterms:modified>
</cp:coreProperties>
</file>