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F0" w:rsidRPr="000232D9" w:rsidRDefault="00C42AF0" w:rsidP="00C42AF0">
      <w:pPr>
        <w:ind w:firstLine="0"/>
        <w:rPr>
          <w:b/>
          <w:bCs/>
        </w:rPr>
      </w:pPr>
      <w:r w:rsidRPr="0072217F">
        <w:rPr>
          <w:b/>
          <w:bCs/>
        </w:rPr>
        <w:t xml:space="preserve">Table 1. </w:t>
      </w:r>
      <w:bookmarkStart w:id="0" w:name="_Hlk529614471"/>
      <w:r w:rsidR="00E57069">
        <w:rPr>
          <w:b/>
          <w:bCs/>
        </w:rPr>
        <w:t>Comparison of b</w:t>
      </w:r>
      <w:r w:rsidRPr="0072217F">
        <w:rPr>
          <w:b/>
          <w:bCs/>
        </w:rPr>
        <w:t>log post</w:t>
      </w:r>
      <w:r w:rsidR="00BF6B6E">
        <w:rPr>
          <w:b/>
          <w:bCs/>
        </w:rPr>
        <w:t xml:space="preserve"> efficacy ratings</w:t>
      </w:r>
      <w:r w:rsidRPr="0072217F">
        <w:rPr>
          <w:b/>
          <w:bCs/>
        </w:rPr>
        <w:t xml:space="preserve"> in the pilot study.</w:t>
      </w:r>
      <w:bookmarkStart w:id="1" w:name="_GoBack"/>
      <w:bookmarkEnd w:id="0"/>
      <w:bookmarkEnd w:id="1"/>
    </w:p>
    <w:tbl>
      <w:tblPr>
        <w:tblW w:w="144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70" w:type="dxa"/>
          <w:bottom w:w="15" w:type="dxa"/>
          <w:right w:w="70" w:type="dxa"/>
        </w:tblCellMar>
        <w:tblLook w:val="04A0" w:firstRow="1" w:lastRow="0" w:firstColumn="1" w:lastColumn="0" w:noHBand="0" w:noVBand="1"/>
      </w:tblPr>
      <w:tblGrid>
        <w:gridCol w:w="3544"/>
        <w:gridCol w:w="960"/>
        <w:gridCol w:w="829"/>
        <w:gridCol w:w="829"/>
        <w:gridCol w:w="830"/>
        <w:gridCol w:w="829"/>
        <w:gridCol w:w="829"/>
        <w:gridCol w:w="830"/>
        <w:gridCol w:w="829"/>
        <w:gridCol w:w="829"/>
        <w:gridCol w:w="830"/>
        <w:gridCol w:w="829"/>
        <w:gridCol w:w="829"/>
        <w:gridCol w:w="830"/>
      </w:tblGrid>
      <w:tr w:rsidR="00C42AF0" w:rsidRPr="00F05A34" w:rsidTr="000232D9">
        <w:trPr>
          <w:trHeight w:val="900"/>
        </w:trPr>
        <w:tc>
          <w:tcPr>
            <w:tcW w:w="3544"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en-US" w:eastAsia="de-AT"/>
              </w:rPr>
            </w:pPr>
          </w:p>
        </w:tc>
        <w:tc>
          <w:tcPr>
            <w:tcW w:w="960"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en-US" w:eastAsia="de-AT"/>
              </w:rPr>
            </w:pPr>
          </w:p>
        </w:tc>
        <w:tc>
          <w:tcPr>
            <w:tcW w:w="3317" w:type="dxa"/>
            <w:gridSpan w:val="4"/>
            <w:vAlign w:val="center"/>
            <w:hideMark/>
          </w:tcPr>
          <w:p w:rsidR="00C42AF0" w:rsidRPr="000232D9" w:rsidRDefault="00C42AF0" w:rsidP="000232D9">
            <w:pPr>
              <w:suppressAutoHyphens w:val="0"/>
              <w:spacing w:after="0" w:line="240" w:lineRule="auto"/>
              <w:ind w:firstLine="0"/>
              <w:jc w:val="center"/>
              <w:rPr>
                <w:rFonts w:eastAsia="Times New Roman"/>
                <w:b/>
                <w:bCs/>
                <w:color w:val="000000"/>
                <w:sz w:val="20"/>
                <w:szCs w:val="20"/>
                <w:lang w:val="en-US" w:eastAsia="de-AT"/>
              </w:rPr>
            </w:pPr>
            <w:r w:rsidRPr="000232D9">
              <w:rPr>
                <w:rFonts w:eastAsia="Times New Roman"/>
                <w:b/>
                <w:bCs/>
                <w:color w:val="000000"/>
                <w:sz w:val="20"/>
                <w:szCs w:val="20"/>
                <w:lang w:val="en-US" w:eastAsia="de-AT"/>
              </w:rPr>
              <w:t>“The blog post is convincing regarding treatment efficacy.”</w:t>
            </w:r>
          </w:p>
        </w:tc>
        <w:tc>
          <w:tcPr>
            <w:tcW w:w="3317" w:type="dxa"/>
            <w:gridSpan w:val="4"/>
            <w:vAlign w:val="center"/>
            <w:hideMark/>
          </w:tcPr>
          <w:p w:rsidR="00C42AF0" w:rsidRPr="000232D9" w:rsidRDefault="00C42AF0" w:rsidP="000232D9">
            <w:pPr>
              <w:suppressAutoHyphens w:val="0"/>
              <w:spacing w:after="0" w:line="240" w:lineRule="auto"/>
              <w:ind w:firstLine="0"/>
              <w:jc w:val="center"/>
              <w:rPr>
                <w:rFonts w:eastAsia="Times New Roman"/>
                <w:b/>
                <w:bCs/>
                <w:color w:val="000000"/>
                <w:sz w:val="20"/>
                <w:szCs w:val="20"/>
                <w:lang w:val="en-US" w:eastAsia="de-AT"/>
              </w:rPr>
            </w:pPr>
            <w:r w:rsidRPr="000232D9">
              <w:rPr>
                <w:rFonts w:eastAsia="Times New Roman"/>
                <w:b/>
                <w:bCs/>
                <w:color w:val="000000"/>
                <w:sz w:val="20"/>
                <w:szCs w:val="20"/>
                <w:lang w:val="en-US" w:eastAsia="de-AT"/>
              </w:rPr>
              <w:t>“The blog post is comprehensible”</w:t>
            </w:r>
          </w:p>
        </w:tc>
        <w:tc>
          <w:tcPr>
            <w:tcW w:w="3318" w:type="dxa"/>
            <w:gridSpan w:val="4"/>
            <w:vAlign w:val="center"/>
            <w:hideMark/>
          </w:tcPr>
          <w:p w:rsidR="00C42AF0" w:rsidRPr="000232D9" w:rsidRDefault="00C42AF0" w:rsidP="000232D9">
            <w:pPr>
              <w:suppressAutoHyphens w:val="0"/>
              <w:spacing w:after="0" w:line="240" w:lineRule="auto"/>
              <w:ind w:firstLine="0"/>
              <w:jc w:val="center"/>
              <w:rPr>
                <w:rFonts w:eastAsia="Times New Roman"/>
                <w:b/>
                <w:bCs/>
                <w:color w:val="000000"/>
                <w:sz w:val="20"/>
                <w:szCs w:val="20"/>
                <w:lang w:val="en-US" w:eastAsia="de-AT"/>
              </w:rPr>
            </w:pPr>
            <w:r w:rsidRPr="000232D9">
              <w:rPr>
                <w:rFonts w:eastAsia="Times New Roman"/>
                <w:b/>
                <w:bCs/>
                <w:color w:val="000000"/>
                <w:sz w:val="20"/>
                <w:szCs w:val="20"/>
                <w:lang w:val="en-US" w:eastAsia="de-AT"/>
              </w:rPr>
              <w:t>“The quality of the arguments in the blog post is very high.”</w:t>
            </w:r>
          </w:p>
        </w:tc>
      </w:tr>
      <w:tr w:rsidR="00C42AF0" w:rsidRPr="00F05A34" w:rsidTr="000232D9">
        <w:trPr>
          <w:trHeight w:val="81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i/>
                <w:iCs/>
                <w:color w:val="000000"/>
                <w:sz w:val="20"/>
                <w:szCs w:val="20"/>
                <w:lang w:val="de-AT" w:eastAsia="de-AT"/>
              </w:rPr>
            </w:pPr>
            <w:r w:rsidRPr="000232D9">
              <w:rPr>
                <w:rFonts w:eastAsia="Times New Roman"/>
                <w:i/>
                <w:iCs/>
                <w:color w:val="000000"/>
                <w:sz w:val="20"/>
                <w:szCs w:val="20"/>
                <w:lang w:val="de-AT" w:eastAsia="de-AT"/>
              </w:rPr>
              <w:t>Treatment</w:t>
            </w:r>
          </w:p>
        </w:tc>
        <w:tc>
          <w:tcPr>
            <w:tcW w:w="960" w:type="dxa"/>
            <w:vAlign w:val="bottom"/>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 xml:space="preserve">Blog Post </w:t>
            </w:r>
            <w:proofErr w:type="spellStart"/>
            <w:r w:rsidRPr="000232D9">
              <w:rPr>
                <w:rFonts w:eastAsia="Times New Roman"/>
                <w:i/>
                <w:iCs/>
                <w:color w:val="000000"/>
                <w:sz w:val="20"/>
                <w:szCs w:val="20"/>
                <w:lang w:val="de-AT" w:eastAsia="de-AT"/>
              </w:rPr>
              <w:t>Number</w:t>
            </w:r>
            <w:proofErr w:type="spellEnd"/>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Mean</w:t>
            </w:r>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SD</w:t>
            </w:r>
          </w:p>
        </w:tc>
        <w:tc>
          <w:tcPr>
            <w:tcW w:w="830"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t</w:t>
            </w:r>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p</w:t>
            </w:r>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Mean</w:t>
            </w:r>
          </w:p>
        </w:tc>
        <w:tc>
          <w:tcPr>
            <w:tcW w:w="830"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SD</w:t>
            </w:r>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t</w:t>
            </w:r>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p</w:t>
            </w:r>
          </w:p>
        </w:tc>
        <w:tc>
          <w:tcPr>
            <w:tcW w:w="830"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Mean</w:t>
            </w:r>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SD</w:t>
            </w:r>
          </w:p>
        </w:tc>
        <w:tc>
          <w:tcPr>
            <w:tcW w:w="829"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t</w:t>
            </w:r>
          </w:p>
        </w:tc>
        <w:tc>
          <w:tcPr>
            <w:tcW w:w="830" w:type="dxa"/>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p</w:t>
            </w: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Behavrioural</w:t>
            </w:r>
            <w:proofErr w:type="spellEnd"/>
            <w:r w:rsidRPr="000232D9">
              <w:rPr>
                <w:rFonts w:eastAsia="Times New Roman"/>
                <w:color w:val="000000"/>
                <w:sz w:val="20"/>
                <w:szCs w:val="20"/>
                <w:lang w:val="de-AT" w:eastAsia="de-AT"/>
              </w:rPr>
              <w:t xml:space="preserve"> Therapy</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5.44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1.16</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6.25</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5.19</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right="208" w:firstLine="0"/>
              <w:rPr>
                <w:rFonts w:eastAsia="Times New Roman"/>
                <w:color w:val="000000"/>
                <w:sz w:val="20"/>
                <w:szCs w:val="20"/>
                <w:lang w:val="de-AT" w:eastAsia="de-AT"/>
              </w:rPr>
            </w:pPr>
            <w:r w:rsidRPr="000232D9">
              <w:rPr>
                <w:rFonts w:eastAsia="Times New Roman"/>
                <w:color w:val="000000"/>
                <w:sz w:val="20"/>
                <w:szCs w:val="20"/>
                <w:lang w:val="de-AT" w:eastAsia="de-AT"/>
              </w:rPr>
              <w:t>MAO Inhibitors</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1.490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.1463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6.31</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-0.32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.7512</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4.53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1.996</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.0548</w:t>
            </w: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960"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Interpersonal Therapy</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5.09</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1.44</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4.94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Serotonin-Inhibitors</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1.44</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0.303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.7636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5.66</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.2272</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4.41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1.503</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.1430</w:t>
            </w: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960"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Interpersonal Therapy</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4.97</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1.28</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6.28</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0.85</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Tricyclic</w:t>
            </w:r>
            <w:proofErr w:type="spellEnd"/>
            <w:r w:rsidRPr="000232D9">
              <w:rPr>
                <w:rFonts w:eastAsia="Times New Roman"/>
                <w:color w:val="000000"/>
                <w:sz w:val="20"/>
                <w:szCs w:val="20"/>
                <w:lang w:val="de-AT" w:eastAsia="de-AT"/>
              </w:rPr>
              <w:t xml:space="preserve"> </w:t>
            </w:r>
            <w:proofErr w:type="spellStart"/>
            <w:r w:rsidRPr="000232D9">
              <w:rPr>
                <w:rFonts w:eastAsia="Times New Roman"/>
                <w:color w:val="000000"/>
                <w:sz w:val="20"/>
                <w:szCs w:val="20"/>
                <w:lang w:val="de-AT" w:eastAsia="de-AT"/>
              </w:rPr>
              <w:t>Antidepressants</w:t>
            </w:r>
            <w:proofErr w:type="spellEnd"/>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1.68</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-0.102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.9194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6.25</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0.17</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.8650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1.73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0.000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.9990</w:t>
            </w: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960"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Person-</w:t>
            </w:r>
            <w:proofErr w:type="spellStart"/>
            <w:r w:rsidRPr="000232D9">
              <w:rPr>
                <w:rFonts w:eastAsia="Times New Roman"/>
                <w:color w:val="000000"/>
                <w:sz w:val="20"/>
                <w:szCs w:val="20"/>
                <w:lang w:val="de-AT" w:eastAsia="de-AT"/>
              </w:rPr>
              <w:t>Centered</w:t>
            </w:r>
            <w:proofErr w:type="spellEnd"/>
            <w:r w:rsidRPr="000232D9">
              <w:rPr>
                <w:rFonts w:eastAsia="Times New Roman"/>
                <w:color w:val="000000"/>
                <w:sz w:val="20"/>
                <w:szCs w:val="20"/>
                <w:lang w:val="de-AT" w:eastAsia="de-AT"/>
              </w:rPr>
              <w:t xml:space="preserve"> Therapy</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4.97</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1.47</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1.05</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4.56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Tetracyclic</w:t>
            </w:r>
            <w:proofErr w:type="spellEnd"/>
            <w:r w:rsidRPr="000232D9">
              <w:rPr>
                <w:rFonts w:eastAsia="Times New Roman"/>
                <w:color w:val="000000"/>
                <w:sz w:val="20"/>
                <w:szCs w:val="20"/>
                <w:lang w:val="de-AT" w:eastAsia="de-AT"/>
              </w:rPr>
              <w:t xml:space="preserve"> </w:t>
            </w:r>
            <w:proofErr w:type="spellStart"/>
            <w:r w:rsidRPr="000232D9">
              <w:rPr>
                <w:rFonts w:eastAsia="Times New Roman"/>
                <w:color w:val="000000"/>
                <w:sz w:val="20"/>
                <w:szCs w:val="20"/>
                <w:lang w:val="de-AT" w:eastAsia="de-AT"/>
              </w:rPr>
              <w:t>Antidepressants</w:t>
            </w:r>
            <w:proofErr w:type="spellEnd"/>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1.21</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1.186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.2446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1.19</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.9990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4.44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1.41</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0.383</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.7041</w:t>
            </w: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960"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Person-</w:t>
            </w:r>
            <w:proofErr w:type="spellStart"/>
            <w:r w:rsidRPr="000232D9">
              <w:rPr>
                <w:rFonts w:eastAsia="Times New Roman"/>
                <w:color w:val="000000"/>
                <w:sz w:val="20"/>
                <w:szCs w:val="20"/>
                <w:lang w:val="de-AT" w:eastAsia="de-AT"/>
              </w:rPr>
              <w:t>Centered</w:t>
            </w:r>
            <w:proofErr w:type="spellEnd"/>
            <w:r w:rsidRPr="000232D9">
              <w:rPr>
                <w:rFonts w:eastAsia="Times New Roman"/>
                <w:color w:val="000000"/>
                <w:sz w:val="20"/>
                <w:szCs w:val="20"/>
                <w:lang w:val="de-AT" w:eastAsia="de-AT"/>
              </w:rPr>
              <w:t xml:space="preserve"> Therapy</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1.34</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6.25</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4.69</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1.65</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Serotonin-Inhibitors</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5.50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1.27</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-2.033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.0507</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6.25</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0.88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.9990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5.16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-1.507</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.1419</w:t>
            </w: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960"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Psychodynamic</w:t>
            </w:r>
            <w:proofErr w:type="spellEnd"/>
            <w:r w:rsidRPr="000232D9">
              <w:rPr>
                <w:rFonts w:eastAsia="Times New Roman"/>
                <w:color w:val="000000"/>
                <w:sz w:val="20"/>
                <w:szCs w:val="20"/>
                <w:lang w:val="de-AT" w:eastAsia="de-AT"/>
              </w:rPr>
              <w:t xml:space="preserve"> Therapy</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4.50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1.61</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5.94</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1.05</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4.03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1.84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Serotonin-Inhibitors</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4.72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1.17</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-0.960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.3443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6.06</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-0.58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.5637</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4.22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1.74</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-0.692</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.4942</w:t>
            </w: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960" w:type="dxa"/>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Gestalt Therapy</w:t>
            </w:r>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5.16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1.27</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6.25</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0.95</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29"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4.75</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1.37</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30" w:type="dxa"/>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3544" w:type="dxa"/>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Tetracyclic</w:t>
            </w:r>
            <w:proofErr w:type="spellEnd"/>
            <w:r w:rsidRPr="000232D9">
              <w:rPr>
                <w:rFonts w:eastAsia="Times New Roman"/>
                <w:color w:val="000000"/>
                <w:sz w:val="20"/>
                <w:szCs w:val="20"/>
                <w:lang w:val="de-AT" w:eastAsia="de-AT"/>
              </w:rPr>
              <w:t xml:space="preserve"> </w:t>
            </w:r>
            <w:proofErr w:type="spellStart"/>
            <w:r w:rsidRPr="000232D9">
              <w:rPr>
                <w:rFonts w:eastAsia="Times New Roman"/>
                <w:color w:val="000000"/>
                <w:sz w:val="20"/>
                <w:szCs w:val="20"/>
                <w:lang w:val="de-AT" w:eastAsia="de-AT"/>
              </w:rPr>
              <w:t>Antidepressants</w:t>
            </w:r>
            <w:proofErr w:type="spellEnd"/>
          </w:p>
        </w:tc>
        <w:tc>
          <w:tcPr>
            <w:tcW w:w="96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5.06</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1.44</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0.373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.7118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6.25</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0.00</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.9990</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4.78</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1.43</w:t>
            </w:r>
          </w:p>
        </w:tc>
        <w:tc>
          <w:tcPr>
            <w:tcW w:w="829"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-0.111</w:t>
            </w:r>
          </w:p>
        </w:tc>
        <w:tc>
          <w:tcPr>
            <w:tcW w:w="830" w:type="dxa"/>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.9125</w:t>
            </w:r>
          </w:p>
        </w:tc>
      </w:tr>
    </w:tbl>
    <w:p w:rsidR="00C42AF0" w:rsidRDefault="00C42AF0">
      <w:r>
        <w:br w:type="page"/>
      </w:r>
    </w:p>
    <w:tbl>
      <w:tblPr>
        <w:tblW w:w="13640" w:type="dxa"/>
        <w:tblLayout w:type="fixed"/>
        <w:tblCellMar>
          <w:top w:w="15" w:type="dxa"/>
          <w:left w:w="70" w:type="dxa"/>
          <w:bottom w:w="15" w:type="dxa"/>
          <w:right w:w="70" w:type="dxa"/>
        </w:tblCellMar>
        <w:tblLook w:val="04A0" w:firstRow="1" w:lastRow="0" w:firstColumn="1" w:lastColumn="0" w:noHBand="0" w:noVBand="1"/>
      </w:tblPr>
      <w:tblGrid>
        <w:gridCol w:w="2835"/>
        <w:gridCol w:w="1134"/>
        <w:gridCol w:w="805"/>
        <w:gridCol w:w="806"/>
        <w:gridCol w:w="806"/>
        <w:gridCol w:w="806"/>
        <w:gridCol w:w="806"/>
        <w:gridCol w:w="806"/>
        <w:gridCol w:w="806"/>
        <w:gridCol w:w="806"/>
        <w:gridCol w:w="806"/>
        <w:gridCol w:w="806"/>
        <w:gridCol w:w="806"/>
        <w:gridCol w:w="806"/>
      </w:tblGrid>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r w:rsidRPr="00F05A34">
              <w:rPr>
                <w:sz w:val="20"/>
                <w:szCs w:val="20"/>
              </w:rPr>
              <w:lastRenderedPageBreak/>
              <w:br w:type="page"/>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3223" w:type="dxa"/>
            <w:gridSpan w:val="4"/>
            <w:tcBorders>
              <w:top w:val="single" w:sz="2" w:space="0" w:color="auto"/>
              <w:left w:val="single" w:sz="2" w:space="0" w:color="auto"/>
              <w:bottom w:val="single" w:sz="2" w:space="0" w:color="auto"/>
              <w:right w:val="single" w:sz="2" w:space="0" w:color="auto"/>
            </w:tcBorders>
            <w:vAlign w:val="center"/>
            <w:hideMark/>
          </w:tcPr>
          <w:p w:rsidR="00C42AF0" w:rsidRPr="00835185" w:rsidRDefault="00C42AF0" w:rsidP="000232D9">
            <w:pPr>
              <w:suppressAutoHyphens w:val="0"/>
              <w:spacing w:after="0" w:line="240" w:lineRule="auto"/>
              <w:ind w:firstLine="0"/>
              <w:jc w:val="center"/>
              <w:rPr>
                <w:rFonts w:eastAsia="Times New Roman"/>
                <w:b/>
                <w:bCs/>
                <w:color w:val="000000"/>
                <w:sz w:val="20"/>
                <w:szCs w:val="20"/>
                <w:lang w:val="en-US" w:eastAsia="de-AT"/>
              </w:rPr>
            </w:pPr>
            <w:r w:rsidRPr="00835185">
              <w:rPr>
                <w:rFonts w:eastAsia="Times New Roman"/>
                <w:b/>
                <w:bCs/>
                <w:color w:val="000000"/>
                <w:sz w:val="20"/>
                <w:szCs w:val="20"/>
                <w:lang w:val="en-US" w:eastAsia="de-AT"/>
              </w:rPr>
              <w:t>“The blog post is convincing regarding treatment efficacy.”</w:t>
            </w:r>
          </w:p>
        </w:tc>
        <w:tc>
          <w:tcPr>
            <w:tcW w:w="3224" w:type="dxa"/>
            <w:gridSpan w:val="4"/>
            <w:tcBorders>
              <w:top w:val="single" w:sz="2" w:space="0" w:color="auto"/>
              <w:left w:val="single" w:sz="2" w:space="0" w:color="auto"/>
              <w:bottom w:val="single" w:sz="2" w:space="0" w:color="auto"/>
              <w:right w:val="single" w:sz="2" w:space="0" w:color="auto"/>
            </w:tcBorders>
            <w:vAlign w:val="center"/>
            <w:hideMark/>
          </w:tcPr>
          <w:p w:rsidR="00C42AF0" w:rsidRPr="00835185" w:rsidRDefault="00C42AF0" w:rsidP="000232D9">
            <w:pPr>
              <w:suppressAutoHyphens w:val="0"/>
              <w:spacing w:after="0" w:line="240" w:lineRule="auto"/>
              <w:ind w:firstLine="0"/>
              <w:jc w:val="center"/>
              <w:rPr>
                <w:rFonts w:eastAsia="Times New Roman"/>
                <w:b/>
                <w:bCs/>
                <w:color w:val="000000"/>
                <w:sz w:val="20"/>
                <w:szCs w:val="20"/>
                <w:lang w:val="en-US" w:eastAsia="de-AT"/>
              </w:rPr>
            </w:pPr>
            <w:r w:rsidRPr="00835185">
              <w:rPr>
                <w:rFonts w:eastAsia="Times New Roman"/>
                <w:b/>
                <w:bCs/>
                <w:color w:val="000000"/>
                <w:sz w:val="20"/>
                <w:szCs w:val="20"/>
                <w:lang w:val="en-US" w:eastAsia="de-AT"/>
              </w:rPr>
              <w:t>“The blog post is comprehensible”</w:t>
            </w:r>
          </w:p>
        </w:tc>
        <w:tc>
          <w:tcPr>
            <w:tcW w:w="3224" w:type="dxa"/>
            <w:gridSpan w:val="4"/>
            <w:tcBorders>
              <w:top w:val="single" w:sz="2" w:space="0" w:color="auto"/>
              <w:left w:val="single" w:sz="2" w:space="0" w:color="auto"/>
              <w:bottom w:val="single" w:sz="2" w:space="0" w:color="auto"/>
              <w:right w:val="single" w:sz="2" w:space="0" w:color="auto"/>
            </w:tcBorders>
            <w:vAlign w:val="center"/>
            <w:hideMark/>
          </w:tcPr>
          <w:p w:rsidR="00C42AF0" w:rsidRPr="00835185" w:rsidRDefault="00C42AF0" w:rsidP="000232D9">
            <w:pPr>
              <w:suppressAutoHyphens w:val="0"/>
              <w:spacing w:after="0" w:line="240" w:lineRule="auto"/>
              <w:ind w:firstLine="0"/>
              <w:jc w:val="center"/>
              <w:rPr>
                <w:rFonts w:eastAsia="Times New Roman"/>
                <w:b/>
                <w:bCs/>
                <w:color w:val="000000"/>
                <w:sz w:val="20"/>
                <w:szCs w:val="20"/>
                <w:lang w:val="en-US" w:eastAsia="de-AT"/>
              </w:rPr>
            </w:pPr>
            <w:r w:rsidRPr="00835185">
              <w:rPr>
                <w:rFonts w:eastAsia="Times New Roman"/>
                <w:b/>
                <w:bCs/>
                <w:color w:val="000000"/>
                <w:sz w:val="20"/>
                <w:szCs w:val="20"/>
                <w:lang w:val="en-US" w:eastAsia="de-AT"/>
              </w:rPr>
              <w:t>“The quality of the arguments in the blog post is very high.”</w:t>
            </w:r>
          </w:p>
        </w:tc>
      </w:tr>
      <w:tr w:rsidR="00C42AF0" w:rsidRPr="00F05A34" w:rsidTr="000232D9">
        <w:trPr>
          <w:trHeight w:val="484"/>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i/>
                <w:iCs/>
                <w:color w:val="000000"/>
                <w:sz w:val="20"/>
                <w:szCs w:val="20"/>
                <w:lang w:val="de-AT" w:eastAsia="de-AT"/>
              </w:rPr>
            </w:pPr>
            <w:r w:rsidRPr="000232D9">
              <w:rPr>
                <w:rFonts w:eastAsia="Times New Roman"/>
                <w:i/>
                <w:iCs/>
                <w:color w:val="000000"/>
                <w:sz w:val="20"/>
                <w:szCs w:val="20"/>
                <w:lang w:val="de-AT" w:eastAsia="de-AT"/>
              </w:rPr>
              <w:t>Treatment</w:t>
            </w:r>
          </w:p>
        </w:tc>
        <w:tc>
          <w:tcPr>
            <w:tcW w:w="1134" w:type="dxa"/>
            <w:tcBorders>
              <w:top w:val="single" w:sz="2" w:space="0" w:color="auto"/>
              <w:left w:val="single" w:sz="2" w:space="0" w:color="auto"/>
              <w:bottom w:val="single" w:sz="2" w:space="0" w:color="auto"/>
              <w:right w:val="single" w:sz="2" w:space="0" w:color="auto"/>
            </w:tcBorders>
            <w:vAlign w:val="bottom"/>
            <w:hideMark/>
          </w:tcPr>
          <w:p w:rsidR="00C42AF0" w:rsidRPr="00835185"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 xml:space="preserve">Blog Post </w:t>
            </w:r>
            <w:proofErr w:type="spellStart"/>
            <w:r w:rsidRPr="000232D9">
              <w:rPr>
                <w:rFonts w:eastAsia="Times New Roman"/>
                <w:i/>
                <w:iCs/>
                <w:color w:val="000000"/>
                <w:sz w:val="20"/>
                <w:szCs w:val="20"/>
                <w:lang w:val="de-AT" w:eastAsia="de-AT"/>
              </w:rPr>
              <w:t>Number</w:t>
            </w:r>
            <w:proofErr w:type="spellEnd"/>
          </w:p>
        </w:tc>
        <w:tc>
          <w:tcPr>
            <w:tcW w:w="805"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Mean</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SD</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t</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p</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Mean</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SD</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t</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p</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Mean</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SD</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t</w:t>
            </w:r>
          </w:p>
        </w:tc>
        <w:tc>
          <w:tcPr>
            <w:tcW w:w="806" w:type="dxa"/>
            <w:tcBorders>
              <w:top w:val="single" w:sz="2" w:space="0" w:color="auto"/>
              <w:left w:val="single" w:sz="2" w:space="0" w:color="auto"/>
              <w:bottom w:val="single" w:sz="2" w:space="0" w:color="auto"/>
              <w:right w:val="single" w:sz="2" w:space="0" w:color="auto"/>
            </w:tcBorders>
            <w:noWrap/>
            <w:vAlign w:val="center"/>
            <w:hideMark/>
          </w:tcPr>
          <w:p w:rsidR="00C42AF0" w:rsidRPr="000232D9" w:rsidRDefault="00C42AF0" w:rsidP="000232D9">
            <w:pPr>
              <w:suppressAutoHyphens w:val="0"/>
              <w:spacing w:after="0" w:line="240" w:lineRule="auto"/>
              <w:ind w:firstLine="0"/>
              <w:jc w:val="center"/>
              <w:rPr>
                <w:rFonts w:eastAsia="Times New Roman"/>
                <w:i/>
                <w:iCs/>
                <w:color w:val="000000"/>
                <w:sz w:val="20"/>
                <w:szCs w:val="20"/>
                <w:lang w:val="de-AT" w:eastAsia="de-AT"/>
              </w:rPr>
            </w:pPr>
            <w:r w:rsidRPr="000232D9">
              <w:rPr>
                <w:rFonts w:eastAsia="Times New Roman"/>
                <w:i/>
                <w:iCs/>
                <w:color w:val="000000"/>
                <w:sz w:val="20"/>
                <w:szCs w:val="20"/>
                <w:lang w:val="de-AT" w:eastAsia="de-AT"/>
              </w:rPr>
              <w:t>p</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Gestalt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5.19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6.19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4.88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Tricyclic</w:t>
            </w:r>
            <w:proofErr w:type="spellEnd"/>
            <w:r w:rsidRPr="000232D9">
              <w:rPr>
                <w:rFonts w:eastAsia="Times New Roman"/>
                <w:color w:val="000000"/>
                <w:sz w:val="20"/>
                <w:szCs w:val="20"/>
                <w:lang w:val="de-AT" w:eastAsia="de-AT"/>
              </w:rPr>
              <w:t xml:space="preserve"> </w:t>
            </w:r>
            <w:proofErr w:type="spellStart"/>
            <w:r w:rsidRPr="000232D9">
              <w:rPr>
                <w:rFonts w:eastAsia="Times New Roman"/>
                <w:color w:val="000000"/>
                <w:sz w:val="20"/>
                <w:szCs w:val="20"/>
                <w:lang w:val="de-AT" w:eastAsia="de-AT"/>
              </w:rPr>
              <w:t>Antidepressants</w:t>
            </w:r>
            <w:proofErr w:type="spellEnd"/>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1.910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.0655</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0.95</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0.60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.5549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4.41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1.557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.1297</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Behavrioural</w:t>
            </w:r>
            <w:proofErr w:type="spellEnd"/>
            <w:r w:rsidRPr="000232D9">
              <w:rPr>
                <w:rFonts w:eastAsia="Times New Roman"/>
                <w:color w:val="000000"/>
                <w:sz w:val="20"/>
                <w:szCs w:val="20"/>
                <w:lang w:val="de-AT" w:eastAsia="de-AT"/>
              </w:rPr>
              <w:t xml:space="preserve">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5.47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6.34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0.83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5.19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Noradrenalin Inhibitors</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3.498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.0014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6.12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1.05</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.3041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4.34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2.862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.0075</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Behavrioural</w:t>
            </w:r>
            <w:proofErr w:type="spellEnd"/>
            <w:r w:rsidRPr="000232D9">
              <w:rPr>
                <w:rFonts w:eastAsia="Times New Roman"/>
                <w:color w:val="000000"/>
                <w:sz w:val="20"/>
                <w:szCs w:val="20"/>
                <w:lang w:val="de-AT" w:eastAsia="de-AT"/>
              </w:rPr>
              <w:t xml:space="preserve">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5.34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6.19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4.84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Tetracyclic</w:t>
            </w:r>
            <w:proofErr w:type="spellEnd"/>
            <w:r w:rsidRPr="000232D9">
              <w:rPr>
                <w:rFonts w:eastAsia="Times New Roman"/>
                <w:color w:val="000000"/>
                <w:sz w:val="20"/>
                <w:szCs w:val="20"/>
                <w:lang w:val="de-AT" w:eastAsia="de-AT"/>
              </w:rPr>
              <w:t xml:space="preserve"> </w:t>
            </w:r>
            <w:proofErr w:type="spellStart"/>
            <w:r w:rsidRPr="000232D9">
              <w:rPr>
                <w:rFonts w:eastAsia="Times New Roman"/>
                <w:color w:val="000000"/>
                <w:sz w:val="20"/>
                <w:szCs w:val="20"/>
                <w:lang w:val="de-AT" w:eastAsia="de-AT"/>
              </w:rPr>
              <w:t>Antidepressants</w:t>
            </w:r>
            <w:proofErr w:type="spellEnd"/>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5.12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1.000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.3251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5.97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.2138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4.78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0.232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.8179</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Psychodynamic</w:t>
            </w:r>
            <w:proofErr w:type="spellEnd"/>
            <w:r w:rsidRPr="000232D9">
              <w:rPr>
                <w:rFonts w:eastAsia="Times New Roman"/>
                <w:color w:val="000000"/>
                <w:sz w:val="20"/>
                <w:szCs w:val="20"/>
                <w:lang w:val="de-AT" w:eastAsia="de-AT"/>
              </w:rPr>
              <w:t xml:space="preserve">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4.16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4.81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3.84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Noradrenalin Inhibitors</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-1.856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.0730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5.62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-3.18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.0034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4.19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-1.098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.2806</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Interpersonal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4.22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1.77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MAO Inhibitors</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4.97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0.453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.6536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5.66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1.16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.2552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4.25</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-0.106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.9166</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Person-</w:t>
            </w:r>
            <w:proofErr w:type="spellStart"/>
            <w:r w:rsidRPr="000232D9">
              <w:rPr>
                <w:rFonts w:eastAsia="Times New Roman"/>
                <w:color w:val="000000"/>
                <w:sz w:val="20"/>
                <w:szCs w:val="20"/>
                <w:lang w:val="de-AT" w:eastAsia="de-AT"/>
              </w:rPr>
              <w:t>Centered</w:t>
            </w:r>
            <w:proofErr w:type="spellEnd"/>
            <w:r w:rsidRPr="000232D9">
              <w:rPr>
                <w:rFonts w:eastAsia="Times New Roman"/>
                <w:color w:val="000000"/>
                <w:sz w:val="20"/>
                <w:szCs w:val="20"/>
                <w:lang w:val="de-AT" w:eastAsia="de-AT"/>
              </w:rPr>
              <w:t xml:space="preserve">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5.12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4.66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Tricyclic</w:t>
            </w:r>
            <w:proofErr w:type="spellEnd"/>
            <w:r w:rsidRPr="000232D9">
              <w:rPr>
                <w:rFonts w:eastAsia="Times New Roman"/>
                <w:color w:val="000000"/>
                <w:sz w:val="20"/>
                <w:szCs w:val="20"/>
                <w:lang w:val="de-AT" w:eastAsia="de-AT"/>
              </w:rPr>
              <w:t xml:space="preserve"> </w:t>
            </w:r>
            <w:proofErr w:type="spellStart"/>
            <w:r w:rsidRPr="000232D9">
              <w:rPr>
                <w:rFonts w:eastAsia="Times New Roman"/>
                <w:color w:val="000000"/>
                <w:sz w:val="20"/>
                <w:szCs w:val="20"/>
                <w:lang w:val="de-AT" w:eastAsia="de-AT"/>
              </w:rPr>
              <w:t>Antidepressants</w:t>
            </w:r>
            <w:proofErr w:type="spellEnd"/>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0.220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.8271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6.16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1.05</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-0.41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.6813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5.00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-1.216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.2330</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Gestalt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4.50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1.48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6.19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4.03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Noradrenalin Inhibitors</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5.25</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-2.823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.0082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6.19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.9990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4.78</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1.56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-3.000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.0053</w:t>
            </w: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rPr>
                <w:rFonts w:eastAsia="Times New Roman"/>
                <w:sz w:val="20"/>
                <w:szCs w:val="20"/>
                <w:lang w:val="de-AT" w:eastAsia="de-AT"/>
              </w:rPr>
            </w:pP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r w:rsidRPr="000232D9">
              <w:rPr>
                <w:rFonts w:eastAsia="Times New Roman"/>
                <w:color w:val="000000"/>
                <w:sz w:val="20"/>
                <w:szCs w:val="20"/>
                <w:lang w:val="de-AT" w:eastAsia="de-AT"/>
              </w:rPr>
              <w:t>MAO Inhibitors</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4.34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5.84</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4.06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1.63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F05A34" w:rsidRDefault="00C42AF0" w:rsidP="000232D9">
            <w:pPr>
              <w:suppressAutoHyphens w:val="0"/>
              <w:spacing w:after="0" w:line="240" w:lineRule="auto"/>
              <w:ind w:firstLine="0"/>
              <w:jc w:val="center"/>
              <w:rPr>
                <w:rFonts w:eastAsia="Times New Roman"/>
                <w:sz w:val="20"/>
                <w:szCs w:val="20"/>
                <w:lang w:val="de-AT" w:eastAsia="de-AT"/>
              </w:rPr>
            </w:pPr>
          </w:p>
        </w:tc>
      </w:tr>
      <w:tr w:rsidR="00C42AF0" w:rsidRPr="00F05A34" w:rsidTr="000232D9">
        <w:trPr>
          <w:trHeight w:val="270"/>
        </w:trPr>
        <w:tc>
          <w:tcPr>
            <w:tcW w:w="283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rPr>
                <w:rFonts w:eastAsia="Times New Roman"/>
                <w:color w:val="000000"/>
                <w:sz w:val="20"/>
                <w:szCs w:val="20"/>
                <w:lang w:val="de-AT" w:eastAsia="de-AT"/>
              </w:rPr>
            </w:pPr>
            <w:proofErr w:type="spellStart"/>
            <w:r w:rsidRPr="000232D9">
              <w:rPr>
                <w:rFonts w:eastAsia="Times New Roman"/>
                <w:color w:val="000000"/>
                <w:sz w:val="20"/>
                <w:szCs w:val="20"/>
                <w:lang w:val="de-AT" w:eastAsia="de-AT"/>
              </w:rPr>
              <w:t>Psychodynamic</w:t>
            </w:r>
            <w:proofErr w:type="spellEnd"/>
            <w:r w:rsidRPr="000232D9">
              <w:rPr>
                <w:rFonts w:eastAsia="Times New Roman"/>
                <w:color w:val="000000"/>
                <w:sz w:val="20"/>
                <w:szCs w:val="20"/>
                <w:lang w:val="de-AT" w:eastAsia="de-AT"/>
              </w:rPr>
              <w:t xml:space="preserve"> Therapy</w:t>
            </w:r>
          </w:p>
        </w:tc>
        <w:tc>
          <w:tcPr>
            <w:tcW w:w="1134"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w:t>
            </w:r>
          </w:p>
        </w:tc>
        <w:tc>
          <w:tcPr>
            <w:tcW w:w="805"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4.50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-0.487</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.6299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6.09</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0.96</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-1.03</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.3092</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3.81</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1.35</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1.000</w:t>
            </w:r>
          </w:p>
        </w:tc>
        <w:tc>
          <w:tcPr>
            <w:tcW w:w="806" w:type="dxa"/>
            <w:tcBorders>
              <w:top w:val="single" w:sz="2" w:space="0" w:color="auto"/>
              <w:left w:val="single" w:sz="2" w:space="0" w:color="auto"/>
              <w:bottom w:val="single" w:sz="2" w:space="0" w:color="auto"/>
              <w:right w:val="single" w:sz="2" w:space="0" w:color="auto"/>
            </w:tcBorders>
            <w:noWrap/>
            <w:vAlign w:val="bottom"/>
            <w:hideMark/>
          </w:tcPr>
          <w:p w:rsidR="00C42AF0" w:rsidRPr="000232D9" w:rsidRDefault="00C42AF0" w:rsidP="000232D9">
            <w:pPr>
              <w:suppressAutoHyphens w:val="0"/>
              <w:spacing w:after="0" w:line="240" w:lineRule="auto"/>
              <w:ind w:firstLine="0"/>
              <w:jc w:val="center"/>
              <w:rPr>
                <w:rFonts w:eastAsia="Times New Roman"/>
                <w:color w:val="000000"/>
                <w:sz w:val="20"/>
                <w:szCs w:val="20"/>
                <w:lang w:val="de-AT" w:eastAsia="de-AT"/>
              </w:rPr>
            </w:pPr>
            <w:r w:rsidRPr="000232D9">
              <w:rPr>
                <w:rFonts w:eastAsia="Times New Roman"/>
                <w:color w:val="000000"/>
                <w:sz w:val="20"/>
                <w:szCs w:val="20"/>
                <w:lang w:val="de-AT" w:eastAsia="de-AT"/>
              </w:rPr>
              <w:t>.3251</w:t>
            </w:r>
          </w:p>
        </w:tc>
      </w:tr>
      <w:tr w:rsidR="00C42AF0" w:rsidRPr="00F05A34" w:rsidTr="000232D9">
        <w:trPr>
          <w:trHeight w:val="689"/>
        </w:trPr>
        <w:tc>
          <w:tcPr>
            <w:tcW w:w="13640" w:type="dxa"/>
            <w:gridSpan w:val="14"/>
            <w:tcBorders>
              <w:top w:val="single" w:sz="2" w:space="0" w:color="auto"/>
              <w:left w:val="nil"/>
              <w:bottom w:val="nil"/>
              <w:right w:val="nil"/>
            </w:tcBorders>
            <w:vAlign w:val="center"/>
            <w:hideMark/>
          </w:tcPr>
          <w:p w:rsidR="00C42AF0" w:rsidRPr="000232D9" w:rsidRDefault="00C42AF0" w:rsidP="000232D9">
            <w:pPr>
              <w:suppressAutoHyphens w:val="0"/>
              <w:spacing w:after="0" w:line="240" w:lineRule="auto"/>
              <w:ind w:firstLine="0"/>
              <w:rPr>
                <w:rFonts w:eastAsia="Times New Roman"/>
                <w:color w:val="000000"/>
                <w:sz w:val="20"/>
                <w:szCs w:val="20"/>
                <w:lang w:val="en-US" w:eastAsia="de-AT"/>
              </w:rPr>
            </w:pPr>
            <w:r w:rsidRPr="000232D9">
              <w:rPr>
                <w:rFonts w:eastAsia="Times New Roman"/>
                <w:color w:val="000000"/>
                <w:sz w:val="20"/>
                <w:szCs w:val="20"/>
                <w:lang w:val="en-US" w:eastAsia="de-AT"/>
              </w:rPr>
              <w:t>Note. N = 32 participants had been asked three questions for each blog post which were used as blog posts in the current study. 15 blog post pairs with similar main arguments were constructed and each pair was tested for difference in efficacy, readability and argument quality with paired t-Tests. Critical p value after Dunn-</w:t>
            </w:r>
            <w:proofErr w:type="spellStart"/>
            <w:r w:rsidRPr="000232D9">
              <w:rPr>
                <w:rFonts w:eastAsia="Times New Roman"/>
                <w:color w:val="000000"/>
                <w:sz w:val="20"/>
                <w:szCs w:val="20"/>
                <w:lang w:val="en-US" w:eastAsia="de-AT"/>
              </w:rPr>
              <w:t>Šidák</w:t>
            </w:r>
            <w:proofErr w:type="spellEnd"/>
            <w:r w:rsidRPr="000232D9">
              <w:rPr>
                <w:rFonts w:eastAsia="Times New Roman"/>
                <w:color w:val="000000"/>
                <w:sz w:val="20"/>
                <w:szCs w:val="20"/>
                <w:lang w:val="en-US" w:eastAsia="de-AT"/>
              </w:rPr>
              <w:t xml:space="preserve"> Correction for 45 pairwise comparisons is 0.0011. Participants agreed on a range from 1 (not at all) to 7 (completely agree).</w:t>
            </w:r>
          </w:p>
        </w:tc>
      </w:tr>
    </w:tbl>
    <w:p w:rsidR="00351011" w:rsidRDefault="00351011"/>
    <w:sectPr w:rsidR="00351011" w:rsidSect="00C42AF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F0"/>
    <w:rsid w:val="00221B62"/>
    <w:rsid w:val="00351011"/>
    <w:rsid w:val="005207F9"/>
    <w:rsid w:val="00653D78"/>
    <w:rsid w:val="00BF6B6E"/>
    <w:rsid w:val="00C42AF0"/>
    <w:rsid w:val="00E57069"/>
    <w:rsid w:val="00EC00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C3C1"/>
  <w15:chartTrackingRefBased/>
  <w15:docId w15:val="{0581B07D-63E8-4F3C-B259-C2B0C54E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2AF0"/>
    <w:pPr>
      <w:suppressAutoHyphens/>
      <w:spacing w:line="480" w:lineRule="auto"/>
      <w:ind w:firstLine="567"/>
    </w:pPr>
    <w:rPr>
      <w:rFonts w:ascii="Times New Roman" w:eastAsia="Calibri" w:hAnsi="Times New Roman"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3D78"/>
    <w:pPr>
      <w:spacing w:after="0" w:line="240" w:lineRule="auto"/>
    </w:pPr>
    <w:rPr>
      <w:rFonts w:ascii="Calibri" w:eastAsia="Calibri" w:hAnsi="Calibri" w:cs="DejaVu Sans"/>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Schweiger</dc:creator>
  <cp:keywords/>
  <dc:description/>
  <cp:lastModifiedBy>Stefan Schweiger</cp:lastModifiedBy>
  <cp:revision>7</cp:revision>
  <dcterms:created xsi:type="dcterms:W3CDTF">2018-11-10T10:53:00Z</dcterms:created>
  <dcterms:modified xsi:type="dcterms:W3CDTF">2018-12-28T16:11:00Z</dcterms:modified>
</cp:coreProperties>
</file>