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4A46" w14:textId="77777777" w:rsidR="00B20750" w:rsidRPr="00D764F9" w:rsidRDefault="00B20750" w:rsidP="00B20750">
      <w:pPr>
        <w:spacing w:line="480" w:lineRule="auto"/>
        <w:rPr>
          <w:rFonts w:ascii="Times New Roman" w:eastAsia="Times New Roman" w:hAnsi="Times New Roman" w:cs="Times New Roman"/>
          <w:szCs w:val="20"/>
        </w:rPr>
      </w:pPr>
      <w:r w:rsidRPr="00D764F9">
        <w:rPr>
          <w:rFonts w:ascii="Times New Roman" w:eastAsia="Times New Roman" w:hAnsi="Times New Roman" w:cs="Times New Roman"/>
          <w:b/>
          <w:szCs w:val="20"/>
        </w:rPr>
        <w:t>S3 Table.</w:t>
      </w:r>
      <w:r w:rsidRPr="00D764F9">
        <w:rPr>
          <w:rFonts w:ascii="Times New Roman" w:eastAsia="Times New Roman" w:hAnsi="Times New Roman" w:cs="Times New Roman"/>
          <w:szCs w:val="20"/>
        </w:rPr>
        <w:t xml:space="preserve"> </w:t>
      </w:r>
      <w:r w:rsidRPr="00D764F9">
        <w:rPr>
          <w:rFonts w:ascii="Times New Roman" w:eastAsia="Times New Roman" w:hAnsi="Times New Roman" w:cs="Times New Roman"/>
          <w:b/>
          <w:szCs w:val="20"/>
        </w:rPr>
        <w:t>Changes in nutrition indicators with round</w:t>
      </w:r>
      <w:r w:rsidRPr="00D764F9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47411FB8" w14:textId="77777777" w:rsidR="00B20750" w:rsidRPr="00C01338" w:rsidRDefault="00B20750" w:rsidP="00B20750">
      <w:pPr>
        <w:rPr>
          <w:rFonts w:ascii="Times New Roman" w:eastAsia="Times New Roman" w:hAnsi="Times New Roman" w:cs="Times New Roman"/>
          <w:b/>
          <w:sz w:val="22"/>
          <w:szCs w:val="20"/>
        </w:rPr>
      </w:pPr>
    </w:p>
    <w:tbl>
      <w:tblPr>
        <w:tblW w:w="854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96"/>
        <w:gridCol w:w="609"/>
        <w:gridCol w:w="1435"/>
        <w:gridCol w:w="1435"/>
        <w:gridCol w:w="1435"/>
        <w:gridCol w:w="1455"/>
        <w:gridCol w:w="1080"/>
      </w:tblGrid>
      <w:tr w:rsidR="00B20750" w14:paraId="74D19B0A" w14:textId="77777777" w:rsidTr="00841C75">
        <w:trPr>
          <w:trHeight w:val="441"/>
        </w:trPr>
        <w:tc>
          <w:tcPr>
            <w:tcW w:w="1096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14:paraId="286AA9D7" w14:textId="77777777" w:rsidR="00B20750" w:rsidRDefault="00B20750" w:rsidP="00841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609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14:paraId="1F026856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35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14:paraId="3A696CCE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R1</w:t>
            </w:r>
          </w:p>
          <w:p w14:paraId="797FF233" w14:textId="77777777" w:rsidR="00B20750" w:rsidRPr="00D7267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435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14:paraId="3C7B86CA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R2</w:t>
            </w:r>
          </w:p>
          <w:p w14:paraId="69EEBB63" w14:textId="77777777" w:rsidR="00B20750" w:rsidRPr="00D7267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435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14:paraId="0697B42A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Agreement </w:t>
            </w:r>
          </w:p>
          <w:p w14:paraId="04E751A7" w14:textId="77777777" w:rsidR="00B20750" w:rsidRPr="00D7267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455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14:paraId="39343575" w14:textId="77777777" w:rsidR="00B20750" w:rsidRPr="00D7267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2c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14:paraId="22F38F6A" w14:textId="77777777" w:rsidR="00B20750" w:rsidRPr="00D72670" w:rsidRDefault="00B20750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B20750" w14:paraId="3F8BA057" w14:textId="77777777" w:rsidTr="00841C75">
        <w:tc>
          <w:tcPr>
            <w:tcW w:w="1096" w:type="dxa"/>
            <w:tcBorders>
              <w:top w:val="single" w:sz="12" w:space="0" w:color="000000"/>
            </w:tcBorders>
          </w:tcPr>
          <w:p w14:paraId="2835BE0E" w14:textId="77777777" w:rsidR="00B20750" w:rsidRDefault="00B20750" w:rsidP="00841C7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MDD-W</w:t>
            </w:r>
          </w:p>
        </w:tc>
        <w:tc>
          <w:tcPr>
            <w:tcW w:w="609" w:type="dxa"/>
            <w:tcBorders>
              <w:top w:val="single" w:sz="12" w:space="0" w:color="000000"/>
            </w:tcBorders>
          </w:tcPr>
          <w:p w14:paraId="30C8D676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14:paraId="23D82943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(23.8)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14:paraId="36B3B240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(20.6)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14:paraId="26CA22F5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 (77.8)</w:t>
            </w:r>
          </w:p>
        </w:tc>
        <w:tc>
          <w:tcPr>
            <w:tcW w:w="1455" w:type="dxa"/>
            <w:tcBorders>
              <w:top w:val="single" w:sz="12" w:space="0" w:color="000000"/>
            </w:tcBorders>
          </w:tcPr>
          <w:p w14:paraId="33ABE573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648E3B73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B20750" w14:paraId="0FE09D24" w14:textId="77777777" w:rsidTr="00841C75">
        <w:tc>
          <w:tcPr>
            <w:tcW w:w="1096" w:type="dxa"/>
          </w:tcPr>
          <w:p w14:paraId="6A930338" w14:textId="77777777" w:rsidR="00B20750" w:rsidRDefault="00B20750" w:rsidP="00841C7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MDD</w:t>
            </w:r>
          </w:p>
        </w:tc>
        <w:tc>
          <w:tcPr>
            <w:tcW w:w="609" w:type="dxa"/>
          </w:tcPr>
          <w:p w14:paraId="24EF5E7A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35" w:type="dxa"/>
          </w:tcPr>
          <w:p w14:paraId="0E082DB7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(21.4)</w:t>
            </w:r>
          </w:p>
        </w:tc>
        <w:tc>
          <w:tcPr>
            <w:tcW w:w="1435" w:type="dxa"/>
          </w:tcPr>
          <w:p w14:paraId="6ACE6C37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(19.0)</w:t>
            </w:r>
          </w:p>
        </w:tc>
        <w:tc>
          <w:tcPr>
            <w:tcW w:w="1435" w:type="dxa"/>
          </w:tcPr>
          <w:p w14:paraId="0C1A76AA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 (77.0)</w:t>
            </w:r>
          </w:p>
        </w:tc>
        <w:tc>
          <w:tcPr>
            <w:tcW w:w="1455" w:type="dxa"/>
          </w:tcPr>
          <w:p w14:paraId="6E4714D2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</w:tcPr>
          <w:p w14:paraId="37F6BDEA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B20750" w14:paraId="617726D3" w14:textId="77777777" w:rsidTr="00841C75">
        <w:tc>
          <w:tcPr>
            <w:tcW w:w="1096" w:type="dxa"/>
          </w:tcPr>
          <w:p w14:paraId="36F92D78" w14:textId="77777777" w:rsidR="00B20750" w:rsidRDefault="00B20750" w:rsidP="00841C7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MMF</w:t>
            </w:r>
          </w:p>
        </w:tc>
        <w:tc>
          <w:tcPr>
            <w:tcW w:w="609" w:type="dxa"/>
          </w:tcPr>
          <w:p w14:paraId="105221B3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35" w:type="dxa"/>
          </w:tcPr>
          <w:p w14:paraId="39E37FFB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(57.1)</w:t>
            </w:r>
          </w:p>
        </w:tc>
        <w:tc>
          <w:tcPr>
            <w:tcW w:w="1435" w:type="dxa"/>
          </w:tcPr>
          <w:p w14:paraId="67B1A39D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(59.5)</w:t>
            </w:r>
          </w:p>
        </w:tc>
        <w:tc>
          <w:tcPr>
            <w:tcW w:w="1435" w:type="dxa"/>
          </w:tcPr>
          <w:p w14:paraId="24DE994D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 (80.2)</w:t>
            </w:r>
          </w:p>
        </w:tc>
        <w:tc>
          <w:tcPr>
            <w:tcW w:w="1455" w:type="dxa"/>
          </w:tcPr>
          <w:p w14:paraId="0AABDB98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</w:tcPr>
          <w:p w14:paraId="7E1407AB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B20750" w14:paraId="7F50B40B" w14:textId="77777777" w:rsidTr="00841C75">
        <w:tc>
          <w:tcPr>
            <w:tcW w:w="1096" w:type="dxa"/>
            <w:tcBorders>
              <w:bottom w:val="single" w:sz="18" w:space="0" w:color="000000"/>
            </w:tcBorders>
          </w:tcPr>
          <w:p w14:paraId="331968A9" w14:textId="77777777" w:rsidR="00B20750" w:rsidRDefault="00B20750" w:rsidP="00841C7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MAD</w:t>
            </w:r>
          </w:p>
        </w:tc>
        <w:tc>
          <w:tcPr>
            <w:tcW w:w="609" w:type="dxa"/>
            <w:tcBorders>
              <w:bottom w:val="single" w:sz="18" w:space="0" w:color="000000"/>
            </w:tcBorders>
          </w:tcPr>
          <w:p w14:paraId="70D0E678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35" w:type="dxa"/>
            <w:tcBorders>
              <w:bottom w:val="single" w:sz="18" w:space="0" w:color="000000"/>
            </w:tcBorders>
          </w:tcPr>
          <w:p w14:paraId="192689F3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(12.7)</w:t>
            </w:r>
          </w:p>
        </w:tc>
        <w:tc>
          <w:tcPr>
            <w:tcW w:w="1435" w:type="dxa"/>
            <w:tcBorders>
              <w:bottom w:val="single" w:sz="18" w:space="0" w:color="000000"/>
            </w:tcBorders>
          </w:tcPr>
          <w:p w14:paraId="7686E898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(11.9)</w:t>
            </w:r>
          </w:p>
        </w:tc>
        <w:tc>
          <w:tcPr>
            <w:tcW w:w="1435" w:type="dxa"/>
            <w:tcBorders>
              <w:bottom w:val="single" w:sz="18" w:space="0" w:color="000000"/>
            </w:tcBorders>
          </w:tcPr>
          <w:p w14:paraId="30960DB3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 (84.9)</w:t>
            </w:r>
          </w:p>
        </w:tc>
        <w:tc>
          <w:tcPr>
            <w:tcW w:w="1455" w:type="dxa"/>
            <w:tcBorders>
              <w:bottom w:val="single" w:sz="18" w:space="0" w:color="000000"/>
            </w:tcBorders>
          </w:tcPr>
          <w:p w14:paraId="079856E2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7A49E12F" w14:textId="77777777" w:rsidR="00B20750" w:rsidRDefault="00B20750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6180075" w14:textId="77777777" w:rsidR="00B20750" w:rsidRDefault="00B20750" w:rsidP="00B20750">
      <w:pPr>
        <w:spacing w:line="48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Changes in nutrition indicators with round </w:t>
      </w:r>
      <w:r w:rsidRPr="00C01338">
        <w:rPr>
          <w:rFonts w:ascii="Times New Roman" w:eastAsia="Times New Roman" w:hAnsi="Times New Roman" w:cs="Times New Roman"/>
          <w:sz w:val="22"/>
          <w:szCs w:val="20"/>
        </w:rPr>
        <w:t>for participants who received F2F interviews in bo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th rounds (T3). </w:t>
      </w:r>
    </w:p>
    <w:p w14:paraId="71D66915" w14:textId="77777777" w:rsidR="00B20750" w:rsidRDefault="00B20750" w:rsidP="00B20750">
      <w:pPr>
        <w:spacing w:line="480" w:lineRule="auto"/>
        <w:rPr>
          <w:rFonts w:ascii="Times New Roman" w:eastAsia="Times New Roman" w:hAnsi="Times New Roman" w:cs="Times New Roman"/>
          <w:sz w:val="22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0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szCs w:val="20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0"/>
        </w:rPr>
        <w:t>T</w:t>
      </w:r>
      <w:r w:rsidRPr="00C01338">
        <w:rPr>
          <w:rFonts w:ascii="Times New Roman" w:eastAsia="Times New Roman" w:hAnsi="Times New Roman" w:cs="Times New Roman"/>
          <w:sz w:val="22"/>
          <w:szCs w:val="20"/>
        </w:rPr>
        <w:t>he</w:t>
      </w:r>
      <w:proofErr w:type="gramEnd"/>
      <w:r w:rsidRPr="00C01338">
        <w:rPr>
          <w:rFonts w:ascii="Times New Roman" w:eastAsia="Times New Roman" w:hAnsi="Times New Roman" w:cs="Times New Roman"/>
          <w:sz w:val="22"/>
          <w:szCs w:val="20"/>
        </w:rPr>
        <w:t xml:space="preserve"> number (N) and percentage (%) of respondents who met the threshold for the given indicator in each round. </w:t>
      </w:r>
    </w:p>
    <w:p w14:paraId="498A5000" w14:textId="77777777" w:rsidR="00B20750" w:rsidRDefault="00B20750" w:rsidP="00B20750">
      <w:pPr>
        <w:spacing w:line="48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  <w:vertAlign w:val="superscript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sz w:val="22"/>
          <w:szCs w:val="20"/>
        </w:rPr>
        <w:t>T</w:t>
      </w:r>
      <w:r w:rsidRPr="00C01338">
        <w:rPr>
          <w:rFonts w:ascii="Times New Roman" w:eastAsia="Times New Roman" w:hAnsi="Times New Roman" w:cs="Times New Roman"/>
          <w:sz w:val="22"/>
          <w:szCs w:val="20"/>
        </w:rPr>
        <w:t>he</w:t>
      </w:r>
      <w:proofErr w:type="gramEnd"/>
      <w:r w:rsidRPr="00C01338">
        <w:rPr>
          <w:rFonts w:ascii="Times New Roman" w:eastAsia="Times New Roman" w:hAnsi="Times New Roman" w:cs="Times New Roman"/>
          <w:sz w:val="22"/>
          <w:szCs w:val="20"/>
        </w:rPr>
        <w:t xml:space="preserve"> number (N) and percentage (%) of participants whose indicator status did not change between rounds. </w:t>
      </w:r>
    </w:p>
    <w:p w14:paraId="638E1991" w14:textId="6224FB8E" w:rsidR="009800A3" w:rsidRPr="00B20750" w:rsidRDefault="00B20750" w:rsidP="00B20750">
      <w:pPr>
        <w:spacing w:line="48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  <w:vertAlign w:val="superscript"/>
        </w:rPr>
        <w:t xml:space="preserve">c </w:t>
      </w:r>
      <w:r w:rsidRPr="00C01338">
        <w:rPr>
          <w:rFonts w:ascii="Times New Roman" w:eastAsia="Times New Roman" w:hAnsi="Times New Roman" w:cs="Times New Roman"/>
          <w:sz w:val="22"/>
          <w:szCs w:val="20"/>
        </w:rPr>
        <w:t>X</w:t>
      </w:r>
      <w:r w:rsidRPr="00C01338">
        <w:rPr>
          <w:rFonts w:ascii="Times New Roman" w:eastAsia="Times New Roman" w:hAnsi="Times New Roman" w:cs="Times New Roman"/>
          <w:sz w:val="22"/>
          <w:szCs w:val="20"/>
          <w:vertAlign w:val="superscript"/>
        </w:rPr>
        <w:t>2</w:t>
      </w:r>
      <w:r w:rsidRPr="00C01338">
        <w:rPr>
          <w:rFonts w:ascii="Times New Roman" w:eastAsia="Times New Roman" w:hAnsi="Times New Roman" w:cs="Times New Roman"/>
          <w:sz w:val="22"/>
          <w:szCs w:val="20"/>
        </w:rPr>
        <w:t xml:space="preserve"> and p are from </w:t>
      </w:r>
      <w:proofErr w:type="spellStart"/>
      <w:r w:rsidRPr="00C01338">
        <w:rPr>
          <w:rFonts w:ascii="Times New Roman" w:eastAsia="Times New Roman" w:hAnsi="Times New Roman" w:cs="Times New Roman"/>
          <w:sz w:val="22"/>
          <w:szCs w:val="20"/>
        </w:rPr>
        <w:t>McNemar’s</w:t>
      </w:r>
      <w:proofErr w:type="spellEnd"/>
      <w:r w:rsidRPr="00C01338">
        <w:rPr>
          <w:rFonts w:ascii="Times New Roman" w:eastAsia="Times New Roman" w:hAnsi="Times New Roman" w:cs="Times New Roman"/>
          <w:sz w:val="22"/>
          <w:szCs w:val="20"/>
        </w:rPr>
        <w:t xml:space="preserve"> Exact Test on respondents’ indicator status.</w:t>
      </w:r>
      <w:bookmarkStart w:id="0" w:name="_GoBack"/>
      <w:bookmarkEnd w:id="0"/>
    </w:p>
    <w:sectPr w:rsidR="009800A3" w:rsidRPr="00B20750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0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F2ED0"/>
    <w:rsid w:val="005F3455"/>
    <w:rsid w:val="00641CF0"/>
    <w:rsid w:val="007419CA"/>
    <w:rsid w:val="0076250A"/>
    <w:rsid w:val="00763DC8"/>
    <w:rsid w:val="0078115E"/>
    <w:rsid w:val="00850B8F"/>
    <w:rsid w:val="00881CB6"/>
    <w:rsid w:val="008C0588"/>
    <w:rsid w:val="00985442"/>
    <w:rsid w:val="00A14CFE"/>
    <w:rsid w:val="00A22D20"/>
    <w:rsid w:val="00AF15D6"/>
    <w:rsid w:val="00B20750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CE41"/>
  <w14:defaultImageDpi w14:val="32767"/>
  <w15:chartTrackingRefBased/>
  <w15:docId w15:val="{927D8989-B572-F64B-BE14-D32CDFD3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20750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2018-12-20T11:49:00Z</dcterms:created>
  <dcterms:modified xsi:type="dcterms:W3CDTF">2018-12-20T11:50:00Z</dcterms:modified>
</cp:coreProperties>
</file>