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DC09" w14:textId="25DA62AC" w:rsidR="00A374E9" w:rsidRPr="00123EF3" w:rsidRDefault="00A374E9" w:rsidP="00A374E9">
      <w:pPr>
        <w:spacing w:line="480" w:lineRule="auto"/>
        <w:rPr>
          <w:b/>
          <w:lang w:val="en-US"/>
        </w:rPr>
      </w:pPr>
      <w:r w:rsidRPr="00123EF3">
        <w:rPr>
          <w:b/>
          <w:lang w:val="en-US"/>
        </w:rPr>
        <w:t>S3</w:t>
      </w:r>
      <w:r w:rsidR="000F5D1A">
        <w:rPr>
          <w:b/>
          <w:lang w:val="en-US"/>
        </w:rPr>
        <w:t xml:space="preserve"> Table</w:t>
      </w:r>
      <w:bookmarkStart w:id="0" w:name="_GoBack"/>
      <w:bookmarkEnd w:id="0"/>
      <w:r w:rsidRPr="00123EF3">
        <w:rPr>
          <w:b/>
          <w:lang w:val="en-US"/>
        </w:rPr>
        <w:t>. Summary results from the binomial logistic regression, testing the effects of dribbling ability, sprinting speed and coach ranking on the defensive success of each player in the one vs. one competition</w:t>
      </w:r>
      <w:r w:rsidRPr="00123EF3">
        <w:rPr>
          <w:b/>
        </w:rPr>
        <w:t>.</w:t>
      </w:r>
    </w:p>
    <w:p w14:paraId="047F30CC" w14:textId="77777777" w:rsidR="00A374E9" w:rsidRPr="00123EF3" w:rsidRDefault="00A374E9" w:rsidP="00A374E9">
      <w:pPr>
        <w:widowControl w:val="0"/>
        <w:autoSpaceDE w:val="0"/>
        <w:autoSpaceDN w:val="0"/>
        <w:adjustRightInd w:val="0"/>
        <w:spacing w:line="480" w:lineRule="auto"/>
        <w:ind w:right="-9"/>
        <w:jc w:val="both"/>
        <w:rPr>
          <w:lang w:eastAsia="en-AU"/>
        </w:rPr>
      </w:pPr>
    </w:p>
    <w:tbl>
      <w:tblPr>
        <w:tblStyle w:val="TableGrid"/>
        <w:tblW w:w="0" w:type="auto"/>
        <w:tblLook w:val="04A0" w:firstRow="1" w:lastRow="0" w:firstColumn="1" w:lastColumn="0" w:noHBand="0" w:noVBand="1"/>
      </w:tblPr>
      <w:tblGrid>
        <w:gridCol w:w="1980"/>
        <w:gridCol w:w="1493"/>
        <w:gridCol w:w="1737"/>
        <w:gridCol w:w="1737"/>
        <w:gridCol w:w="1737"/>
      </w:tblGrid>
      <w:tr w:rsidR="00A374E9" w14:paraId="5630F66E" w14:textId="77777777" w:rsidTr="00735874">
        <w:tc>
          <w:tcPr>
            <w:tcW w:w="1980" w:type="dxa"/>
          </w:tcPr>
          <w:p w14:paraId="1E7FA853" w14:textId="77777777" w:rsidR="00A374E9" w:rsidRPr="00C4594F" w:rsidRDefault="00A374E9" w:rsidP="00735874">
            <w:pPr>
              <w:spacing w:line="480" w:lineRule="auto"/>
            </w:pPr>
            <w:r w:rsidRPr="00C4594F">
              <w:t>Path (radians.m</w:t>
            </w:r>
            <w:r w:rsidRPr="00C4594F">
              <w:rPr>
                <w:vertAlign w:val="superscript"/>
              </w:rPr>
              <w:t>-1</w:t>
            </w:r>
            <w:r w:rsidRPr="00C4594F">
              <w:t>)</w:t>
            </w:r>
          </w:p>
        </w:tc>
        <w:tc>
          <w:tcPr>
            <w:tcW w:w="1493" w:type="dxa"/>
          </w:tcPr>
          <w:p w14:paraId="2269440F" w14:textId="77777777" w:rsidR="00A374E9" w:rsidRPr="00C4594F" w:rsidRDefault="00A374E9" w:rsidP="00735874">
            <w:pPr>
              <w:spacing w:line="480" w:lineRule="auto"/>
            </w:pPr>
            <w:r w:rsidRPr="00C4594F">
              <w:rPr>
                <w:color w:val="191919"/>
                <w:lang w:val="en-US"/>
              </w:rPr>
              <w:t>Estimate</w:t>
            </w:r>
          </w:p>
        </w:tc>
        <w:tc>
          <w:tcPr>
            <w:tcW w:w="1737" w:type="dxa"/>
          </w:tcPr>
          <w:p w14:paraId="3B64A700" w14:textId="77777777" w:rsidR="00A374E9" w:rsidRPr="00C4594F" w:rsidRDefault="00A374E9" w:rsidP="00735874">
            <w:pPr>
              <w:spacing w:line="480" w:lineRule="auto"/>
            </w:pPr>
            <w:r w:rsidRPr="00C4594F">
              <w:rPr>
                <w:color w:val="191919"/>
                <w:lang w:val="en-US"/>
              </w:rPr>
              <w:t>Std. Error</w:t>
            </w:r>
          </w:p>
        </w:tc>
        <w:tc>
          <w:tcPr>
            <w:tcW w:w="1737" w:type="dxa"/>
          </w:tcPr>
          <w:p w14:paraId="1F6783A4" w14:textId="77777777" w:rsidR="00A374E9" w:rsidRPr="00C4594F" w:rsidRDefault="00A374E9" w:rsidP="00735874">
            <w:pPr>
              <w:spacing w:line="480" w:lineRule="auto"/>
            </w:pPr>
            <w:r w:rsidRPr="00C4594F">
              <w:rPr>
                <w:color w:val="191919"/>
                <w:lang w:val="en-US"/>
              </w:rPr>
              <w:t>z value</w:t>
            </w:r>
          </w:p>
        </w:tc>
        <w:tc>
          <w:tcPr>
            <w:tcW w:w="1737" w:type="dxa"/>
          </w:tcPr>
          <w:p w14:paraId="6131FFD8" w14:textId="77777777" w:rsidR="00A374E9" w:rsidRPr="00C4594F" w:rsidRDefault="00A374E9" w:rsidP="00735874">
            <w:pPr>
              <w:spacing w:line="480" w:lineRule="auto"/>
            </w:pPr>
            <w:proofErr w:type="spellStart"/>
            <w:r w:rsidRPr="00C4594F">
              <w:rPr>
                <w:color w:val="191919"/>
                <w:lang w:val="en-US"/>
              </w:rPr>
              <w:t>Pr</w:t>
            </w:r>
            <w:proofErr w:type="spellEnd"/>
            <w:r w:rsidRPr="00C4594F">
              <w:rPr>
                <w:color w:val="191919"/>
                <w:lang w:val="en-US"/>
              </w:rPr>
              <w:t>(&gt;|z|)</w:t>
            </w:r>
          </w:p>
        </w:tc>
      </w:tr>
      <w:tr w:rsidR="00A374E9" w14:paraId="382B5AE0" w14:textId="77777777" w:rsidTr="00735874">
        <w:tc>
          <w:tcPr>
            <w:tcW w:w="1980" w:type="dxa"/>
          </w:tcPr>
          <w:p w14:paraId="2F6AC88E" w14:textId="77777777" w:rsidR="00A374E9" w:rsidRPr="00C4594F" w:rsidRDefault="00A374E9" w:rsidP="00735874">
            <w:pPr>
              <w:spacing w:line="480" w:lineRule="auto"/>
            </w:pPr>
            <w:r>
              <w:t>Intercept</w:t>
            </w:r>
          </w:p>
        </w:tc>
        <w:tc>
          <w:tcPr>
            <w:tcW w:w="1493" w:type="dxa"/>
          </w:tcPr>
          <w:p w14:paraId="2E9CCD53" w14:textId="77777777" w:rsidR="00A374E9" w:rsidRPr="00C4594F" w:rsidRDefault="00A374E9" w:rsidP="00735874">
            <w:pPr>
              <w:spacing w:line="480" w:lineRule="auto"/>
            </w:pPr>
            <w:r>
              <w:t>1.493</w:t>
            </w:r>
          </w:p>
        </w:tc>
        <w:tc>
          <w:tcPr>
            <w:tcW w:w="1737" w:type="dxa"/>
          </w:tcPr>
          <w:p w14:paraId="507DA58B" w14:textId="77777777" w:rsidR="00A374E9" w:rsidRPr="00C4594F" w:rsidRDefault="00A374E9" w:rsidP="00735874">
            <w:pPr>
              <w:spacing w:line="480" w:lineRule="auto"/>
            </w:pPr>
            <w:r w:rsidRPr="00E64B21">
              <w:t>0.</w:t>
            </w:r>
            <w:r>
              <w:t>394</w:t>
            </w:r>
            <w:r w:rsidRPr="00E64B21">
              <w:t>  </w:t>
            </w:r>
          </w:p>
        </w:tc>
        <w:tc>
          <w:tcPr>
            <w:tcW w:w="1737" w:type="dxa"/>
          </w:tcPr>
          <w:p w14:paraId="7F44AEC4" w14:textId="77777777" w:rsidR="00A374E9" w:rsidRPr="00C4594F" w:rsidRDefault="00A374E9" w:rsidP="00735874">
            <w:pPr>
              <w:spacing w:line="480" w:lineRule="auto"/>
            </w:pPr>
            <w:r>
              <w:t>3.793</w:t>
            </w:r>
            <w:r w:rsidRPr="00E64B21">
              <w:t>   </w:t>
            </w:r>
          </w:p>
        </w:tc>
        <w:tc>
          <w:tcPr>
            <w:tcW w:w="1737" w:type="dxa"/>
          </w:tcPr>
          <w:p w14:paraId="08F19D47" w14:textId="77777777" w:rsidR="00A374E9" w:rsidRPr="00C4594F" w:rsidRDefault="00A374E9" w:rsidP="00735874">
            <w:pPr>
              <w:spacing w:line="480" w:lineRule="auto"/>
            </w:pPr>
            <w:r>
              <w:t>0.018*</w:t>
            </w:r>
            <w:r w:rsidRPr="00E64B21">
              <w:t xml:space="preserve"> </w:t>
            </w:r>
          </w:p>
        </w:tc>
      </w:tr>
      <w:tr w:rsidR="00A374E9" w14:paraId="4B96C411" w14:textId="77777777" w:rsidTr="00735874">
        <w:tc>
          <w:tcPr>
            <w:tcW w:w="1980" w:type="dxa"/>
          </w:tcPr>
          <w:p w14:paraId="724A120C" w14:textId="77777777" w:rsidR="00A374E9" w:rsidRPr="00C4594F" w:rsidRDefault="00A374E9" w:rsidP="00735874">
            <w:pPr>
              <w:spacing w:line="480" w:lineRule="auto"/>
            </w:pPr>
            <w:r>
              <w:t>PC</w:t>
            </w:r>
            <w:r w:rsidRPr="005854D2">
              <w:rPr>
                <w:vertAlign w:val="subscript"/>
              </w:rPr>
              <w:t>D1</w:t>
            </w:r>
          </w:p>
        </w:tc>
        <w:tc>
          <w:tcPr>
            <w:tcW w:w="1493" w:type="dxa"/>
          </w:tcPr>
          <w:p w14:paraId="1EA34BED" w14:textId="77777777" w:rsidR="00A374E9" w:rsidRPr="00C4594F" w:rsidRDefault="00A374E9" w:rsidP="00735874">
            <w:pPr>
              <w:spacing w:line="480" w:lineRule="auto"/>
            </w:pPr>
            <w:r w:rsidRPr="00E64B21">
              <w:t>0.2</w:t>
            </w:r>
            <w:r>
              <w:t>19</w:t>
            </w:r>
            <w:r w:rsidRPr="00E64B21">
              <w:t>   </w:t>
            </w:r>
          </w:p>
        </w:tc>
        <w:tc>
          <w:tcPr>
            <w:tcW w:w="1737" w:type="dxa"/>
          </w:tcPr>
          <w:p w14:paraId="79A4766C" w14:textId="77777777" w:rsidR="00A374E9" w:rsidRPr="00C4594F" w:rsidRDefault="00A374E9" w:rsidP="00735874">
            <w:pPr>
              <w:spacing w:line="480" w:lineRule="auto"/>
            </w:pPr>
            <w:r w:rsidRPr="00E64B21">
              <w:t>0.0</w:t>
            </w:r>
            <w:r>
              <w:t>84</w:t>
            </w:r>
            <w:r w:rsidRPr="00E64B21">
              <w:t>  </w:t>
            </w:r>
          </w:p>
        </w:tc>
        <w:tc>
          <w:tcPr>
            <w:tcW w:w="1737" w:type="dxa"/>
          </w:tcPr>
          <w:p w14:paraId="355FF755" w14:textId="77777777" w:rsidR="00A374E9" w:rsidRPr="00C4594F" w:rsidRDefault="00A374E9" w:rsidP="00735874">
            <w:pPr>
              <w:spacing w:line="480" w:lineRule="auto"/>
            </w:pPr>
            <w:r>
              <w:t>2.59</w:t>
            </w:r>
            <w:r w:rsidRPr="00E64B21">
              <w:t> </w:t>
            </w:r>
          </w:p>
        </w:tc>
        <w:tc>
          <w:tcPr>
            <w:tcW w:w="1737" w:type="dxa"/>
          </w:tcPr>
          <w:p w14:paraId="3DA05983" w14:textId="77777777" w:rsidR="00A374E9" w:rsidRPr="00C4594F" w:rsidRDefault="00A374E9" w:rsidP="00735874">
            <w:pPr>
              <w:spacing w:line="480" w:lineRule="auto"/>
            </w:pPr>
            <w:r w:rsidRPr="00E64B21">
              <w:t>0.0</w:t>
            </w:r>
            <w:r>
              <w:t>21</w:t>
            </w:r>
            <w:r w:rsidRPr="00E64B21">
              <w:t>* </w:t>
            </w:r>
          </w:p>
        </w:tc>
      </w:tr>
      <w:tr w:rsidR="00A374E9" w14:paraId="33B2A93F" w14:textId="77777777" w:rsidTr="00735874">
        <w:tc>
          <w:tcPr>
            <w:tcW w:w="1980" w:type="dxa"/>
          </w:tcPr>
          <w:p w14:paraId="71EC92F8" w14:textId="77777777" w:rsidR="00A374E9" w:rsidRPr="00C4594F" w:rsidRDefault="00A374E9" w:rsidP="00735874">
            <w:pPr>
              <w:spacing w:line="480" w:lineRule="auto"/>
            </w:pPr>
            <w:r>
              <w:t>PC</w:t>
            </w:r>
            <w:r w:rsidRPr="005854D2">
              <w:rPr>
                <w:vertAlign w:val="subscript"/>
              </w:rPr>
              <w:t>D2</w:t>
            </w:r>
          </w:p>
        </w:tc>
        <w:tc>
          <w:tcPr>
            <w:tcW w:w="1493" w:type="dxa"/>
          </w:tcPr>
          <w:p w14:paraId="1BCF2949" w14:textId="77777777" w:rsidR="00A374E9" w:rsidRPr="00C4594F" w:rsidRDefault="00A374E9" w:rsidP="00735874">
            <w:pPr>
              <w:spacing w:line="480" w:lineRule="auto"/>
            </w:pPr>
            <w:r>
              <w:t>-</w:t>
            </w:r>
            <w:r w:rsidRPr="00E64B21">
              <w:t>0.0</w:t>
            </w:r>
            <w:r>
              <w:t>69</w:t>
            </w:r>
            <w:r w:rsidRPr="00E64B21">
              <w:t>   </w:t>
            </w:r>
          </w:p>
        </w:tc>
        <w:tc>
          <w:tcPr>
            <w:tcW w:w="1737" w:type="dxa"/>
          </w:tcPr>
          <w:p w14:paraId="756F8C4A" w14:textId="77777777" w:rsidR="00A374E9" w:rsidRPr="00C4594F" w:rsidRDefault="00A374E9" w:rsidP="00735874">
            <w:pPr>
              <w:spacing w:line="480" w:lineRule="auto"/>
            </w:pPr>
            <w:r w:rsidRPr="00E64B21">
              <w:t>0.18</w:t>
            </w:r>
            <w:r>
              <w:t>9</w:t>
            </w:r>
            <w:r w:rsidRPr="00E64B21">
              <w:t>  </w:t>
            </w:r>
          </w:p>
        </w:tc>
        <w:tc>
          <w:tcPr>
            <w:tcW w:w="1737" w:type="dxa"/>
          </w:tcPr>
          <w:p w14:paraId="5365EA9E" w14:textId="77777777" w:rsidR="00A374E9" w:rsidRPr="00C4594F" w:rsidRDefault="00A374E9" w:rsidP="00735874">
            <w:pPr>
              <w:spacing w:line="480" w:lineRule="auto"/>
            </w:pPr>
            <w:r>
              <w:t>-</w:t>
            </w:r>
            <w:r w:rsidRPr="00E64B21">
              <w:t>0.</w:t>
            </w:r>
            <w:r>
              <w:t>362</w:t>
            </w:r>
            <w:r w:rsidRPr="00E64B21">
              <w:t> </w:t>
            </w:r>
          </w:p>
        </w:tc>
        <w:tc>
          <w:tcPr>
            <w:tcW w:w="1737" w:type="dxa"/>
          </w:tcPr>
          <w:p w14:paraId="07E6936E" w14:textId="77777777" w:rsidR="00A374E9" w:rsidRPr="00C4594F" w:rsidRDefault="00A374E9" w:rsidP="00735874">
            <w:pPr>
              <w:spacing w:line="480" w:lineRule="auto"/>
            </w:pPr>
            <w:r w:rsidRPr="00E64B21">
              <w:t>0.</w:t>
            </w:r>
            <w:r>
              <w:t>722</w:t>
            </w:r>
            <w:r w:rsidRPr="00E64B21">
              <w:t>  </w:t>
            </w:r>
          </w:p>
        </w:tc>
      </w:tr>
      <w:tr w:rsidR="00A374E9" w14:paraId="68071FF3" w14:textId="77777777" w:rsidTr="00735874">
        <w:trPr>
          <w:trHeight w:val="578"/>
        </w:trPr>
        <w:tc>
          <w:tcPr>
            <w:tcW w:w="1980" w:type="dxa"/>
          </w:tcPr>
          <w:p w14:paraId="681397E5" w14:textId="77777777" w:rsidR="00A374E9" w:rsidRPr="00C4594F" w:rsidRDefault="00A374E9" w:rsidP="00735874">
            <w:pPr>
              <w:spacing w:line="480" w:lineRule="auto"/>
            </w:pPr>
            <w:r>
              <w:t>PC</w:t>
            </w:r>
            <w:r w:rsidRPr="005854D2">
              <w:rPr>
                <w:vertAlign w:val="subscript"/>
              </w:rPr>
              <w:t>S</w:t>
            </w:r>
            <w:r>
              <w:rPr>
                <w:vertAlign w:val="subscript"/>
              </w:rPr>
              <w:t>1</w:t>
            </w:r>
          </w:p>
        </w:tc>
        <w:tc>
          <w:tcPr>
            <w:tcW w:w="1493" w:type="dxa"/>
          </w:tcPr>
          <w:p w14:paraId="52B72D5E" w14:textId="77777777" w:rsidR="00A374E9" w:rsidRPr="00C4594F" w:rsidRDefault="00A374E9" w:rsidP="00735874">
            <w:pPr>
              <w:spacing w:line="480" w:lineRule="auto"/>
            </w:pPr>
            <w:r w:rsidRPr="00E64B21">
              <w:t>-0.</w:t>
            </w:r>
            <w:r>
              <w:t>076</w:t>
            </w:r>
            <w:r w:rsidRPr="00E64B21">
              <w:t>   </w:t>
            </w:r>
          </w:p>
        </w:tc>
        <w:tc>
          <w:tcPr>
            <w:tcW w:w="1737" w:type="dxa"/>
          </w:tcPr>
          <w:p w14:paraId="58544EAE" w14:textId="77777777" w:rsidR="00A374E9" w:rsidRPr="00C4594F" w:rsidRDefault="00A374E9" w:rsidP="00735874">
            <w:pPr>
              <w:spacing w:line="480" w:lineRule="auto"/>
            </w:pPr>
            <w:r w:rsidRPr="00E64B21">
              <w:t>0.</w:t>
            </w:r>
            <w:r>
              <w:t>094</w:t>
            </w:r>
            <w:r w:rsidRPr="00E64B21">
              <w:t> </w:t>
            </w:r>
          </w:p>
        </w:tc>
        <w:tc>
          <w:tcPr>
            <w:tcW w:w="1737" w:type="dxa"/>
          </w:tcPr>
          <w:p w14:paraId="355B59C1" w14:textId="77777777" w:rsidR="00A374E9" w:rsidRPr="00C4594F" w:rsidRDefault="00A374E9" w:rsidP="00735874">
            <w:pPr>
              <w:spacing w:line="480" w:lineRule="auto"/>
            </w:pPr>
            <w:r w:rsidRPr="00E64B21">
              <w:t>-</w:t>
            </w:r>
            <w:r>
              <w:t>0</w:t>
            </w:r>
            <w:r w:rsidRPr="00E64B21">
              <w:t>.</w:t>
            </w:r>
            <w:r>
              <w:t>805</w:t>
            </w:r>
            <w:r w:rsidRPr="00E64B21">
              <w:t> </w:t>
            </w:r>
          </w:p>
        </w:tc>
        <w:tc>
          <w:tcPr>
            <w:tcW w:w="1737" w:type="dxa"/>
          </w:tcPr>
          <w:p w14:paraId="0C8F1436" w14:textId="77777777" w:rsidR="00A374E9" w:rsidRPr="00C4594F" w:rsidRDefault="00A374E9" w:rsidP="00735874">
            <w:pPr>
              <w:spacing w:line="480" w:lineRule="auto"/>
            </w:pPr>
            <w:r w:rsidRPr="00E64B21">
              <w:t>0.</w:t>
            </w:r>
            <w:r>
              <w:t>434</w:t>
            </w:r>
            <w:r w:rsidRPr="00E64B21">
              <w:t>    </w:t>
            </w:r>
          </w:p>
        </w:tc>
      </w:tr>
      <w:tr w:rsidR="00A374E9" w14:paraId="3C1484C0" w14:textId="77777777" w:rsidTr="00735874">
        <w:tc>
          <w:tcPr>
            <w:tcW w:w="1980" w:type="dxa"/>
          </w:tcPr>
          <w:p w14:paraId="7461A04A" w14:textId="77777777" w:rsidR="00A374E9" w:rsidRDefault="00A374E9" w:rsidP="00735874">
            <w:pPr>
              <w:spacing w:line="480" w:lineRule="auto"/>
            </w:pPr>
            <w:r>
              <w:t>PC</w:t>
            </w:r>
            <w:r w:rsidRPr="005854D2">
              <w:rPr>
                <w:vertAlign w:val="subscript"/>
              </w:rPr>
              <w:t>S</w:t>
            </w:r>
            <w:r>
              <w:rPr>
                <w:vertAlign w:val="subscript"/>
              </w:rPr>
              <w:t>2</w:t>
            </w:r>
          </w:p>
        </w:tc>
        <w:tc>
          <w:tcPr>
            <w:tcW w:w="1493" w:type="dxa"/>
          </w:tcPr>
          <w:p w14:paraId="604F301D" w14:textId="77777777" w:rsidR="00A374E9" w:rsidRPr="00E64B21" w:rsidRDefault="00A374E9" w:rsidP="00735874">
            <w:pPr>
              <w:spacing w:line="480" w:lineRule="auto"/>
            </w:pPr>
            <w:r w:rsidRPr="000B1952">
              <w:t>0.00</w:t>
            </w:r>
            <w:r>
              <w:t>5</w:t>
            </w:r>
          </w:p>
        </w:tc>
        <w:tc>
          <w:tcPr>
            <w:tcW w:w="1737" w:type="dxa"/>
          </w:tcPr>
          <w:p w14:paraId="58F5C4D7" w14:textId="77777777" w:rsidR="00A374E9" w:rsidRPr="00E64B21" w:rsidRDefault="00A374E9" w:rsidP="00735874">
            <w:pPr>
              <w:spacing w:line="480" w:lineRule="auto"/>
            </w:pPr>
            <w:r w:rsidRPr="000B1952">
              <w:t>0.174</w:t>
            </w:r>
          </w:p>
        </w:tc>
        <w:tc>
          <w:tcPr>
            <w:tcW w:w="1737" w:type="dxa"/>
          </w:tcPr>
          <w:p w14:paraId="678D530E" w14:textId="77777777" w:rsidR="00A374E9" w:rsidRPr="00E64B21" w:rsidRDefault="00A374E9" w:rsidP="00735874">
            <w:pPr>
              <w:spacing w:line="480" w:lineRule="auto"/>
            </w:pPr>
            <w:r w:rsidRPr="000B1952">
              <w:t>0.02</w:t>
            </w:r>
            <w:r>
              <w:t>9</w:t>
            </w:r>
            <w:r w:rsidRPr="000B1952">
              <w:t> </w:t>
            </w:r>
          </w:p>
        </w:tc>
        <w:tc>
          <w:tcPr>
            <w:tcW w:w="1737" w:type="dxa"/>
          </w:tcPr>
          <w:p w14:paraId="33B82FF4" w14:textId="77777777" w:rsidR="00A374E9" w:rsidRPr="00E64B21" w:rsidRDefault="00A374E9" w:rsidP="00735874">
            <w:pPr>
              <w:spacing w:line="480" w:lineRule="auto"/>
            </w:pPr>
            <w:r w:rsidRPr="000B1952">
              <w:t>0.97</w:t>
            </w:r>
            <w:r>
              <w:t>8</w:t>
            </w:r>
          </w:p>
        </w:tc>
      </w:tr>
      <w:tr w:rsidR="00A374E9" w14:paraId="7C6CF267" w14:textId="77777777" w:rsidTr="00735874">
        <w:tc>
          <w:tcPr>
            <w:tcW w:w="1980" w:type="dxa"/>
          </w:tcPr>
          <w:p w14:paraId="7A357CCF" w14:textId="77777777" w:rsidR="00A374E9" w:rsidRDefault="00A374E9" w:rsidP="00735874">
            <w:pPr>
              <w:spacing w:line="480" w:lineRule="auto"/>
            </w:pPr>
            <w:r>
              <w:t>Coach rating</w:t>
            </w:r>
          </w:p>
        </w:tc>
        <w:tc>
          <w:tcPr>
            <w:tcW w:w="1493" w:type="dxa"/>
          </w:tcPr>
          <w:p w14:paraId="710200D7" w14:textId="77777777" w:rsidR="00A374E9" w:rsidRPr="00E64B21" w:rsidRDefault="00A374E9" w:rsidP="00735874">
            <w:pPr>
              <w:spacing w:line="480" w:lineRule="auto"/>
            </w:pPr>
            <w:r w:rsidRPr="000B1952">
              <w:t>-0.447</w:t>
            </w:r>
          </w:p>
        </w:tc>
        <w:tc>
          <w:tcPr>
            <w:tcW w:w="1737" w:type="dxa"/>
          </w:tcPr>
          <w:p w14:paraId="74E72AD1" w14:textId="77777777" w:rsidR="00A374E9" w:rsidRPr="00E64B21" w:rsidRDefault="00A374E9" w:rsidP="00735874">
            <w:pPr>
              <w:spacing w:line="480" w:lineRule="auto"/>
            </w:pPr>
            <w:r w:rsidRPr="000B1952">
              <w:t>0.16</w:t>
            </w:r>
            <w:r>
              <w:t>6</w:t>
            </w:r>
          </w:p>
        </w:tc>
        <w:tc>
          <w:tcPr>
            <w:tcW w:w="1737" w:type="dxa"/>
          </w:tcPr>
          <w:p w14:paraId="636297B9" w14:textId="77777777" w:rsidR="00A374E9" w:rsidRPr="00E64B21" w:rsidRDefault="00A374E9" w:rsidP="00735874">
            <w:pPr>
              <w:spacing w:line="480" w:lineRule="auto"/>
            </w:pPr>
            <w:r w:rsidRPr="000B1952">
              <w:t>-2.701 </w:t>
            </w:r>
          </w:p>
        </w:tc>
        <w:tc>
          <w:tcPr>
            <w:tcW w:w="1737" w:type="dxa"/>
          </w:tcPr>
          <w:p w14:paraId="58638187" w14:textId="77777777" w:rsidR="00A374E9" w:rsidRPr="00E64B21" w:rsidRDefault="00A374E9" w:rsidP="00735874">
            <w:pPr>
              <w:spacing w:line="480" w:lineRule="auto"/>
            </w:pPr>
            <w:r w:rsidRPr="000B1952">
              <w:t>0.016</w:t>
            </w:r>
            <w:r>
              <w:t>*</w:t>
            </w:r>
          </w:p>
        </w:tc>
      </w:tr>
    </w:tbl>
    <w:p w14:paraId="7A9C5BDD" w14:textId="77777777" w:rsidR="0079684D" w:rsidRDefault="0079684D"/>
    <w:sectPr w:rsidR="0079684D" w:rsidSect="004216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E9"/>
    <w:rsid w:val="000F5D1A"/>
    <w:rsid w:val="00421631"/>
    <w:rsid w:val="0079684D"/>
    <w:rsid w:val="00975478"/>
    <w:rsid w:val="00A37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145F48"/>
  <w15:chartTrackingRefBased/>
  <w15:docId w15:val="{AD16A9F2-2BD3-3D44-8422-756EFE3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4E9"/>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4E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Smith</dc:creator>
  <cp:keywords/>
  <dc:description/>
  <cp:lastModifiedBy>Nicholas Smith</cp:lastModifiedBy>
  <cp:revision>2</cp:revision>
  <dcterms:created xsi:type="dcterms:W3CDTF">2018-12-18T22:48:00Z</dcterms:created>
  <dcterms:modified xsi:type="dcterms:W3CDTF">2018-12-18T22:48:00Z</dcterms:modified>
</cp:coreProperties>
</file>