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E7A71" w14:textId="77777777" w:rsidR="00420BE6" w:rsidRPr="00532221" w:rsidRDefault="00420BE6" w:rsidP="00420BE6">
      <w:pPr>
        <w:spacing w:line="480" w:lineRule="auto"/>
        <w:jc w:val="center"/>
        <w:rPr>
          <w:rFonts w:ascii="Palatino" w:hAnsi="Palatino"/>
          <w:b/>
          <w:sz w:val="28"/>
          <w:szCs w:val="28"/>
        </w:rPr>
      </w:pPr>
      <w:r w:rsidRPr="00532221">
        <w:rPr>
          <w:rFonts w:ascii="Palatino" w:hAnsi="Palatino"/>
          <w:b/>
          <w:sz w:val="28"/>
          <w:szCs w:val="28"/>
        </w:rPr>
        <w:t>Profiling Mycobacterial Communities in Pulmonary Nontuberculous Mycobacterial Disease</w:t>
      </w:r>
    </w:p>
    <w:p w14:paraId="50DC12DF" w14:textId="77777777" w:rsidR="00420BE6" w:rsidRPr="00532221" w:rsidRDefault="00420BE6" w:rsidP="00420BE6">
      <w:pPr>
        <w:spacing w:line="480" w:lineRule="auto"/>
        <w:jc w:val="center"/>
        <w:rPr>
          <w:rFonts w:ascii="Palatino" w:hAnsi="Palatino"/>
        </w:rPr>
      </w:pPr>
    </w:p>
    <w:p w14:paraId="25CCDC57" w14:textId="77777777" w:rsidR="00420BE6" w:rsidRPr="00532221" w:rsidRDefault="00420BE6" w:rsidP="00420BE6">
      <w:pPr>
        <w:spacing w:line="480" w:lineRule="auto"/>
        <w:jc w:val="center"/>
        <w:rPr>
          <w:rFonts w:ascii="Palatino" w:hAnsi="Palatino"/>
        </w:rPr>
      </w:pPr>
      <w:r w:rsidRPr="00532221">
        <w:rPr>
          <w:rFonts w:ascii="Palatino" w:hAnsi="Palatino"/>
        </w:rPr>
        <w:t>Steven A. Cowman</w:t>
      </w:r>
      <w:r w:rsidRPr="00532221">
        <w:rPr>
          <w:rFonts w:ascii="Palatino" w:hAnsi="Palatino"/>
          <w:vertAlign w:val="superscript"/>
        </w:rPr>
        <w:t>1,2</w:t>
      </w:r>
      <w:r w:rsidRPr="00532221">
        <w:rPr>
          <w:rFonts w:ascii="Palatino" w:hAnsi="Palatino"/>
        </w:rPr>
        <w:t>, Phillip James</w:t>
      </w:r>
      <w:r w:rsidRPr="00532221">
        <w:rPr>
          <w:rFonts w:ascii="Palatino" w:hAnsi="Palatino"/>
          <w:vertAlign w:val="superscript"/>
        </w:rPr>
        <w:t>1</w:t>
      </w:r>
      <w:r w:rsidRPr="00532221">
        <w:rPr>
          <w:rFonts w:ascii="Palatino" w:hAnsi="Palatino"/>
        </w:rPr>
        <w:t>, Robert Wilson</w:t>
      </w:r>
      <w:r w:rsidRPr="00532221">
        <w:rPr>
          <w:rFonts w:ascii="Palatino" w:hAnsi="Palatino"/>
          <w:vertAlign w:val="superscript"/>
        </w:rPr>
        <w:t>1,2</w:t>
      </w:r>
      <w:r w:rsidRPr="00532221">
        <w:rPr>
          <w:rFonts w:ascii="Palatino" w:hAnsi="Palatino"/>
        </w:rPr>
        <w:t>, William O. C. Cookson</w:t>
      </w:r>
      <w:r w:rsidRPr="00532221">
        <w:rPr>
          <w:rFonts w:ascii="Palatino" w:hAnsi="Palatino"/>
          <w:vertAlign w:val="superscript"/>
        </w:rPr>
        <w:t>1</w:t>
      </w:r>
      <w:r w:rsidRPr="00532221">
        <w:rPr>
          <w:rFonts w:ascii="Palatino" w:hAnsi="Palatino"/>
        </w:rPr>
        <w:t>, Miriam F. Moffatt*</w:t>
      </w:r>
      <w:r w:rsidRPr="00532221">
        <w:rPr>
          <w:rFonts w:ascii="Palatino" w:hAnsi="Palatino"/>
          <w:vertAlign w:val="superscript"/>
        </w:rPr>
        <w:t>1</w:t>
      </w:r>
      <w:r w:rsidRPr="00532221">
        <w:rPr>
          <w:rFonts w:ascii="Palatino" w:hAnsi="Palatino"/>
        </w:rPr>
        <w:t xml:space="preserve"> and Michael R. </w:t>
      </w:r>
      <w:proofErr w:type="spellStart"/>
      <w:r w:rsidRPr="00532221">
        <w:rPr>
          <w:rFonts w:ascii="Palatino" w:hAnsi="Palatino"/>
        </w:rPr>
        <w:t>Loebinger</w:t>
      </w:r>
      <w:proofErr w:type="spellEnd"/>
      <w:r w:rsidRPr="00532221">
        <w:rPr>
          <w:rFonts w:ascii="Palatino" w:hAnsi="Palatino"/>
        </w:rPr>
        <w:t>*</w:t>
      </w:r>
      <w:r w:rsidRPr="00532221">
        <w:rPr>
          <w:rFonts w:ascii="Palatino" w:hAnsi="Palatino"/>
          <w:vertAlign w:val="superscript"/>
        </w:rPr>
        <w:t>1,2</w:t>
      </w:r>
      <w:r w:rsidRPr="00532221">
        <w:rPr>
          <w:rFonts w:ascii="Palatino" w:hAnsi="Palatino"/>
        </w:rPr>
        <w:t>.</w:t>
      </w:r>
    </w:p>
    <w:p w14:paraId="3F2DBB97" w14:textId="77777777" w:rsidR="00420BE6" w:rsidRPr="00532221" w:rsidRDefault="00420BE6" w:rsidP="00420BE6">
      <w:pPr>
        <w:spacing w:line="360" w:lineRule="auto"/>
        <w:jc w:val="center"/>
        <w:rPr>
          <w:rFonts w:ascii="Palatino" w:hAnsi="Palatino"/>
          <w:b/>
          <w:sz w:val="32"/>
          <w:szCs w:val="32"/>
        </w:rPr>
      </w:pPr>
    </w:p>
    <w:p w14:paraId="58825C5B" w14:textId="3E6C799B" w:rsidR="00420BE6" w:rsidRPr="00532221" w:rsidRDefault="002760BD" w:rsidP="00420BE6">
      <w:pPr>
        <w:spacing w:line="360" w:lineRule="auto"/>
        <w:jc w:val="center"/>
        <w:rPr>
          <w:rFonts w:ascii="Palatino" w:hAnsi="Palatino"/>
          <w:b/>
          <w:sz w:val="28"/>
          <w:szCs w:val="28"/>
        </w:rPr>
      </w:pPr>
      <w:r w:rsidRPr="00532221">
        <w:rPr>
          <w:rFonts w:ascii="Palatino" w:hAnsi="Palatino"/>
          <w:b/>
          <w:sz w:val="28"/>
          <w:szCs w:val="28"/>
        </w:rPr>
        <w:t>SUPPORTING INFORMATION</w:t>
      </w:r>
    </w:p>
    <w:p w14:paraId="1C1DFA5C" w14:textId="77777777" w:rsidR="00420BE6" w:rsidRPr="00532221" w:rsidRDefault="00420BE6" w:rsidP="00420BE6">
      <w:pPr>
        <w:spacing w:line="360" w:lineRule="auto"/>
        <w:rPr>
          <w:rFonts w:ascii="Palatino" w:hAnsi="Palatino"/>
          <w:b/>
          <w:sz w:val="32"/>
          <w:szCs w:val="32"/>
          <w:u w:val="single"/>
        </w:rPr>
      </w:pPr>
    </w:p>
    <w:p w14:paraId="451A5318" w14:textId="77777777" w:rsidR="00420BE6" w:rsidRPr="00532221" w:rsidRDefault="00420BE6" w:rsidP="00420BE6">
      <w:pPr>
        <w:spacing w:line="360" w:lineRule="auto"/>
        <w:rPr>
          <w:rFonts w:ascii="Palatino" w:hAnsi="Palatino"/>
          <w:b/>
          <w:sz w:val="32"/>
          <w:szCs w:val="32"/>
          <w:u w:val="single"/>
        </w:rPr>
      </w:pPr>
      <w:r w:rsidRPr="00532221">
        <w:rPr>
          <w:rFonts w:ascii="Palatino" w:hAnsi="Palatino"/>
          <w:b/>
          <w:sz w:val="32"/>
          <w:szCs w:val="32"/>
          <w:u w:val="single"/>
        </w:rPr>
        <w:t>Supplementary methods</w:t>
      </w:r>
    </w:p>
    <w:p w14:paraId="1DF297FD" w14:textId="77777777" w:rsidR="00420BE6" w:rsidRPr="00532221" w:rsidRDefault="00420BE6" w:rsidP="00420BE6">
      <w:pPr>
        <w:spacing w:line="360" w:lineRule="auto"/>
        <w:rPr>
          <w:rFonts w:ascii="Palatino" w:hAnsi="Palatino"/>
        </w:rPr>
      </w:pPr>
    </w:p>
    <w:p w14:paraId="7EBD7755" w14:textId="77777777" w:rsidR="00420BE6" w:rsidRPr="00532221" w:rsidRDefault="00420BE6" w:rsidP="00420BE6">
      <w:pPr>
        <w:spacing w:line="360" w:lineRule="auto"/>
        <w:rPr>
          <w:rFonts w:ascii="Palatino" w:hAnsi="Palatino"/>
          <w:b/>
        </w:rPr>
      </w:pPr>
      <w:r w:rsidRPr="00532221">
        <w:rPr>
          <w:rFonts w:ascii="Palatino" w:hAnsi="Palatino"/>
          <w:b/>
        </w:rPr>
        <w:t>Mock community formation</w:t>
      </w:r>
    </w:p>
    <w:p w14:paraId="45980172" w14:textId="77777777" w:rsidR="00420BE6" w:rsidRPr="00532221" w:rsidRDefault="00420BE6" w:rsidP="00420BE6">
      <w:pPr>
        <w:spacing w:line="360" w:lineRule="auto"/>
        <w:rPr>
          <w:rFonts w:ascii="Palatino" w:hAnsi="Palatino"/>
        </w:rPr>
      </w:pPr>
    </w:p>
    <w:p w14:paraId="737C5F22" w14:textId="31E003A6" w:rsidR="00420BE6" w:rsidRPr="00532221" w:rsidRDefault="00420BE6" w:rsidP="009D7DB2">
      <w:pPr>
        <w:spacing w:line="360" w:lineRule="auto"/>
        <w:jc w:val="both"/>
        <w:rPr>
          <w:rFonts w:ascii="Palatino" w:hAnsi="Palatino"/>
        </w:rPr>
      </w:pPr>
      <w:r w:rsidRPr="00532221">
        <w:rPr>
          <w:rFonts w:ascii="Palatino" w:hAnsi="Palatino"/>
        </w:rPr>
        <w:t xml:space="preserve">The nontuberculous mycobacteria (NTM) </w:t>
      </w:r>
      <w:proofErr w:type="spellStart"/>
      <w:r w:rsidRPr="00532221">
        <w:rPr>
          <w:rFonts w:ascii="Palatino" w:hAnsi="Palatino"/>
        </w:rPr>
        <w:t>typestrains</w:t>
      </w:r>
      <w:proofErr w:type="spellEnd"/>
      <w:r w:rsidRPr="00532221">
        <w:rPr>
          <w:rFonts w:ascii="Palatino" w:hAnsi="Palatino"/>
        </w:rPr>
        <w:t xml:space="preserve"> used in the formation of the moc</w:t>
      </w:r>
      <w:r w:rsidR="0038176E" w:rsidRPr="00532221">
        <w:rPr>
          <w:rFonts w:ascii="Palatino" w:hAnsi="Palatino"/>
        </w:rPr>
        <w:t>k community are shown in S</w:t>
      </w:r>
      <w:r w:rsidRPr="00532221">
        <w:rPr>
          <w:rFonts w:ascii="Palatino" w:hAnsi="Palatino"/>
        </w:rPr>
        <w:t>1</w:t>
      </w:r>
      <w:r w:rsidR="001E5037">
        <w:rPr>
          <w:rFonts w:ascii="Palatino" w:hAnsi="Palatino"/>
        </w:rPr>
        <w:t xml:space="preserve"> Table</w:t>
      </w:r>
      <w:r w:rsidRPr="00532221">
        <w:rPr>
          <w:rFonts w:ascii="Palatino" w:hAnsi="Palatino"/>
        </w:rPr>
        <w:t xml:space="preserve">. </w:t>
      </w:r>
    </w:p>
    <w:p w14:paraId="59649932" w14:textId="77777777" w:rsidR="00420BE6" w:rsidRPr="00532221" w:rsidRDefault="00420BE6" w:rsidP="009D7DB2">
      <w:pPr>
        <w:spacing w:line="360" w:lineRule="auto"/>
        <w:jc w:val="both"/>
        <w:rPr>
          <w:rFonts w:ascii="Palatino" w:hAnsi="Palatino"/>
        </w:rPr>
      </w:pPr>
    </w:p>
    <w:p w14:paraId="0355E9DC" w14:textId="77777777" w:rsidR="00420BE6" w:rsidRPr="00532221" w:rsidRDefault="00420BE6" w:rsidP="009D7DB2">
      <w:pPr>
        <w:spacing w:line="360" w:lineRule="auto"/>
        <w:jc w:val="both"/>
        <w:rPr>
          <w:rFonts w:ascii="Palatino" w:hAnsi="Palatino"/>
        </w:rPr>
      </w:pPr>
      <w:proofErr w:type="spellStart"/>
      <w:r w:rsidRPr="00532221">
        <w:rPr>
          <w:rFonts w:ascii="Palatino" w:hAnsi="Palatino"/>
        </w:rPr>
        <w:t>Lyophilised</w:t>
      </w:r>
      <w:proofErr w:type="spellEnd"/>
      <w:r w:rsidRPr="00532221">
        <w:rPr>
          <w:rFonts w:ascii="Palatino" w:hAnsi="Palatino"/>
        </w:rPr>
        <w:t xml:space="preserve"> genomic DNA was obtained from the Leibniz-</w:t>
      </w:r>
      <w:proofErr w:type="spellStart"/>
      <w:r w:rsidRPr="00532221">
        <w:rPr>
          <w:rFonts w:ascii="Palatino" w:hAnsi="Palatino"/>
        </w:rPr>
        <w:t>Institut</w:t>
      </w:r>
      <w:proofErr w:type="spellEnd"/>
      <w:r w:rsidRPr="00532221">
        <w:rPr>
          <w:rFonts w:ascii="Palatino" w:hAnsi="Palatino"/>
        </w:rPr>
        <w:t xml:space="preserve"> Deutsche </w:t>
      </w:r>
      <w:proofErr w:type="spellStart"/>
      <w:r w:rsidRPr="00532221">
        <w:rPr>
          <w:rFonts w:ascii="Palatino" w:hAnsi="Palatino"/>
        </w:rPr>
        <w:t>Sammlung</w:t>
      </w:r>
      <w:proofErr w:type="spellEnd"/>
      <w:r w:rsidRPr="00532221">
        <w:rPr>
          <w:rFonts w:ascii="Palatino" w:hAnsi="Palatino"/>
        </w:rPr>
        <w:t xml:space="preserve"> von </w:t>
      </w:r>
      <w:proofErr w:type="spellStart"/>
      <w:r w:rsidRPr="00532221">
        <w:rPr>
          <w:rFonts w:ascii="Palatino" w:hAnsi="Palatino"/>
        </w:rPr>
        <w:t>Mikroorganismen</w:t>
      </w:r>
      <w:proofErr w:type="spellEnd"/>
      <w:r w:rsidRPr="00532221">
        <w:rPr>
          <w:rFonts w:ascii="Palatino" w:hAnsi="Palatino"/>
        </w:rPr>
        <w:t xml:space="preserve"> und </w:t>
      </w:r>
      <w:proofErr w:type="spellStart"/>
      <w:r w:rsidRPr="00532221">
        <w:rPr>
          <w:rFonts w:ascii="Palatino" w:hAnsi="Palatino"/>
        </w:rPr>
        <w:t>Zellkulturen</w:t>
      </w:r>
      <w:proofErr w:type="spellEnd"/>
      <w:r w:rsidRPr="00532221">
        <w:rPr>
          <w:rFonts w:ascii="Palatino" w:hAnsi="Palatino"/>
        </w:rPr>
        <w:t xml:space="preserve"> (DSMZ, </w:t>
      </w:r>
      <w:proofErr w:type="spellStart"/>
      <w:r w:rsidRPr="00532221">
        <w:rPr>
          <w:rFonts w:ascii="Palatino" w:hAnsi="Palatino"/>
        </w:rPr>
        <w:t>Braunschweig</w:t>
      </w:r>
      <w:proofErr w:type="spellEnd"/>
      <w:r w:rsidRPr="00532221">
        <w:rPr>
          <w:rFonts w:ascii="Palatino" w:hAnsi="Palatino"/>
        </w:rPr>
        <w:t xml:space="preserve">, Germany). For each </w:t>
      </w:r>
      <w:proofErr w:type="spellStart"/>
      <w:r w:rsidRPr="00532221">
        <w:rPr>
          <w:rFonts w:ascii="Palatino" w:hAnsi="Palatino"/>
        </w:rPr>
        <w:t>typestrain</w:t>
      </w:r>
      <w:proofErr w:type="spellEnd"/>
      <w:r w:rsidRPr="00532221">
        <w:rPr>
          <w:rFonts w:ascii="Palatino" w:hAnsi="Palatino"/>
        </w:rPr>
        <w:t xml:space="preserve">, </w:t>
      </w:r>
      <w:r w:rsidRPr="00532221">
        <w:rPr>
          <w:rFonts w:ascii="Palatino" w:hAnsi="Palatino"/>
          <w:i/>
        </w:rPr>
        <w:t>hsp65</w:t>
      </w:r>
      <w:r w:rsidRPr="00532221">
        <w:rPr>
          <w:rFonts w:ascii="Palatino" w:hAnsi="Palatino"/>
        </w:rPr>
        <w:t xml:space="preserve"> amplicons were generated by PCR using the TB11 (5’ – ACC AAC GAT GGT GTG TCC AT - 3’) and TB12 (5’ – CTT GTC GAA CCG CAT ACC CT - 3’) primers and gel-purified using the </w:t>
      </w:r>
      <w:proofErr w:type="spellStart"/>
      <w:r w:rsidRPr="00532221">
        <w:rPr>
          <w:rFonts w:ascii="Palatino" w:hAnsi="Palatino"/>
        </w:rPr>
        <w:t>QIAquick</w:t>
      </w:r>
      <w:proofErr w:type="spellEnd"/>
      <w:r w:rsidRPr="00532221">
        <w:rPr>
          <w:rFonts w:ascii="Palatino" w:hAnsi="Palatino"/>
        </w:rPr>
        <w:t xml:space="preserve"> Gel Extraction Kit (QIAGEN, Hilden, Germany). Purified amplicons were cloned into </w:t>
      </w:r>
      <w:r w:rsidRPr="00532221">
        <w:rPr>
          <w:rFonts w:ascii="Palatino" w:hAnsi="Palatino"/>
          <w:i/>
        </w:rPr>
        <w:t>E. coli</w:t>
      </w:r>
      <w:r w:rsidRPr="00532221">
        <w:rPr>
          <w:rFonts w:ascii="Palatino" w:hAnsi="Palatino"/>
        </w:rPr>
        <w:t xml:space="preserve"> cells using the TOPO® TA Cloning® Kit for Sequencing (Invitrogen/</w:t>
      </w:r>
      <w:proofErr w:type="spellStart"/>
      <w:r w:rsidRPr="00532221">
        <w:rPr>
          <w:rFonts w:ascii="Palatino" w:hAnsi="Palatino"/>
        </w:rPr>
        <w:t>Thermo</w:t>
      </w:r>
      <w:proofErr w:type="spellEnd"/>
      <w:r w:rsidRPr="00532221">
        <w:rPr>
          <w:rFonts w:ascii="Palatino" w:hAnsi="Palatino"/>
        </w:rPr>
        <w:t xml:space="preserve"> Fisher Scientific, Waltham, USA) and cloned plasmid DNA extracted using the </w:t>
      </w:r>
      <w:proofErr w:type="spellStart"/>
      <w:r w:rsidRPr="00532221">
        <w:rPr>
          <w:rFonts w:ascii="Palatino" w:hAnsi="Palatino"/>
        </w:rPr>
        <w:t>PureLink</w:t>
      </w:r>
      <w:proofErr w:type="spellEnd"/>
      <w:r w:rsidRPr="00532221">
        <w:rPr>
          <w:rFonts w:ascii="Palatino" w:hAnsi="Palatino"/>
        </w:rPr>
        <w:t xml:space="preserve"> Quick Plasmid DNA </w:t>
      </w:r>
      <w:proofErr w:type="spellStart"/>
      <w:r w:rsidRPr="00532221">
        <w:rPr>
          <w:rFonts w:ascii="Palatino" w:hAnsi="Palatino"/>
        </w:rPr>
        <w:t>Miniprep</w:t>
      </w:r>
      <w:proofErr w:type="spellEnd"/>
      <w:r w:rsidRPr="00532221">
        <w:rPr>
          <w:rFonts w:ascii="Palatino" w:hAnsi="Palatino"/>
        </w:rPr>
        <w:t xml:space="preserve"> Kit (Invitrogen/</w:t>
      </w:r>
      <w:proofErr w:type="spellStart"/>
      <w:r w:rsidRPr="00532221">
        <w:rPr>
          <w:rFonts w:ascii="Palatino" w:hAnsi="Palatino"/>
        </w:rPr>
        <w:t>Thermo</w:t>
      </w:r>
      <w:proofErr w:type="spellEnd"/>
      <w:r w:rsidRPr="00532221">
        <w:rPr>
          <w:rFonts w:ascii="Palatino" w:hAnsi="Palatino"/>
        </w:rPr>
        <w:t xml:space="preserve"> Fisher Scientific). </w:t>
      </w:r>
      <w:proofErr w:type="spellStart"/>
      <w:r w:rsidRPr="00532221">
        <w:rPr>
          <w:rFonts w:ascii="Palatino" w:hAnsi="Palatino"/>
        </w:rPr>
        <w:t>Typestrain</w:t>
      </w:r>
      <w:proofErr w:type="spellEnd"/>
      <w:r w:rsidRPr="00532221">
        <w:rPr>
          <w:rFonts w:ascii="Palatino" w:hAnsi="Palatino"/>
        </w:rPr>
        <w:t xml:space="preserve"> plasmid DNA was quantified by qPCR using TB11 and TB12 primers and pooled in equimolar proportions to a final concentration 2 x 10</w:t>
      </w:r>
      <w:r w:rsidRPr="00532221">
        <w:rPr>
          <w:rFonts w:ascii="Palatino" w:hAnsi="Palatino"/>
          <w:vertAlign w:val="superscript"/>
        </w:rPr>
        <w:t>5</w:t>
      </w:r>
      <w:r w:rsidRPr="00532221">
        <w:rPr>
          <w:rFonts w:ascii="Palatino" w:hAnsi="Palatino"/>
        </w:rPr>
        <w:t xml:space="preserve"> copies/</w:t>
      </w:r>
      <w:proofErr w:type="spellStart"/>
      <w:r w:rsidRPr="00532221">
        <w:rPr>
          <w:rFonts w:ascii="Palatino" w:hAnsi="Palatino"/>
        </w:rPr>
        <w:t>μl</w:t>
      </w:r>
      <w:proofErr w:type="spellEnd"/>
      <w:r w:rsidRPr="00532221">
        <w:rPr>
          <w:rFonts w:ascii="Palatino" w:hAnsi="Palatino"/>
        </w:rPr>
        <w:t>.</w:t>
      </w:r>
    </w:p>
    <w:p w14:paraId="11F95678" w14:textId="77777777" w:rsidR="00420BE6" w:rsidRPr="00532221" w:rsidRDefault="00420BE6" w:rsidP="00420BE6">
      <w:pPr>
        <w:spacing w:line="360" w:lineRule="auto"/>
        <w:rPr>
          <w:rFonts w:ascii="Palatino" w:hAnsi="Palatino"/>
        </w:rPr>
      </w:pPr>
    </w:p>
    <w:p w14:paraId="25770041" w14:textId="77777777" w:rsidR="00420BE6" w:rsidRPr="00532221" w:rsidRDefault="00420BE6" w:rsidP="00420BE6">
      <w:pPr>
        <w:spacing w:line="360" w:lineRule="auto"/>
        <w:rPr>
          <w:rFonts w:ascii="Palatino" w:hAnsi="Palatino"/>
          <w:b/>
        </w:rPr>
      </w:pPr>
      <w:r w:rsidRPr="00532221">
        <w:rPr>
          <w:rFonts w:ascii="Palatino" w:hAnsi="Palatino"/>
          <w:b/>
        </w:rPr>
        <w:t>Reference database creation</w:t>
      </w:r>
    </w:p>
    <w:p w14:paraId="61517C1A" w14:textId="77777777" w:rsidR="00420BE6" w:rsidRPr="00532221" w:rsidRDefault="00420BE6" w:rsidP="00420BE6">
      <w:pPr>
        <w:spacing w:line="360" w:lineRule="auto"/>
        <w:rPr>
          <w:rFonts w:ascii="Palatino" w:hAnsi="Palatino"/>
          <w:b/>
        </w:rPr>
      </w:pPr>
    </w:p>
    <w:p w14:paraId="0E12DE05" w14:textId="34593872" w:rsidR="00420BE6" w:rsidRPr="00532221" w:rsidRDefault="00420BE6" w:rsidP="009D7DB2">
      <w:pPr>
        <w:spacing w:line="360" w:lineRule="auto"/>
        <w:jc w:val="both"/>
        <w:rPr>
          <w:rFonts w:ascii="Palatino" w:hAnsi="Palatino"/>
        </w:rPr>
      </w:pPr>
      <w:r w:rsidRPr="00532221">
        <w:rPr>
          <w:rFonts w:ascii="Palatino" w:hAnsi="Palatino"/>
        </w:rPr>
        <w:t>Described NTM species were identified from the List of Prokaryotic names with Standing in Nomenclature</w:t>
      </w:r>
      <w:r w:rsidR="002E1A24" w:rsidRPr="00532221">
        <w:rPr>
          <w:rFonts w:ascii="Palatino" w:hAnsi="Palatino"/>
        </w:rPr>
        <w:t xml:space="preserve"> </w:t>
      </w:r>
      <w:r w:rsidRPr="00532221">
        <w:rPr>
          <w:rFonts w:ascii="Palatino" w:hAnsi="Palatino"/>
        </w:rPr>
        <w:fldChar w:fldCharType="begin"/>
      </w:r>
      <w:r w:rsidR="00271031">
        <w:rPr>
          <w:rFonts w:ascii="Palatino" w:hAnsi="Palatino"/>
        </w:rPr>
        <w:instrText xml:space="preserve"> ADDIN PAPERS2_CITATIONS &lt;citation&gt;&lt;uuid&gt;7C276ED5-D078-44A4-ADFF-07C760F655AA&lt;/uuid&gt;&lt;priority&gt;0&lt;/priority&gt;&lt;publications&gt;&lt;publication&gt;&lt;uuid&gt;4CDD7128-DAB1-4C88-98DD-DA23246667C9&lt;/uuid&gt;&lt;volume&gt;47&lt;/volume&gt;&lt;startpage&gt;590&lt;/startpage&gt;&lt;publication_date&gt;99199704001200000000220000&lt;/publication_date&gt;&lt;url&gt;http://eutils.ncbi.nlm.nih.gov/entrez/eutils/elink.fcgi?dbfrom=pubmed&amp;amp;id=9103655&amp;amp;retmode=ref&amp;amp;cmd=prlinks&lt;/url&gt;&lt;citekey&gt;Euzeby:1997vt&lt;/citekey&gt;&lt;type&gt;400&lt;/type&gt;&lt;title&gt;List of Bacterial Names with Standing in Nomenclature: a folder available on the Internet.&lt;/title&gt;&lt;institution&gt;Laboratoire de Bactériologie, Ecole Nationale Vétérinaire, Toulouse, France.&lt;/institution&gt;&lt;number&gt;2&lt;/number&gt;&lt;subtype&gt;400&lt;/subtype&gt;&lt;endpage&gt;592&lt;/endpage&gt;&lt;bundle&gt;&lt;publication&gt;&lt;title&gt;International journal of systematic bacteriology&lt;/title&gt;&lt;type&gt;-100&lt;/type&gt;&lt;subtype&gt;-100&lt;/subtype&gt;&lt;uuid&gt;00103F55-2AD7-4AD9-B5A0-EF8542CD680F&lt;/uuid&gt;&lt;/publication&gt;&lt;/bundle&gt;&lt;authors&gt;&lt;author&gt;&lt;firstName&gt;J&lt;/firstName&gt;&lt;middleNames&gt;P&lt;/middleNames&gt;&lt;lastName&gt;Euzeby&lt;/lastName&gt;&lt;/author&gt;&lt;/authors&gt;&lt;/publication&gt;&lt;/publications&gt;&lt;cites&gt;&lt;/cites&gt;&lt;/citation&gt;</w:instrText>
      </w:r>
      <w:r w:rsidRPr="00532221">
        <w:rPr>
          <w:rFonts w:ascii="Palatino" w:hAnsi="Palatino"/>
        </w:rPr>
        <w:fldChar w:fldCharType="separate"/>
      </w:r>
      <w:r w:rsidR="002E1A24" w:rsidRPr="00532221">
        <w:rPr>
          <w:rFonts w:ascii="Palatino" w:hAnsi="Palatino" w:cs="Palatino"/>
          <w:lang w:val="en-GB"/>
        </w:rPr>
        <w:t>[1]</w:t>
      </w:r>
      <w:r w:rsidRPr="00532221">
        <w:rPr>
          <w:rFonts w:ascii="Palatino" w:hAnsi="Palatino"/>
        </w:rPr>
        <w:fldChar w:fldCharType="end"/>
      </w:r>
      <w:r w:rsidRPr="00532221">
        <w:rPr>
          <w:rFonts w:ascii="Palatino" w:hAnsi="Palatino"/>
        </w:rPr>
        <w:t xml:space="preserve"> (http://www.bacterio.net - accessed 12/8/14) and </w:t>
      </w:r>
      <w:r w:rsidRPr="00532221">
        <w:rPr>
          <w:rFonts w:ascii="Palatino" w:hAnsi="Palatino"/>
          <w:i/>
        </w:rPr>
        <w:t xml:space="preserve">hsp65 </w:t>
      </w:r>
      <w:r w:rsidRPr="00532221">
        <w:rPr>
          <w:rFonts w:ascii="Palatino" w:hAnsi="Palatino"/>
        </w:rPr>
        <w:t xml:space="preserve">sequences for each species were obtained from the NCBI nucleotide database </w:t>
      </w:r>
      <w:r w:rsidRPr="00532221">
        <w:rPr>
          <w:rFonts w:ascii="Palatino" w:hAnsi="Palatino"/>
        </w:rPr>
        <w:lastRenderedPageBreak/>
        <w:t xml:space="preserve">(http://www.ncbi.nlm.nih.gov/nuccore/ – accessed on 13/8/2014). To identify non-mycobacterial sequences which may potentially be amplified by the TB11/TB12 primer pair, NCBI Primer-BLAST (http://www.ncbi.nlm.nih.gov/tools/primer-blast/ - accessed on 13/8/2014) was used allowing up to two mismatches at each primer site, and the </w:t>
      </w:r>
      <w:r w:rsidRPr="00532221">
        <w:rPr>
          <w:rFonts w:ascii="Palatino" w:hAnsi="Palatino"/>
          <w:i/>
        </w:rPr>
        <w:t>hsp65</w:t>
      </w:r>
      <w:r w:rsidRPr="00532221">
        <w:rPr>
          <w:rFonts w:ascii="Palatino" w:hAnsi="Palatino"/>
        </w:rPr>
        <w:t xml:space="preserve"> sequences encompassed by the primer pair were retrieved. An additional 11 sequences were later added from the sequencing of </w:t>
      </w:r>
      <w:r w:rsidRPr="00532221">
        <w:rPr>
          <w:rFonts w:ascii="Palatino" w:hAnsi="Palatino"/>
          <w:i/>
        </w:rPr>
        <w:t>hsp65</w:t>
      </w:r>
      <w:r w:rsidRPr="00532221">
        <w:rPr>
          <w:rFonts w:ascii="Palatino" w:hAnsi="Palatino"/>
        </w:rPr>
        <w:t xml:space="preserve"> amplicons cloned for the construction of the mock community described above giving a total of 389 sequences in the reference database. The sequences were aligned, trimmed and formatted for use with QIIME. </w:t>
      </w:r>
    </w:p>
    <w:p w14:paraId="04DC20DD" w14:textId="77777777" w:rsidR="00420BE6" w:rsidRPr="00532221" w:rsidRDefault="00420BE6" w:rsidP="00420BE6">
      <w:pPr>
        <w:spacing w:line="360" w:lineRule="auto"/>
        <w:rPr>
          <w:rFonts w:ascii="Palatino" w:hAnsi="Palatino"/>
        </w:rPr>
      </w:pPr>
    </w:p>
    <w:p w14:paraId="0BE576DC" w14:textId="77777777" w:rsidR="00420BE6" w:rsidRPr="00532221" w:rsidRDefault="00420BE6" w:rsidP="00420BE6">
      <w:pPr>
        <w:spacing w:line="360" w:lineRule="auto"/>
        <w:rPr>
          <w:rFonts w:ascii="Palatino" w:hAnsi="Palatino"/>
          <w:b/>
        </w:rPr>
      </w:pPr>
      <w:r w:rsidRPr="00532221">
        <w:rPr>
          <w:rFonts w:ascii="Palatino" w:hAnsi="Palatino"/>
          <w:b/>
        </w:rPr>
        <w:t>Primer design</w:t>
      </w:r>
    </w:p>
    <w:p w14:paraId="7D0D8EB7" w14:textId="77777777" w:rsidR="00420BE6" w:rsidRPr="00532221" w:rsidRDefault="00420BE6" w:rsidP="00420BE6">
      <w:pPr>
        <w:spacing w:line="360" w:lineRule="auto"/>
        <w:rPr>
          <w:rFonts w:ascii="Palatino" w:hAnsi="Palatino"/>
        </w:rPr>
      </w:pPr>
    </w:p>
    <w:p w14:paraId="0C28F68C" w14:textId="30EDDCFF" w:rsidR="00420BE6" w:rsidRDefault="00420BE6" w:rsidP="003330B7">
      <w:pPr>
        <w:spacing w:line="360" w:lineRule="auto"/>
        <w:jc w:val="both"/>
        <w:rPr>
          <w:rFonts w:ascii="Palatino" w:hAnsi="Palatino"/>
        </w:rPr>
      </w:pPr>
      <w:r w:rsidRPr="00532221">
        <w:rPr>
          <w:rFonts w:ascii="Palatino" w:hAnsi="Palatino"/>
        </w:rPr>
        <w:t xml:space="preserve">Barcoded paired-end primers were constructed as described by </w:t>
      </w:r>
      <w:proofErr w:type="spellStart"/>
      <w:r w:rsidRPr="00532221">
        <w:rPr>
          <w:rFonts w:ascii="Palatino" w:hAnsi="Palatino"/>
        </w:rPr>
        <w:t>Kozich</w:t>
      </w:r>
      <w:proofErr w:type="spellEnd"/>
      <w:r w:rsidRPr="00532221">
        <w:rPr>
          <w:rFonts w:ascii="Palatino" w:hAnsi="Palatino"/>
        </w:rPr>
        <w:t xml:space="preserve"> et al. </w:t>
      </w:r>
      <w:r w:rsidR="002E1A24" w:rsidRPr="00532221">
        <w:rPr>
          <w:rFonts w:ascii="Palatino" w:hAnsi="Palatino"/>
        </w:rPr>
        <w:fldChar w:fldCharType="begin"/>
      </w:r>
      <w:r w:rsidR="00271031">
        <w:rPr>
          <w:rFonts w:ascii="Palatino" w:hAnsi="Palatino"/>
        </w:rPr>
        <w:instrText xml:space="preserve"> ADDIN PAPERS2_CITATIONS &lt;citation&gt;&lt;uuid&gt;D875F6FB-182E-42EF-AC69-423AECB6E333&lt;/uuid&gt;&lt;priority&gt;0&lt;/priority&gt;&lt;publications&gt;&lt;publication&gt;&lt;uuid&gt;7D30A712-F073-4965-AE69-AFEFE9CAA082&lt;/uuid&gt;&lt;volume&gt;79&lt;/volume&gt;&lt;doi&gt;10.1128/AEM.01043-13&lt;/doi&gt;&lt;startpage&gt;5112&lt;/startpage&gt;&lt;publication_date&gt;99201309001200000000220000&lt;/publication_date&gt;&lt;url&gt;http://eutils.ncbi.nlm.nih.gov/entrez/eutils/elink.fcgi?dbfrom=pubmed&amp;amp;id=23793624&amp;amp;retmode=ref&amp;amp;cmd=prlinks&lt;/url&gt;&lt;type&gt;400&lt;/type&gt;&lt;title&gt;Development of a dual-index sequencing strategy and curation pipeline for analyzing amplicon sequence data on the MiSeq Illumina sequencing platform.&lt;/title&gt;&lt;institution&gt;Department of Microbiology and Immunology, University of Michigan, Ann Arbor, Michigan, USA.&lt;/institution&gt;&lt;number&gt;17&lt;/number&gt;&lt;subtype&gt;400&lt;/subtype&gt;&lt;endpage&gt;5120&lt;/endpage&gt;&lt;bundle&gt;&lt;publication&gt;&lt;title&gt;Applied and environmental microbiology&lt;/title&gt;&lt;type&gt;-100&lt;/type&gt;&lt;subtype&gt;-100&lt;/subtype&gt;&lt;uuid&gt;C25731FF-A486-4E0D-A276-75C30F7C40EE&lt;/uuid&gt;&lt;/publication&gt;&lt;/bundle&gt;&lt;authors&gt;&lt;author&gt;&lt;firstName&gt;James&lt;/firstName&gt;&lt;middleNames&gt;J&lt;/middleNames&gt;&lt;lastName&gt;Kozich&lt;/lastName&gt;&lt;/author&gt;&lt;author&gt;&lt;firstName&gt;Sarah&lt;/firstName&gt;&lt;middleNames&gt;L&lt;/middleNames&gt;&lt;lastName&gt;Westcott&lt;/lastName&gt;&lt;/author&gt;&lt;author&gt;&lt;firstName&gt;Nielson&lt;/firstName&gt;&lt;middleNames&gt;T&lt;/middleNames&gt;&lt;lastName&gt;Baxter&lt;/lastName&gt;&lt;/author&gt;&lt;author&gt;&lt;firstName&gt;Sarah&lt;/firstName&gt;&lt;middleNames&gt;K&lt;/middleNames&gt;&lt;lastName&gt;Highlander&lt;/lastName&gt;&lt;/author&gt;&lt;author&gt;&lt;firstName&gt;Patrick&lt;/firstName&gt;&lt;middleNames&gt;D&lt;/middleNames&gt;&lt;lastName&gt;Schloss&lt;/lastName&gt;&lt;/author&gt;&lt;/authors&gt;&lt;/publication&gt;&lt;/publications&gt;&lt;cites&gt;&lt;/cites&gt;&lt;/citation&gt;</w:instrText>
      </w:r>
      <w:r w:rsidR="002E1A24" w:rsidRPr="00532221">
        <w:rPr>
          <w:rFonts w:ascii="Palatino" w:hAnsi="Palatino"/>
        </w:rPr>
        <w:fldChar w:fldCharType="separate"/>
      </w:r>
      <w:r w:rsidR="002E1A24" w:rsidRPr="00532221">
        <w:rPr>
          <w:rFonts w:ascii="Palatino" w:hAnsi="Palatino" w:cs="Palatino"/>
          <w:lang w:val="en-GB"/>
        </w:rPr>
        <w:t>[2]</w:t>
      </w:r>
      <w:r w:rsidR="002E1A24" w:rsidRPr="00532221">
        <w:rPr>
          <w:rFonts w:ascii="Palatino" w:hAnsi="Palatino"/>
        </w:rPr>
        <w:fldChar w:fldCharType="end"/>
      </w:r>
      <w:r w:rsidR="002E1A24" w:rsidRPr="00532221">
        <w:rPr>
          <w:rFonts w:ascii="Palatino" w:hAnsi="Palatino"/>
        </w:rPr>
        <w:t xml:space="preserve"> </w:t>
      </w:r>
      <w:r w:rsidRPr="00532221">
        <w:rPr>
          <w:rFonts w:ascii="Palatino" w:hAnsi="Palatino"/>
        </w:rPr>
        <w:t xml:space="preserve">using index sequences from the </w:t>
      </w:r>
      <w:proofErr w:type="spellStart"/>
      <w:r w:rsidRPr="00532221">
        <w:rPr>
          <w:rFonts w:ascii="Palatino" w:hAnsi="Palatino"/>
        </w:rPr>
        <w:t>Nextera</w:t>
      </w:r>
      <w:proofErr w:type="spellEnd"/>
      <w:r w:rsidRPr="00532221">
        <w:rPr>
          <w:rFonts w:ascii="Palatino" w:hAnsi="Palatino"/>
        </w:rPr>
        <w:t xml:space="preserve"> Index Kit (Illumina, </w:t>
      </w:r>
      <w:r w:rsidRPr="00532221">
        <w:rPr>
          <w:rFonts w:ascii="Palatino" w:hAnsi="Palatino" w:cs="Gill Sans"/>
        </w:rPr>
        <w:t>San Diego, USA</w:t>
      </w:r>
      <w:r w:rsidRPr="00532221">
        <w:rPr>
          <w:rFonts w:ascii="Palatino" w:hAnsi="Palatino"/>
        </w:rPr>
        <w:t>). Prime</w:t>
      </w:r>
      <w:r w:rsidR="009D7DB2">
        <w:rPr>
          <w:rFonts w:ascii="Palatino" w:hAnsi="Palatino"/>
        </w:rPr>
        <w:t xml:space="preserve">r sequences are given in </w:t>
      </w:r>
      <w:r w:rsidR="0038176E" w:rsidRPr="00532221">
        <w:rPr>
          <w:rFonts w:ascii="Palatino" w:hAnsi="Palatino"/>
        </w:rPr>
        <w:t>S</w:t>
      </w:r>
      <w:r w:rsidRPr="00532221">
        <w:rPr>
          <w:rFonts w:ascii="Palatino" w:hAnsi="Palatino"/>
        </w:rPr>
        <w:t>2</w:t>
      </w:r>
      <w:r w:rsidR="009D7DB2">
        <w:rPr>
          <w:rFonts w:ascii="Palatino" w:hAnsi="Palatino"/>
        </w:rPr>
        <w:t xml:space="preserve"> Table</w:t>
      </w:r>
      <w:r w:rsidR="00D53C10">
        <w:rPr>
          <w:rFonts w:ascii="Palatino" w:hAnsi="Palatino"/>
        </w:rPr>
        <w:t>.</w:t>
      </w:r>
    </w:p>
    <w:p w14:paraId="37D86CEC" w14:textId="77777777" w:rsidR="00D53C10" w:rsidRDefault="00D53C10" w:rsidP="00420BE6">
      <w:pPr>
        <w:spacing w:line="360" w:lineRule="auto"/>
        <w:rPr>
          <w:rFonts w:ascii="Palatino" w:hAnsi="Palatino"/>
          <w:b/>
        </w:rPr>
      </w:pPr>
    </w:p>
    <w:p w14:paraId="539A2198" w14:textId="77777777" w:rsidR="00420BE6" w:rsidRPr="00532221" w:rsidRDefault="00420BE6" w:rsidP="00420BE6">
      <w:pPr>
        <w:spacing w:line="360" w:lineRule="auto"/>
        <w:rPr>
          <w:rFonts w:ascii="Palatino" w:hAnsi="Palatino"/>
          <w:b/>
        </w:rPr>
      </w:pPr>
      <w:r w:rsidRPr="00532221">
        <w:rPr>
          <w:rFonts w:ascii="Palatino" w:hAnsi="Palatino"/>
          <w:b/>
        </w:rPr>
        <w:t>DNA extraction</w:t>
      </w:r>
    </w:p>
    <w:p w14:paraId="5B07A300" w14:textId="77777777" w:rsidR="00420BE6" w:rsidRPr="00532221" w:rsidRDefault="00420BE6" w:rsidP="003330B7">
      <w:pPr>
        <w:spacing w:line="360" w:lineRule="auto"/>
        <w:jc w:val="both"/>
        <w:rPr>
          <w:rFonts w:ascii="Palatino" w:hAnsi="Palatino"/>
        </w:rPr>
      </w:pPr>
    </w:p>
    <w:p w14:paraId="4F052E96" w14:textId="77777777" w:rsidR="00420BE6" w:rsidRPr="00532221" w:rsidRDefault="00420BE6" w:rsidP="003330B7">
      <w:pPr>
        <w:spacing w:line="360" w:lineRule="auto"/>
        <w:jc w:val="both"/>
        <w:rPr>
          <w:rFonts w:ascii="Palatino" w:hAnsi="Palatino"/>
        </w:rPr>
      </w:pPr>
      <w:r w:rsidRPr="00532221">
        <w:rPr>
          <w:rFonts w:ascii="Palatino" w:hAnsi="Palatino"/>
        </w:rPr>
        <w:t>Samples were thawed within a dedicated, UV-</w:t>
      </w:r>
      <w:proofErr w:type="spellStart"/>
      <w:r w:rsidRPr="00532221">
        <w:rPr>
          <w:rFonts w:ascii="Palatino" w:hAnsi="Palatino"/>
        </w:rPr>
        <w:t>sterilised</w:t>
      </w:r>
      <w:proofErr w:type="spellEnd"/>
      <w:r w:rsidRPr="00532221">
        <w:rPr>
          <w:rFonts w:ascii="Palatino" w:hAnsi="Palatino"/>
        </w:rPr>
        <w:t xml:space="preserve"> hood and 300μl transferred into Lysing Matrix E tubes (MP </w:t>
      </w:r>
      <w:proofErr w:type="spellStart"/>
      <w:r w:rsidRPr="00532221">
        <w:rPr>
          <w:rFonts w:ascii="Palatino" w:hAnsi="Palatino"/>
        </w:rPr>
        <w:t>Biomedicals</w:t>
      </w:r>
      <w:proofErr w:type="spellEnd"/>
      <w:r w:rsidRPr="00532221">
        <w:rPr>
          <w:rFonts w:ascii="Palatino" w:hAnsi="Palatino"/>
        </w:rPr>
        <w:t xml:space="preserve">, Solon, USA) containing 10% w/v </w:t>
      </w:r>
      <w:proofErr w:type="spellStart"/>
      <w:r w:rsidRPr="00532221">
        <w:rPr>
          <w:rFonts w:ascii="Palatino" w:hAnsi="Palatino" w:cs="Helvetica"/>
        </w:rPr>
        <w:t>hexadecyl</w:t>
      </w:r>
      <w:proofErr w:type="spellEnd"/>
      <w:r w:rsidRPr="00532221">
        <w:rPr>
          <w:rFonts w:ascii="Palatino" w:hAnsi="Palatino" w:cs="Helvetica"/>
        </w:rPr>
        <w:t>-</w:t>
      </w:r>
      <w:proofErr w:type="spellStart"/>
      <w:r w:rsidRPr="00532221">
        <w:rPr>
          <w:rFonts w:ascii="Palatino" w:hAnsi="Palatino" w:cs="Helvetica"/>
        </w:rPr>
        <w:t>trimethyl</w:t>
      </w:r>
      <w:proofErr w:type="spellEnd"/>
      <w:r w:rsidRPr="00532221">
        <w:rPr>
          <w:rFonts w:ascii="Palatino" w:hAnsi="Palatino" w:cs="Helvetica"/>
        </w:rPr>
        <w:t>-ammonium bromide</w:t>
      </w:r>
      <w:r w:rsidRPr="00532221">
        <w:rPr>
          <w:rFonts w:ascii="Palatino" w:hAnsi="Palatino"/>
        </w:rPr>
        <w:t xml:space="preserve"> (CTAB). </w:t>
      </w:r>
      <w:proofErr w:type="spellStart"/>
      <w:proofErr w:type="gramStart"/>
      <w:r w:rsidRPr="00532221">
        <w:rPr>
          <w:rFonts w:ascii="Palatino" w:hAnsi="Palatino"/>
        </w:rPr>
        <w:t>Phenol:chloroform</w:t>
      </w:r>
      <w:proofErr w:type="gramEnd"/>
      <w:r w:rsidRPr="00532221">
        <w:rPr>
          <w:rFonts w:ascii="Palatino" w:hAnsi="Palatino"/>
        </w:rPr>
        <w:t>:isoamyl</w:t>
      </w:r>
      <w:proofErr w:type="spellEnd"/>
      <w:r w:rsidRPr="00532221">
        <w:rPr>
          <w:rFonts w:ascii="Palatino" w:hAnsi="Palatino"/>
        </w:rPr>
        <w:t xml:space="preserve"> alcohol 25:24:1 was added and the samples were lysed and </w:t>
      </w:r>
      <w:proofErr w:type="spellStart"/>
      <w:r w:rsidRPr="00532221">
        <w:rPr>
          <w:rFonts w:ascii="Palatino" w:hAnsi="Palatino"/>
        </w:rPr>
        <w:t>homogenised</w:t>
      </w:r>
      <w:proofErr w:type="spellEnd"/>
      <w:r w:rsidRPr="00532221">
        <w:rPr>
          <w:rFonts w:ascii="Palatino" w:hAnsi="Palatino"/>
        </w:rPr>
        <w:t xml:space="preserve"> using the </w:t>
      </w:r>
      <w:proofErr w:type="spellStart"/>
      <w:r w:rsidRPr="00532221">
        <w:rPr>
          <w:rFonts w:ascii="Palatino" w:hAnsi="Palatino"/>
        </w:rPr>
        <w:t>Precellys</w:t>
      </w:r>
      <w:proofErr w:type="spellEnd"/>
      <w:r w:rsidRPr="00532221">
        <w:rPr>
          <w:rFonts w:ascii="Palatino" w:hAnsi="Palatino"/>
        </w:rPr>
        <w:t xml:space="preserve"> 24 bead beater (</w:t>
      </w:r>
      <w:proofErr w:type="spellStart"/>
      <w:r w:rsidRPr="00532221">
        <w:rPr>
          <w:rFonts w:ascii="Palatino" w:hAnsi="Palatino"/>
        </w:rPr>
        <w:t>Bertin</w:t>
      </w:r>
      <w:proofErr w:type="spellEnd"/>
      <w:r w:rsidRPr="00532221">
        <w:rPr>
          <w:rFonts w:ascii="Palatino" w:hAnsi="Palatino"/>
        </w:rPr>
        <w:t xml:space="preserve"> Technologies, </w:t>
      </w:r>
      <w:proofErr w:type="spellStart"/>
      <w:r w:rsidRPr="00532221">
        <w:rPr>
          <w:rFonts w:ascii="Palatino" w:hAnsi="Palatino"/>
        </w:rPr>
        <w:t>Montigny</w:t>
      </w:r>
      <w:proofErr w:type="spellEnd"/>
      <w:r w:rsidRPr="00532221">
        <w:rPr>
          <w:rFonts w:ascii="Palatino" w:hAnsi="Palatino"/>
        </w:rPr>
        <w:t xml:space="preserve"> le </w:t>
      </w:r>
      <w:proofErr w:type="spellStart"/>
      <w:r w:rsidRPr="00532221">
        <w:rPr>
          <w:rFonts w:ascii="Palatino" w:hAnsi="Palatino"/>
        </w:rPr>
        <w:t>Bretonneux</w:t>
      </w:r>
      <w:proofErr w:type="spellEnd"/>
      <w:r w:rsidRPr="00532221">
        <w:rPr>
          <w:rFonts w:ascii="Palatino" w:hAnsi="Palatino"/>
        </w:rPr>
        <w:t xml:space="preserve">, France) at 6000rpm. The aqueous supernatant was then separated by the addition of </w:t>
      </w:r>
      <w:proofErr w:type="spellStart"/>
      <w:proofErr w:type="gramStart"/>
      <w:r w:rsidRPr="00532221">
        <w:rPr>
          <w:rFonts w:ascii="Palatino" w:hAnsi="Palatino"/>
        </w:rPr>
        <w:t>chloroform:isoamyl</w:t>
      </w:r>
      <w:proofErr w:type="spellEnd"/>
      <w:proofErr w:type="gramEnd"/>
      <w:r w:rsidRPr="00532221">
        <w:rPr>
          <w:rFonts w:ascii="Palatino" w:hAnsi="Palatino"/>
        </w:rPr>
        <w:t xml:space="preserve"> alcohol 5:1 and centrifugation in 15ml heavy phase-lock gel tubes (5 PRIME, Hilden, Germany). DNA was precipitated by incubation overnight with </w:t>
      </w:r>
      <w:proofErr w:type="spellStart"/>
      <w:r w:rsidRPr="00532221">
        <w:rPr>
          <w:rFonts w:ascii="Palatino" w:hAnsi="Palatino"/>
        </w:rPr>
        <w:t>linearised</w:t>
      </w:r>
      <w:proofErr w:type="spellEnd"/>
      <w:r w:rsidRPr="00532221">
        <w:rPr>
          <w:rFonts w:ascii="Palatino" w:hAnsi="Palatino"/>
        </w:rPr>
        <w:t xml:space="preserve"> polyacrylamide and 30% polyethylene glycol, washed with 70% ethanol, suspended in low-EDTA TE buffer and stored at -20°C until use.</w:t>
      </w:r>
    </w:p>
    <w:p w14:paraId="14D90670" w14:textId="77777777" w:rsidR="00420BE6" w:rsidRPr="00532221" w:rsidRDefault="00420BE6" w:rsidP="003330B7">
      <w:pPr>
        <w:spacing w:line="360" w:lineRule="auto"/>
        <w:jc w:val="both"/>
        <w:rPr>
          <w:rFonts w:ascii="Palatino" w:hAnsi="Palatino"/>
        </w:rPr>
      </w:pPr>
    </w:p>
    <w:p w14:paraId="64D8B746" w14:textId="77777777" w:rsidR="00420BE6" w:rsidRPr="00532221" w:rsidRDefault="00420BE6" w:rsidP="00420BE6">
      <w:pPr>
        <w:spacing w:line="360" w:lineRule="auto"/>
        <w:rPr>
          <w:rFonts w:ascii="Palatino" w:hAnsi="Palatino"/>
        </w:rPr>
      </w:pPr>
    </w:p>
    <w:p w14:paraId="68FBE84C" w14:textId="77777777" w:rsidR="00420BE6" w:rsidRPr="00532221" w:rsidRDefault="00420BE6" w:rsidP="00420BE6">
      <w:pPr>
        <w:spacing w:line="360" w:lineRule="auto"/>
        <w:rPr>
          <w:rFonts w:ascii="Palatino" w:hAnsi="Palatino"/>
          <w:b/>
        </w:rPr>
      </w:pPr>
      <w:r w:rsidRPr="00532221">
        <w:rPr>
          <w:rFonts w:ascii="Palatino" w:hAnsi="Palatino"/>
          <w:b/>
        </w:rPr>
        <w:t>Library preparation and sequencing</w:t>
      </w:r>
    </w:p>
    <w:p w14:paraId="230B8CB8" w14:textId="77777777" w:rsidR="00420BE6" w:rsidRPr="00532221" w:rsidRDefault="00420BE6" w:rsidP="00420BE6">
      <w:pPr>
        <w:spacing w:line="360" w:lineRule="auto"/>
        <w:rPr>
          <w:rFonts w:ascii="Palatino" w:hAnsi="Palatino"/>
        </w:rPr>
      </w:pPr>
    </w:p>
    <w:p w14:paraId="0D2231E8" w14:textId="77777777" w:rsidR="00420BE6" w:rsidRPr="00532221" w:rsidRDefault="00420BE6" w:rsidP="003330B7">
      <w:pPr>
        <w:spacing w:line="480" w:lineRule="auto"/>
        <w:jc w:val="both"/>
        <w:rPr>
          <w:rFonts w:ascii="Palatino" w:hAnsi="Palatino"/>
        </w:rPr>
      </w:pPr>
      <w:r w:rsidRPr="00532221">
        <w:rPr>
          <w:rFonts w:ascii="Palatino" w:hAnsi="Palatino"/>
        </w:rPr>
        <w:t xml:space="preserve">Mycobacterial </w:t>
      </w:r>
      <w:r w:rsidRPr="00532221">
        <w:rPr>
          <w:rFonts w:ascii="Palatino" w:hAnsi="Palatino"/>
          <w:i/>
        </w:rPr>
        <w:t>hsp65</w:t>
      </w:r>
      <w:r w:rsidRPr="00532221">
        <w:rPr>
          <w:rFonts w:ascii="Palatino" w:hAnsi="Palatino"/>
        </w:rPr>
        <w:t xml:space="preserve"> sequences were amplified in quadruplicate from DNA samples using the barcoded primers described above in a dedicated template-free UV </w:t>
      </w:r>
      <w:r w:rsidRPr="00532221">
        <w:rPr>
          <w:rFonts w:ascii="Palatino" w:hAnsi="Palatino"/>
        </w:rPr>
        <w:lastRenderedPageBreak/>
        <w:t xml:space="preserve">irradiated hood using fresh </w:t>
      </w:r>
      <w:proofErr w:type="spellStart"/>
      <w:r w:rsidRPr="00532221">
        <w:rPr>
          <w:rFonts w:ascii="Palatino" w:hAnsi="Palatino"/>
        </w:rPr>
        <w:t>plasticware</w:t>
      </w:r>
      <w:proofErr w:type="spellEnd"/>
      <w:r w:rsidRPr="00532221">
        <w:rPr>
          <w:rFonts w:ascii="Palatino" w:hAnsi="Palatino"/>
        </w:rPr>
        <w:t xml:space="preserve">. Each reaction contained 12.5μl Q5 High-Fidelity 2X Master Mix (New England </w:t>
      </w:r>
      <w:proofErr w:type="spellStart"/>
      <w:r w:rsidRPr="00532221">
        <w:rPr>
          <w:rFonts w:ascii="Palatino" w:hAnsi="Palatino"/>
        </w:rPr>
        <w:t>BioLabs</w:t>
      </w:r>
      <w:proofErr w:type="spellEnd"/>
      <w:r w:rsidRPr="00532221">
        <w:rPr>
          <w:rFonts w:ascii="Palatino" w:hAnsi="Palatino"/>
        </w:rPr>
        <w:t>, Ipswich, USA), 5μl of forward primer (1.5μM), 5μl of reverse primer (1.5μM), 1.5μl water and 1μl template DNA. On each plate 1μl PCR-grade water and 1μl of mock community were then added as negative and positive controls respectively. The four plates were then amplified in parallel with the following conditions: 98°C for 30 seconds, then 35 cycles of 98°C for 10 seconds, 66°C for 30 seconds and 72°C for 5 minutes, then 73°C for 2 minutes.</w:t>
      </w:r>
    </w:p>
    <w:p w14:paraId="73E15A8F" w14:textId="77777777" w:rsidR="00420BE6" w:rsidRPr="00532221" w:rsidRDefault="00420BE6" w:rsidP="003330B7">
      <w:pPr>
        <w:spacing w:line="480" w:lineRule="auto"/>
        <w:jc w:val="both"/>
        <w:rPr>
          <w:rFonts w:ascii="Palatino" w:hAnsi="Palatino"/>
        </w:rPr>
      </w:pPr>
    </w:p>
    <w:p w14:paraId="275C1284" w14:textId="77777777" w:rsidR="00420BE6" w:rsidRPr="00532221" w:rsidRDefault="00420BE6" w:rsidP="003330B7">
      <w:pPr>
        <w:spacing w:line="480" w:lineRule="auto"/>
        <w:jc w:val="both"/>
        <w:rPr>
          <w:rFonts w:ascii="Palatino" w:hAnsi="Palatino"/>
        </w:rPr>
      </w:pPr>
      <w:r w:rsidRPr="00532221">
        <w:rPr>
          <w:rFonts w:ascii="Palatino" w:hAnsi="Palatino"/>
        </w:rPr>
        <w:t xml:space="preserve">Products from positive and negative control reactions from each PCR replicate were </w:t>
      </w:r>
      <w:proofErr w:type="spellStart"/>
      <w:r w:rsidRPr="00532221">
        <w:rPr>
          <w:rFonts w:ascii="Palatino" w:hAnsi="Palatino"/>
        </w:rPr>
        <w:t>visualised</w:t>
      </w:r>
      <w:proofErr w:type="spellEnd"/>
      <w:r w:rsidRPr="00532221">
        <w:rPr>
          <w:rFonts w:ascii="Palatino" w:hAnsi="Palatino"/>
        </w:rPr>
        <w:t xml:space="preserve"> on 1.5% agarose gels to confirm amplification and the four replicate plates were then pooled.</w:t>
      </w:r>
    </w:p>
    <w:p w14:paraId="123F2175" w14:textId="77777777" w:rsidR="00420BE6" w:rsidRPr="00532221" w:rsidRDefault="00420BE6" w:rsidP="00420BE6">
      <w:pPr>
        <w:spacing w:line="480" w:lineRule="auto"/>
        <w:rPr>
          <w:rFonts w:ascii="Palatino" w:hAnsi="Palatino"/>
        </w:rPr>
      </w:pPr>
    </w:p>
    <w:p w14:paraId="1AF32E44" w14:textId="77777777" w:rsidR="00420BE6" w:rsidRPr="00532221" w:rsidRDefault="00420BE6" w:rsidP="003330B7">
      <w:pPr>
        <w:spacing w:line="480" w:lineRule="auto"/>
        <w:jc w:val="both"/>
        <w:rPr>
          <w:rFonts w:ascii="Palatino" w:hAnsi="Palatino"/>
        </w:rPr>
      </w:pPr>
      <w:r w:rsidRPr="00532221">
        <w:rPr>
          <w:rFonts w:ascii="Palatino" w:hAnsi="Palatino"/>
        </w:rPr>
        <w:t xml:space="preserve">Primer-dimer sequences were removed from the pooled samples using </w:t>
      </w:r>
      <w:proofErr w:type="spellStart"/>
      <w:r w:rsidRPr="00532221">
        <w:rPr>
          <w:rFonts w:ascii="Palatino" w:hAnsi="Palatino"/>
        </w:rPr>
        <w:t>Agencourt</w:t>
      </w:r>
      <w:proofErr w:type="spellEnd"/>
      <w:r w:rsidRPr="00532221">
        <w:rPr>
          <w:rFonts w:ascii="Palatino" w:hAnsi="Palatino"/>
        </w:rPr>
        <w:t xml:space="preserve"> </w:t>
      </w:r>
      <w:proofErr w:type="spellStart"/>
      <w:r w:rsidRPr="00532221">
        <w:rPr>
          <w:rFonts w:ascii="Palatino" w:hAnsi="Palatino"/>
        </w:rPr>
        <w:t>AMPure</w:t>
      </w:r>
      <w:proofErr w:type="spellEnd"/>
      <w:r w:rsidRPr="00532221">
        <w:rPr>
          <w:rFonts w:ascii="Palatino" w:hAnsi="Palatino"/>
        </w:rPr>
        <w:t xml:space="preserve"> XP beads (Beckman Coulter, Brea, USA). Purified samples were then quantified using the Quant-</w:t>
      </w:r>
      <w:proofErr w:type="spellStart"/>
      <w:r w:rsidRPr="00532221">
        <w:rPr>
          <w:rFonts w:ascii="Palatino" w:hAnsi="Palatino"/>
        </w:rPr>
        <w:t>iT</w:t>
      </w:r>
      <w:proofErr w:type="spellEnd"/>
      <w:r w:rsidRPr="00532221">
        <w:rPr>
          <w:rFonts w:ascii="Palatino" w:hAnsi="Palatino"/>
        </w:rPr>
        <w:t xml:space="preserve"> </w:t>
      </w:r>
      <w:proofErr w:type="spellStart"/>
      <w:r w:rsidRPr="00532221">
        <w:rPr>
          <w:rFonts w:ascii="Palatino" w:hAnsi="Palatino"/>
        </w:rPr>
        <w:t>PicoGreen</w:t>
      </w:r>
      <w:proofErr w:type="spellEnd"/>
      <w:r w:rsidRPr="00532221">
        <w:rPr>
          <w:rFonts w:ascii="Palatino" w:hAnsi="Palatino"/>
        </w:rPr>
        <w:t xml:space="preserve"> dsDNA Assay Kit (Applied Biosystems/</w:t>
      </w:r>
      <w:proofErr w:type="spellStart"/>
      <w:r w:rsidRPr="00532221">
        <w:rPr>
          <w:rFonts w:ascii="Palatino" w:hAnsi="Palatino"/>
        </w:rPr>
        <w:t>Thermo</w:t>
      </w:r>
      <w:proofErr w:type="spellEnd"/>
      <w:r w:rsidRPr="00532221">
        <w:rPr>
          <w:rFonts w:ascii="Palatino" w:hAnsi="Palatino"/>
        </w:rPr>
        <w:t xml:space="preserve"> Fisher Scientific) and pooled by combining 150ng DNA from each sample. The pooled library was subject to a further round of bead-based purification using </w:t>
      </w:r>
      <w:proofErr w:type="spellStart"/>
      <w:r w:rsidRPr="00532221">
        <w:rPr>
          <w:rFonts w:ascii="Palatino" w:hAnsi="Palatino"/>
        </w:rPr>
        <w:t>Agencourt</w:t>
      </w:r>
      <w:proofErr w:type="spellEnd"/>
      <w:r w:rsidRPr="00532221">
        <w:rPr>
          <w:rFonts w:ascii="Palatino" w:hAnsi="Palatino"/>
        </w:rPr>
        <w:t xml:space="preserve"> </w:t>
      </w:r>
      <w:proofErr w:type="spellStart"/>
      <w:r w:rsidRPr="00532221">
        <w:rPr>
          <w:rFonts w:ascii="Palatino" w:hAnsi="Palatino"/>
        </w:rPr>
        <w:t>AMPure</w:t>
      </w:r>
      <w:proofErr w:type="spellEnd"/>
      <w:r w:rsidRPr="00532221">
        <w:rPr>
          <w:rFonts w:ascii="Palatino" w:hAnsi="Palatino"/>
        </w:rPr>
        <w:t xml:space="preserve"> XP beads then </w:t>
      </w:r>
      <w:proofErr w:type="spellStart"/>
      <w:r w:rsidRPr="00532221">
        <w:rPr>
          <w:rFonts w:ascii="Palatino" w:hAnsi="Palatino"/>
        </w:rPr>
        <w:t>visualised</w:t>
      </w:r>
      <w:proofErr w:type="spellEnd"/>
      <w:r w:rsidRPr="00532221">
        <w:rPr>
          <w:rFonts w:ascii="Palatino" w:hAnsi="Palatino"/>
        </w:rPr>
        <w:t xml:space="preserve"> on 1.5% </w:t>
      </w:r>
      <w:proofErr w:type="spellStart"/>
      <w:r w:rsidRPr="00532221">
        <w:rPr>
          <w:rFonts w:ascii="Palatino" w:hAnsi="Palatino"/>
        </w:rPr>
        <w:t>agrose</w:t>
      </w:r>
      <w:proofErr w:type="spellEnd"/>
      <w:r w:rsidRPr="00532221">
        <w:rPr>
          <w:rFonts w:ascii="Palatino" w:hAnsi="Palatino"/>
        </w:rPr>
        <w:t xml:space="preserve"> gel and gel-purified using the </w:t>
      </w:r>
      <w:proofErr w:type="spellStart"/>
      <w:r w:rsidRPr="00532221">
        <w:rPr>
          <w:rFonts w:ascii="Palatino" w:hAnsi="Palatino"/>
        </w:rPr>
        <w:t>QIAquick</w:t>
      </w:r>
      <w:proofErr w:type="spellEnd"/>
      <w:r w:rsidRPr="00532221">
        <w:rPr>
          <w:rFonts w:ascii="Palatino" w:hAnsi="Palatino"/>
        </w:rPr>
        <w:t xml:space="preserve"> Gel Extraction Kit (QIAGEN, Hilden, Germany). Adequate purification of the </w:t>
      </w:r>
      <w:r w:rsidRPr="00532221">
        <w:rPr>
          <w:rFonts w:ascii="Palatino" w:hAnsi="Palatino"/>
          <w:i/>
        </w:rPr>
        <w:t>hsp65</w:t>
      </w:r>
      <w:r w:rsidRPr="00532221">
        <w:rPr>
          <w:rFonts w:ascii="Palatino" w:hAnsi="Palatino"/>
        </w:rPr>
        <w:t xml:space="preserve"> amplicon was confirmed by electrophoresis using the 2100 </w:t>
      </w:r>
      <w:proofErr w:type="spellStart"/>
      <w:r w:rsidRPr="00532221">
        <w:rPr>
          <w:rFonts w:ascii="Palatino" w:hAnsi="Palatino"/>
        </w:rPr>
        <w:t>Bioanalyser</w:t>
      </w:r>
      <w:proofErr w:type="spellEnd"/>
      <w:r w:rsidRPr="00532221">
        <w:rPr>
          <w:rFonts w:ascii="Palatino" w:hAnsi="Palatino"/>
        </w:rPr>
        <w:t xml:space="preserve"> and high sensitivity DNA chip (Agilent Technologies, Santa Clara, USA). The final library was quantified using the KAPA Library Quantification Kit (ROX Low) for Illumina (KAPA Biosystems, Wilmington, USA) on the </w:t>
      </w:r>
      <w:proofErr w:type="spellStart"/>
      <w:r w:rsidRPr="00532221">
        <w:rPr>
          <w:rFonts w:ascii="Palatino" w:hAnsi="Palatino"/>
        </w:rPr>
        <w:t>Viia</w:t>
      </w:r>
      <w:proofErr w:type="spellEnd"/>
      <w:r w:rsidRPr="00532221">
        <w:rPr>
          <w:rFonts w:ascii="Palatino" w:hAnsi="Palatino"/>
        </w:rPr>
        <w:t xml:space="preserve"> 7 Real-Time PCR System (Applied Biosystems/</w:t>
      </w:r>
      <w:proofErr w:type="spellStart"/>
      <w:r w:rsidRPr="00532221">
        <w:rPr>
          <w:rFonts w:ascii="Palatino" w:hAnsi="Palatino"/>
        </w:rPr>
        <w:t>Thermo</w:t>
      </w:r>
      <w:proofErr w:type="spellEnd"/>
      <w:r w:rsidRPr="00532221">
        <w:rPr>
          <w:rFonts w:ascii="Palatino" w:hAnsi="Palatino"/>
        </w:rPr>
        <w:t xml:space="preserve"> Fisher Scientific). </w:t>
      </w:r>
    </w:p>
    <w:p w14:paraId="7E42B958" w14:textId="77777777" w:rsidR="00420BE6" w:rsidRPr="00532221" w:rsidRDefault="00420BE6" w:rsidP="003330B7">
      <w:pPr>
        <w:spacing w:line="480" w:lineRule="auto"/>
        <w:jc w:val="both"/>
        <w:rPr>
          <w:rFonts w:ascii="Palatino" w:hAnsi="Palatino"/>
        </w:rPr>
      </w:pPr>
    </w:p>
    <w:p w14:paraId="60CD7295" w14:textId="77777777" w:rsidR="00420BE6" w:rsidRPr="00532221" w:rsidRDefault="00420BE6" w:rsidP="003330B7">
      <w:pPr>
        <w:spacing w:line="480" w:lineRule="auto"/>
        <w:jc w:val="both"/>
        <w:rPr>
          <w:rFonts w:ascii="Palatino" w:hAnsi="Palatino"/>
        </w:rPr>
      </w:pPr>
      <w:r w:rsidRPr="00532221">
        <w:rPr>
          <w:rFonts w:ascii="Palatino" w:hAnsi="Palatino"/>
        </w:rPr>
        <w:lastRenderedPageBreak/>
        <w:t xml:space="preserve">Sequencing was performed on the </w:t>
      </w:r>
      <w:proofErr w:type="spellStart"/>
      <w:r w:rsidRPr="00532221">
        <w:rPr>
          <w:rFonts w:ascii="Palatino" w:hAnsi="Palatino"/>
        </w:rPr>
        <w:t>MiSeq</w:t>
      </w:r>
      <w:proofErr w:type="spellEnd"/>
      <w:r w:rsidRPr="00532221">
        <w:rPr>
          <w:rFonts w:ascii="Palatino" w:hAnsi="Palatino"/>
        </w:rPr>
        <w:t xml:space="preserve"> benchtop sequencer using </w:t>
      </w:r>
      <w:proofErr w:type="spellStart"/>
      <w:r w:rsidRPr="00532221">
        <w:rPr>
          <w:rFonts w:ascii="Palatino" w:hAnsi="Palatino"/>
        </w:rPr>
        <w:t>MiSeq</w:t>
      </w:r>
      <w:proofErr w:type="spellEnd"/>
      <w:r w:rsidRPr="00532221">
        <w:rPr>
          <w:rFonts w:ascii="Palatino" w:hAnsi="Palatino"/>
        </w:rPr>
        <w:t xml:space="preserve"> v3 cartridges and reagents (Illumina) using a 12pM library and 20% spike of exogenous genomic DNA from the Phi X 174 bacteriophage (Illumina) according to the manufacturer’s instructions.</w:t>
      </w:r>
    </w:p>
    <w:p w14:paraId="44B1A3A8" w14:textId="77777777" w:rsidR="00420BE6" w:rsidRPr="00532221" w:rsidRDefault="00420BE6" w:rsidP="003330B7">
      <w:pPr>
        <w:spacing w:line="360" w:lineRule="auto"/>
        <w:jc w:val="both"/>
        <w:rPr>
          <w:rFonts w:ascii="Palatino" w:hAnsi="Palatino"/>
        </w:rPr>
      </w:pPr>
    </w:p>
    <w:p w14:paraId="6DE04297" w14:textId="77777777" w:rsidR="00420BE6" w:rsidRPr="00532221" w:rsidRDefault="00420BE6" w:rsidP="003330B7">
      <w:pPr>
        <w:spacing w:line="360" w:lineRule="auto"/>
        <w:jc w:val="both"/>
        <w:rPr>
          <w:rFonts w:ascii="Palatino" w:hAnsi="Palatino"/>
          <w:b/>
        </w:rPr>
      </w:pPr>
      <w:r w:rsidRPr="00532221">
        <w:rPr>
          <w:rFonts w:ascii="Palatino" w:hAnsi="Palatino"/>
          <w:b/>
        </w:rPr>
        <w:t>Sequence processing</w:t>
      </w:r>
    </w:p>
    <w:p w14:paraId="4F677D89" w14:textId="77777777" w:rsidR="00420BE6" w:rsidRPr="00532221" w:rsidRDefault="00420BE6" w:rsidP="003330B7">
      <w:pPr>
        <w:spacing w:line="360" w:lineRule="auto"/>
        <w:jc w:val="both"/>
        <w:rPr>
          <w:rFonts w:ascii="Palatino" w:hAnsi="Palatino"/>
        </w:rPr>
      </w:pPr>
    </w:p>
    <w:p w14:paraId="6E7C4599" w14:textId="4BC07D59" w:rsidR="00420BE6" w:rsidRPr="00532221" w:rsidRDefault="00420BE6" w:rsidP="003330B7">
      <w:pPr>
        <w:spacing w:line="480" w:lineRule="auto"/>
        <w:jc w:val="both"/>
        <w:rPr>
          <w:rFonts w:ascii="Palatino" w:hAnsi="Palatino"/>
        </w:rPr>
      </w:pPr>
      <w:r w:rsidRPr="00532221">
        <w:rPr>
          <w:rFonts w:ascii="Palatino" w:hAnsi="Palatino"/>
        </w:rPr>
        <w:t xml:space="preserve">Forward and reverse barcodes for each sequence were extracted and joined, and forward and reverse read sequences were trimmed to 250bp and adaptor sequences removed. Paired and trimmed sequences with over 200bp overlap and 10% or less mismatches were joined together. Joined sequences with a minimum mean </w:t>
      </w:r>
      <w:proofErr w:type="spellStart"/>
      <w:r w:rsidRPr="00532221">
        <w:rPr>
          <w:rFonts w:ascii="Palatino" w:hAnsi="Palatino"/>
        </w:rPr>
        <w:t>Phred</w:t>
      </w:r>
      <w:proofErr w:type="spellEnd"/>
      <w:r w:rsidRPr="00532221">
        <w:rPr>
          <w:rFonts w:ascii="Palatino" w:hAnsi="Palatino"/>
        </w:rPr>
        <w:t xml:space="preserve"> quality score of 30, at least 70% of the read consecutively above a quality score of 30 and less than 10bp of consecutive low quality scores were retained and </w:t>
      </w:r>
      <w:proofErr w:type="spellStart"/>
      <w:r w:rsidRPr="00532221">
        <w:rPr>
          <w:rFonts w:ascii="Palatino" w:hAnsi="Palatino"/>
        </w:rPr>
        <w:t>demultiplexed</w:t>
      </w:r>
      <w:proofErr w:type="spellEnd"/>
      <w:r w:rsidRPr="00532221">
        <w:rPr>
          <w:rFonts w:ascii="Palatino" w:hAnsi="Palatino"/>
        </w:rPr>
        <w:t>.</w:t>
      </w:r>
      <w:r w:rsidR="0038176E" w:rsidRPr="00532221">
        <w:rPr>
          <w:rFonts w:ascii="Palatino" w:hAnsi="Palatino"/>
        </w:rPr>
        <w:t xml:space="preserve"> </w:t>
      </w:r>
      <w:proofErr w:type="spellStart"/>
      <w:r w:rsidRPr="00532221">
        <w:rPr>
          <w:rFonts w:ascii="Palatino" w:hAnsi="Palatino"/>
        </w:rPr>
        <w:t>Demultiplexed</w:t>
      </w:r>
      <w:proofErr w:type="spellEnd"/>
      <w:r w:rsidRPr="00532221">
        <w:rPr>
          <w:rFonts w:ascii="Palatino" w:hAnsi="Palatino"/>
        </w:rPr>
        <w:t xml:space="preserve"> sequences were aligned to the Phi-X genome and erroneous Phi-X sequences were removed.</w:t>
      </w:r>
    </w:p>
    <w:p w14:paraId="3086F4E5" w14:textId="77777777" w:rsidR="00420BE6" w:rsidRPr="00532221" w:rsidRDefault="00420BE6" w:rsidP="003330B7">
      <w:pPr>
        <w:spacing w:line="480" w:lineRule="auto"/>
        <w:jc w:val="both"/>
        <w:rPr>
          <w:rFonts w:ascii="Palatino" w:hAnsi="Palatino"/>
        </w:rPr>
      </w:pPr>
    </w:p>
    <w:p w14:paraId="3D0A734B" w14:textId="5D286D38" w:rsidR="00420BE6" w:rsidRPr="00616C95" w:rsidRDefault="00420BE6" w:rsidP="00616C95">
      <w:pPr>
        <w:spacing w:line="480" w:lineRule="auto"/>
        <w:jc w:val="both"/>
        <w:rPr>
          <w:rFonts w:ascii="Palatino" w:hAnsi="Palatino"/>
        </w:rPr>
      </w:pPr>
      <w:r w:rsidRPr="00532221">
        <w:rPr>
          <w:rFonts w:ascii="Palatino" w:hAnsi="Palatino"/>
        </w:rPr>
        <w:t xml:space="preserve">OTUs were identified using the </w:t>
      </w:r>
      <w:proofErr w:type="spellStart"/>
      <w:r w:rsidRPr="00532221">
        <w:rPr>
          <w:rFonts w:ascii="Palatino" w:hAnsi="Palatino"/>
        </w:rPr>
        <w:t>uclust</w:t>
      </w:r>
      <w:proofErr w:type="spellEnd"/>
      <w:r w:rsidRPr="00532221">
        <w:rPr>
          <w:rFonts w:ascii="Palatino" w:hAnsi="Palatino"/>
        </w:rPr>
        <w:t xml:space="preserve"> algorithm in QIIME 1.8.0</w:t>
      </w:r>
      <w:r w:rsidR="0073124F" w:rsidRPr="00532221">
        <w:rPr>
          <w:rFonts w:ascii="Palatino" w:hAnsi="Palatino"/>
        </w:rPr>
        <w:t xml:space="preserve"> </w:t>
      </w:r>
      <w:r w:rsidRPr="00532221">
        <w:rPr>
          <w:rFonts w:ascii="Palatino" w:hAnsi="Palatino"/>
        </w:rPr>
        <w:t xml:space="preserve"> </w:t>
      </w:r>
      <w:r w:rsidR="002E1A24" w:rsidRPr="00532221">
        <w:rPr>
          <w:rFonts w:ascii="Palatino" w:hAnsi="Palatino"/>
        </w:rPr>
        <w:fldChar w:fldCharType="begin"/>
      </w:r>
      <w:r w:rsidR="00271031">
        <w:rPr>
          <w:rFonts w:ascii="Palatino" w:hAnsi="Palatino"/>
        </w:rPr>
        <w:instrText xml:space="preserve"> ADDIN PAPERS2_CITATIONS &lt;citation&gt;&lt;uuid&gt;C1EDDD2D-810E-4147-8C2E-2B73D17F3BC0&lt;/uuid&gt;&lt;priority&gt;5&lt;/priority&gt;&lt;publications&gt;&lt;publication&gt;&lt;uuid&gt;154B0202-8743-4F3F-8A95-319D24DE546B&lt;/uuid&gt;&lt;volume&gt;7&lt;/volume&gt;&lt;doi&gt;10.1038/nmeth.f.303&lt;/doi&gt;&lt;startpage&gt;335&lt;/startpage&gt;&lt;publication_date&gt;99201005001200000000220000&lt;/publication_date&gt;&lt;url&gt;http://eutils.ncbi.nlm.nih.gov/entrez/eutils/elink.fcgi?dbfrom=pubmed&amp;amp;id=20383131&amp;amp;retmode=ref&amp;amp;cmd=prlinks&lt;/url&gt;&lt;citekey&gt;Caporaso:2010jf&lt;/citekey&gt;&lt;type&gt;400&lt;/type&gt;&lt;title&gt;QIIME allows analysis of high-throughput community sequencing data.&lt;/title&gt;&lt;number&gt;5&lt;/number&gt;&lt;subtype&gt;400&lt;/subtype&gt;&lt;endpage&gt;336&lt;/endpage&gt;&lt;bundle&gt;&lt;publication&gt;&lt;url&gt;http://www.nature.com/nmeth/&lt;/url&gt;&lt;title&gt;Nature methods&lt;/title&gt;&lt;type&gt;-100&lt;/type&gt;&lt;subtype&gt;-100&lt;/subtype&gt;&lt;uuid&gt;E55CBB10-D567-4FD4-A8C1-31C6AC447645&lt;/uuid&gt;&lt;/publication&gt;&lt;/bundle&gt;&lt;authors&gt;&lt;author&gt;&lt;firstName&gt;J&lt;/firstName&gt;&lt;middleNames&gt;Gregory&lt;/middleNames&gt;&lt;lastName&gt;Caporaso&lt;/lastName&gt;&lt;/author&gt;&lt;author&gt;&lt;firstName&gt;Justin&lt;/firstName&gt;&lt;lastName&gt;Kuczynski&lt;/lastName&gt;&lt;/author&gt;&lt;author&gt;&lt;firstName&gt;Jesse&lt;/firstName&gt;&lt;lastName&gt;Stombaugh&lt;/lastName&gt;&lt;/author&gt;&lt;author&gt;&lt;firstName&gt;Kyle&lt;/firstName&gt;&lt;lastName&gt;Bittinger&lt;/lastName&gt;&lt;/author&gt;&lt;author&gt;&lt;firstName&gt;Frederic&lt;/firstName&gt;&lt;middleNames&gt;D&lt;/middleNames&gt;&lt;lastName&gt;Bushman&lt;/lastName&gt;&lt;/author&gt;&lt;author&gt;&lt;firstName&gt;Elizabeth&lt;/firstName&gt;&lt;middleNames&gt;K&lt;/middleNames&gt;&lt;lastName&gt;Costello&lt;/lastName&gt;&lt;/author&gt;&lt;author&gt;&lt;firstName&gt;Noah&lt;/firstName&gt;&lt;lastName&gt;Fierer&lt;/lastName&gt;&lt;/author&gt;&lt;author&gt;&lt;firstName&gt;Antonio&lt;/firstName&gt;&lt;middleNames&gt;Gonzalez&lt;/middleNames&gt;&lt;lastName&gt;Peña&lt;/lastName&gt;&lt;/author&gt;&lt;author&gt;&lt;firstName&gt;Julia&lt;/firstName&gt;&lt;middleNames&gt;K&lt;/middleNames&gt;&lt;lastName&gt;Goodrich&lt;/lastName&gt;&lt;/author&gt;&lt;author&gt;&lt;firstName&gt;Jeffrey&lt;/firstName&gt;&lt;middleNames&gt;I&lt;/middleNames&gt;&lt;lastName&gt;Gordon&lt;/lastName&gt;&lt;/author&gt;&lt;author&gt;&lt;firstName&gt;Gavin&lt;/firstName&gt;&lt;middleNames&gt;A&lt;/middleNames&gt;&lt;lastName&gt;Huttley&lt;/lastName&gt;&lt;/author&gt;&lt;author&gt;&lt;firstName&gt;Scott&lt;/firstName&gt;&lt;middleNames&gt;T&lt;/middleNames&gt;&lt;lastName&gt;Kelley&lt;/lastName&gt;&lt;/author&gt;&lt;author&gt;&lt;firstName&gt;Dan&lt;/firstName&gt;&lt;lastName&gt;Knights&lt;/lastName&gt;&lt;/author&gt;&lt;author&gt;&lt;firstName&gt;Jeremy&lt;/firstName&gt;&lt;middleNames&gt;E&lt;/middleNames&gt;&lt;lastName&gt;Koenig&lt;/lastName&gt;&lt;/author&gt;&lt;author&gt;&lt;firstName&gt;Ruth&lt;/firstName&gt;&lt;middleNames&gt;E&lt;/middleNames&gt;&lt;lastName&gt;Ley&lt;/lastName&gt;&lt;/author&gt;&lt;author&gt;&lt;firstName&gt;Catherine&lt;/firstName&gt;&lt;middleNames&gt;A&lt;/middleNames&gt;&lt;lastName&gt;Lozupone&lt;/lastName&gt;&lt;/author&gt;&lt;author&gt;&lt;firstName&gt;Daniel&lt;/firstName&gt;&lt;lastName&gt;McDonald&lt;/lastName&gt;&lt;/author&gt;&lt;author&gt;&lt;firstName&gt;Brian&lt;/firstName&gt;&lt;middleNames&gt;D&lt;/middleNames&gt;&lt;lastName&gt;Muegge&lt;/lastName&gt;&lt;/author&gt;&lt;author&gt;&lt;firstName&gt;Meg&lt;/firstName&gt;&lt;lastName&gt;Pirrung&lt;/lastName&gt;&lt;/author&gt;&lt;author&gt;&lt;firstName&gt;Jens&lt;/firstName&gt;&lt;lastName&gt;Reeder&lt;/lastName&gt;&lt;/author&gt;&lt;author&gt;&lt;firstName&gt;Joel&lt;/firstName&gt;&lt;middleNames&gt;R&lt;/middleNames&gt;&lt;lastName&gt;Sevinsky&lt;/lastName&gt;&lt;/author&gt;&lt;author&gt;&lt;firstName&gt;Peter&lt;/firstName&gt;&lt;middleNames&gt;J&lt;/middleNames&gt;&lt;lastName&gt;Turnbaugh&lt;/lastName&gt;&lt;/author&gt;&lt;author&gt;&lt;firstName&gt;William&lt;/firstName&gt;&lt;middleNames&gt;A&lt;/middleNames&gt;&lt;lastName&gt;Walters&lt;/lastName&gt;&lt;/author&gt;&lt;author&gt;&lt;firstName&gt;Jeremy&lt;/firstName&gt;&lt;lastName&gt;Widmann&lt;/lastName&gt;&lt;/author&gt;&lt;author&gt;&lt;firstName&gt;Tanya&lt;/firstName&gt;&lt;lastName&gt;Yatsunenko&lt;/lastName&gt;&lt;/author&gt;&lt;author&gt;&lt;firstName&gt;Jesse&lt;/firstName&gt;&lt;lastName&gt;Zaneveld&lt;/lastName&gt;&lt;/author&gt;&lt;author&gt;&lt;firstName&gt;Rob&lt;/firstName&gt;&lt;lastName&gt;Knight&lt;/lastName&gt;&lt;/author&gt;&lt;/authors&gt;&lt;/publication&gt;&lt;publication&gt;&lt;uuid&gt;4A351157-B333-4D78-BB13-F2FE0E010F5E&lt;/uuid&gt;&lt;volume&gt;26&lt;/volume&gt;&lt;doi&gt;10.1093/bioinformatics/btq461&lt;/doi&gt;&lt;startpage&gt;2460&lt;/startpage&gt;&lt;publication_date&gt;99201010011200000000222000&lt;/publication_date&gt;&lt;url&gt;http://eutils.ncbi.nlm.nih.gov/entrez/eutils/elink.fcgi?dbfrom=pubmed&amp;amp;id=20709691&amp;amp;retmode=ref&amp;amp;cmd=prlinks&lt;/url&gt;&lt;citekey&gt;Edgar:2010cv&lt;/citekey&gt;&lt;type&gt;400&lt;/type&gt;&lt;title&gt;Search and clustering orders of magnitude faster than BLAST.&lt;/title&gt;&lt;institution&gt;Tiburon, CA 94920, USA. robert@drive5.com&lt;/institution&gt;&lt;number&gt;19&lt;/number&gt;&lt;subtype&gt;400&lt;/subtype&gt;&lt;endpage&gt;2461&lt;/endpage&gt;&lt;bundle&gt;&lt;publication&gt;&lt;title&gt;Bioinformatics (Oxford, England)&lt;/title&gt;&lt;type&gt;-100&lt;/type&gt;&lt;subtype&gt;-100&lt;/subtype&gt;&lt;uuid&gt;F47CD669-266C-412E-AD2D-140BF1156C61&lt;/uuid&gt;&lt;/publication&gt;&lt;/bundle&gt;&lt;authors&gt;&lt;author&gt;&lt;firstName&gt;Robert&lt;/firstName&gt;&lt;middleNames&gt;C&lt;/middleNames&gt;&lt;lastName&gt;Edgar&lt;/lastName&gt;&lt;/author&gt;&lt;/authors&gt;&lt;/publication&gt;&lt;/publications&gt;&lt;cites&gt;&lt;/cites&gt;&lt;/citation&gt;</w:instrText>
      </w:r>
      <w:r w:rsidR="002E1A24" w:rsidRPr="00532221">
        <w:rPr>
          <w:rFonts w:ascii="Palatino" w:hAnsi="Palatino"/>
        </w:rPr>
        <w:fldChar w:fldCharType="separate"/>
      </w:r>
      <w:r w:rsidR="00271031">
        <w:rPr>
          <w:rFonts w:ascii="Palatino" w:hAnsi="Palatino" w:cs="Palatino"/>
          <w:lang w:val="en-GB"/>
        </w:rPr>
        <w:t>[3,4]</w:t>
      </w:r>
      <w:r w:rsidR="002E1A24" w:rsidRPr="00532221">
        <w:rPr>
          <w:rFonts w:ascii="Palatino" w:hAnsi="Palatino"/>
        </w:rPr>
        <w:fldChar w:fldCharType="end"/>
      </w:r>
      <w:r w:rsidR="002E1A24" w:rsidRPr="00532221">
        <w:rPr>
          <w:rFonts w:ascii="Palatino" w:hAnsi="Palatino"/>
        </w:rPr>
        <w:t xml:space="preserve"> </w:t>
      </w:r>
      <w:r w:rsidRPr="00532221">
        <w:rPr>
          <w:rFonts w:ascii="Palatino" w:hAnsi="Palatino"/>
        </w:rPr>
        <w:t xml:space="preserve">against the created </w:t>
      </w:r>
      <w:r w:rsidRPr="00532221">
        <w:rPr>
          <w:rFonts w:ascii="Palatino" w:hAnsi="Palatino"/>
          <w:i/>
        </w:rPr>
        <w:t>hsp65</w:t>
      </w:r>
      <w:r w:rsidRPr="00532221">
        <w:rPr>
          <w:rFonts w:ascii="Palatino" w:hAnsi="Palatino"/>
        </w:rPr>
        <w:t xml:space="preserve"> reference database. Chimeric sequences with less than 60% similarity to reference sequences were removed. OTUs were clustered at ≥99% identity and closed reference based OTU picking performed. For samples that were not assigned an OTU, a 10% subsample was taken and used to form a </w:t>
      </w:r>
      <w:r w:rsidRPr="00532221">
        <w:rPr>
          <w:rFonts w:ascii="Palatino" w:hAnsi="Palatino"/>
          <w:i/>
        </w:rPr>
        <w:t>de novo</w:t>
      </w:r>
      <w:r w:rsidRPr="00532221">
        <w:rPr>
          <w:rFonts w:ascii="Palatino" w:hAnsi="Palatino"/>
        </w:rPr>
        <w:t xml:space="preserve"> reference database for a new round of open reference based OTU picking, whereby samples still not identified were assigned to </w:t>
      </w:r>
      <w:r w:rsidRPr="00532221">
        <w:rPr>
          <w:rFonts w:ascii="Palatino" w:hAnsi="Palatino"/>
          <w:i/>
        </w:rPr>
        <w:t>de novo</w:t>
      </w:r>
      <w:r w:rsidRPr="00532221">
        <w:rPr>
          <w:rFonts w:ascii="Palatino" w:hAnsi="Palatino"/>
        </w:rPr>
        <w:t xml:space="preserve"> OTUs. The most abundant sequence within each OTU was selected as the representative sequence. Chimeras were removed using the </w:t>
      </w:r>
      <w:proofErr w:type="spellStart"/>
      <w:r w:rsidRPr="00532221">
        <w:rPr>
          <w:rFonts w:ascii="Palatino" w:hAnsi="Palatino"/>
        </w:rPr>
        <w:t>ChimeraSlayer</w:t>
      </w:r>
      <w:proofErr w:type="spellEnd"/>
      <w:r w:rsidRPr="00532221">
        <w:rPr>
          <w:rFonts w:ascii="Palatino" w:hAnsi="Palatino"/>
        </w:rPr>
        <w:t xml:space="preserve"> algorithm </w:t>
      </w:r>
      <w:r w:rsidR="002E1A24" w:rsidRPr="00532221">
        <w:rPr>
          <w:rFonts w:ascii="Palatino" w:hAnsi="Palatino"/>
        </w:rPr>
        <w:fldChar w:fldCharType="begin"/>
      </w:r>
      <w:r w:rsidR="00271031">
        <w:rPr>
          <w:rFonts w:ascii="Palatino" w:hAnsi="Palatino"/>
        </w:rPr>
        <w:instrText xml:space="preserve"> ADDIN PAPERS2_CITATIONS &lt;citation&gt;&lt;uuid&gt;A22CD54F-18CC-472A-9E58-840BA7B353FE&lt;/uuid&gt;&lt;priority&gt;0&lt;/priority&gt;&lt;publications&gt;&lt;publication&gt;&lt;uuid&gt;05E5D4E4-C239-4D17-A3B6-82EACC40E0A1&lt;/uuid&gt;&lt;volume&gt;21&lt;/volume&gt;&lt;doi&gt;10.1101/gr.112730.110&lt;/doi&gt;&lt;startpage&gt;494&lt;/startpage&gt;&lt;publication_date&gt;99201103001200000000220000&lt;/publication_date&gt;&lt;url&gt;http://eutils.ncbi.nlm.nih.gov/entrez/eutils/elink.fcgi?dbfrom=pubmed&amp;amp;id=21212162&amp;amp;retmode=ref&amp;amp;cmd=prlinks&lt;/url&gt;&lt;citekey&gt;Haas:2011jg&lt;/citekey&gt;&lt;type&gt;400&lt;/type&gt;&lt;title&gt;Chimeric 16S rRNA sequence formation and detection in Sanger and 454-pyrosequenced PCR amplicons.&lt;/title&gt;&lt;institution&gt;Genome Sequencing and Analysis Program, The Broad Institute, Cambridge, Massachusetts 02142, USA.&lt;/institution&gt;&lt;number&gt;3&lt;/number&gt;&lt;subtype&gt;400&lt;/subtype&gt;&lt;endpage&gt;504&lt;/endpage&gt;&lt;bundle&gt;&lt;publication&gt;&lt;title&gt;Genome Research&lt;/title&gt;&lt;type&gt;-100&lt;/type&gt;&lt;subtype&gt;-100&lt;/subtype&gt;&lt;uuid&gt;A9F6BFC6-7C0C-4325-84EC-CD9268032DEF&lt;/uuid&gt;&lt;/publication&gt;&lt;/bundle&gt;&lt;authors&gt;&lt;author&gt;&lt;firstName&gt;Brian&lt;/firstName&gt;&lt;middleNames&gt;J&lt;/middleNames&gt;&lt;lastName&gt;Haas&lt;/lastName&gt;&lt;/author&gt;&lt;author&gt;&lt;firstName&gt;Dirk&lt;/firstName&gt;&lt;lastName&gt;Gevers&lt;/lastName&gt;&lt;/author&gt;&lt;author&gt;&lt;firstName&gt;Ashlee&lt;/firstName&gt;&lt;middleNames&gt;M&lt;/middleNames&gt;&lt;lastName&gt;Earl&lt;/lastName&gt;&lt;/author&gt;&lt;author&gt;&lt;firstName&gt;Mike&lt;/firstName&gt;&lt;lastName&gt;Feldgarden&lt;/lastName&gt;&lt;/author&gt;&lt;author&gt;&lt;firstName&gt;Doyle&lt;/firstName&gt;&lt;middleNames&gt;V&lt;/middleNames&gt;&lt;lastName&gt;Ward&lt;/lastName&gt;&lt;/author&gt;&lt;author&gt;&lt;firstName&gt;Georgia&lt;/firstName&gt;&lt;lastName&gt;Giannoukos&lt;/lastName&gt;&lt;/author&gt;&lt;author&gt;&lt;firstName&gt;Dawn&lt;/firstName&gt;&lt;lastName&gt;Ciulla&lt;/lastName&gt;&lt;/author&gt;&lt;author&gt;&lt;firstName&gt;Diana&lt;/firstName&gt;&lt;lastName&gt;Tabbaa&lt;/lastName&gt;&lt;/author&gt;&lt;author&gt;&lt;firstName&gt;Sarah&lt;/firstName&gt;&lt;middleNames&gt;K&lt;/middleNames&gt;&lt;lastName&gt;Highlander&lt;/lastName&gt;&lt;/author&gt;&lt;author&gt;&lt;firstName&gt;Erica&lt;/firstName&gt;&lt;lastName&gt;Sodergren&lt;/lastName&gt;&lt;/author&gt;&lt;author&gt;&lt;firstName&gt;Barbara&lt;/firstName&gt;&lt;lastName&gt;Methé&lt;/lastName&gt;&lt;/author&gt;&lt;author&gt;&lt;firstName&gt;Todd&lt;/firstName&gt;&lt;middleNames&gt;Z&lt;/middleNames&gt;&lt;lastName&gt;DeSantis&lt;/lastName&gt;&lt;/author&gt;&lt;author&gt;&lt;lastName&gt;Human Microbiome Consortium&lt;/lastName&gt;&lt;/author&gt;&lt;author&gt;&lt;firstName&gt;Joseph&lt;/firstName&gt;&lt;middleNames&gt;F&lt;/middleNames&gt;&lt;lastName&gt;Petrosino&lt;/lastName&gt;&lt;/author&gt;&lt;author&gt;&lt;firstName&gt;Rob&lt;/firstName&gt;&lt;lastName&gt;Knight&lt;/lastName&gt;&lt;/author&gt;&lt;author&gt;&lt;firstName&gt;Bruce&lt;/firstName&gt;&lt;middleNames&gt;W&lt;/middleNames&gt;&lt;lastName&gt;Birren&lt;/lastName&gt;&lt;/author&gt;&lt;/authors&gt;&lt;/publication&gt;&lt;/publications&gt;&lt;cites&gt;&lt;/cites&gt;&lt;/citation&gt;</w:instrText>
      </w:r>
      <w:r w:rsidR="002E1A24" w:rsidRPr="00532221">
        <w:rPr>
          <w:rFonts w:ascii="Palatino" w:hAnsi="Palatino"/>
        </w:rPr>
        <w:fldChar w:fldCharType="separate"/>
      </w:r>
      <w:r w:rsidR="002E1A24" w:rsidRPr="00532221">
        <w:rPr>
          <w:rFonts w:ascii="Palatino" w:hAnsi="Palatino" w:cs="Palatino"/>
          <w:lang w:val="en-GB"/>
        </w:rPr>
        <w:t>[5]</w:t>
      </w:r>
      <w:r w:rsidR="002E1A24" w:rsidRPr="00532221">
        <w:rPr>
          <w:rFonts w:ascii="Palatino" w:hAnsi="Palatino"/>
        </w:rPr>
        <w:fldChar w:fldCharType="end"/>
      </w:r>
      <w:r w:rsidRPr="00532221">
        <w:rPr>
          <w:rFonts w:ascii="Palatino" w:hAnsi="Palatino"/>
        </w:rPr>
        <w:t xml:space="preserve">and taxonomies were assigned to each OTU by using the </w:t>
      </w:r>
      <w:proofErr w:type="spellStart"/>
      <w:r w:rsidRPr="00532221">
        <w:rPr>
          <w:rFonts w:ascii="Palatino" w:hAnsi="Palatino"/>
        </w:rPr>
        <w:t>uclust</w:t>
      </w:r>
      <w:proofErr w:type="spellEnd"/>
      <w:r w:rsidRPr="00532221">
        <w:rPr>
          <w:rFonts w:ascii="Palatino" w:hAnsi="Palatino"/>
        </w:rPr>
        <w:t xml:space="preserve"> algorithm. In cases where a taxonomy could not be assigned by </w:t>
      </w:r>
      <w:proofErr w:type="spellStart"/>
      <w:r w:rsidRPr="00532221">
        <w:rPr>
          <w:rFonts w:ascii="Palatino" w:hAnsi="Palatino"/>
        </w:rPr>
        <w:t>uclust</w:t>
      </w:r>
      <w:proofErr w:type="spellEnd"/>
      <w:r w:rsidRPr="00532221">
        <w:rPr>
          <w:rFonts w:ascii="Palatino" w:hAnsi="Palatino"/>
        </w:rPr>
        <w:t xml:space="preserve">, alignment against known nucleotide sequences using the basic local alignment search tool </w:t>
      </w:r>
      <w:r w:rsidRPr="00532221">
        <w:rPr>
          <w:rFonts w:ascii="Palatino" w:hAnsi="Palatino"/>
        </w:rPr>
        <w:lastRenderedPageBreak/>
        <w:t xml:space="preserve">(BLAST) (http://blast.ncbi.nlm.nih.gov/blast.cgi) was used to assign a taxonomy if possible. Finally </w:t>
      </w:r>
      <w:proofErr w:type="gramStart"/>
      <w:r w:rsidRPr="00532221">
        <w:rPr>
          <w:rFonts w:ascii="Palatino" w:hAnsi="Palatino"/>
        </w:rPr>
        <w:t>a .BIOM</w:t>
      </w:r>
      <w:proofErr w:type="gramEnd"/>
      <w:r w:rsidRPr="00532221">
        <w:rPr>
          <w:rFonts w:ascii="Palatino" w:hAnsi="Palatino"/>
        </w:rPr>
        <w:t xml:space="preserve"> format OTU table was created for analysis.</w:t>
      </w:r>
      <w:r w:rsidRPr="00532221">
        <w:rPr>
          <w:rFonts w:ascii="Palatino" w:hAnsi="Palatino"/>
          <w:b/>
          <w:sz w:val="32"/>
          <w:szCs w:val="32"/>
          <w:u w:val="single"/>
        </w:rPr>
        <w:br w:type="page"/>
      </w:r>
    </w:p>
    <w:p w14:paraId="54F5C8CE" w14:textId="77777777" w:rsidR="00420BE6" w:rsidRPr="00532221" w:rsidRDefault="00420BE6" w:rsidP="00420BE6">
      <w:pPr>
        <w:spacing w:line="360" w:lineRule="auto"/>
        <w:rPr>
          <w:rFonts w:ascii="Palatino" w:hAnsi="Palatino"/>
          <w:b/>
          <w:sz w:val="32"/>
          <w:szCs w:val="32"/>
          <w:u w:val="single"/>
        </w:rPr>
      </w:pPr>
      <w:r w:rsidRPr="00532221">
        <w:rPr>
          <w:rFonts w:ascii="Palatino" w:hAnsi="Palatino"/>
          <w:b/>
          <w:sz w:val="32"/>
          <w:szCs w:val="32"/>
          <w:u w:val="single"/>
        </w:rPr>
        <w:lastRenderedPageBreak/>
        <w:t>Supplementary results</w:t>
      </w:r>
    </w:p>
    <w:p w14:paraId="74256864" w14:textId="77777777" w:rsidR="00420BE6" w:rsidRPr="00532221" w:rsidRDefault="00420BE6" w:rsidP="00420BE6">
      <w:pPr>
        <w:spacing w:line="360" w:lineRule="auto"/>
        <w:rPr>
          <w:rFonts w:ascii="Palatino" w:hAnsi="Palatino"/>
        </w:rPr>
      </w:pPr>
    </w:p>
    <w:p w14:paraId="5A22B133" w14:textId="77777777" w:rsidR="00420BE6" w:rsidRPr="00532221" w:rsidRDefault="00420BE6" w:rsidP="003330B7">
      <w:pPr>
        <w:spacing w:line="360" w:lineRule="auto"/>
        <w:jc w:val="both"/>
        <w:rPr>
          <w:rFonts w:ascii="Palatino" w:hAnsi="Palatino"/>
        </w:rPr>
      </w:pPr>
      <w:r w:rsidRPr="00532221">
        <w:rPr>
          <w:rFonts w:ascii="Palatino" w:hAnsi="Palatino"/>
        </w:rPr>
        <w:t xml:space="preserve">The median </w:t>
      </w:r>
      <w:proofErr w:type="spellStart"/>
      <w:r w:rsidRPr="00532221">
        <w:rPr>
          <w:rFonts w:ascii="Palatino" w:hAnsi="Palatino"/>
        </w:rPr>
        <w:t>Phred</w:t>
      </w:r>
      <w:proofErr w:type="spellEnd"/>
      <w:r w:rsidRPr="00532221">
        <w:rPr>
          <w:rFonts w:ascii="Palatino" w:hAnsi="Palatino"/>
        </w:rPr>
        <w:t xml:space="preserve"> score was above 30 for all bases of the joined sequences. </w:t>
      </w:r>
    </w:p>
    <w:p w14:paraId="7FF4C884" w14:textId="77777777" w:rsidR="00420BE6" w:rsidRPr="00532221" w:rsidRDefault="00420BE6" w:rsidP="003330B7">
      <w:pPr>
        <w:spacing w:line="360" w:lineRule="auto"/>
        <w:jc w:val="both"/>
        <w:rPr>
          <w:rFonts w:ascii="Palatino" w:hAnsi="Palatino"/>
        </w:rPr>
      </w:pPr>
    </w:p>
    <w:p w14:paraId="7AD57331" w14:textId="7D7EF38F" w:rsidR="00D23A8C" w:rsidRPr="00532221" w:rsidRDefault="00420BE6" w:rsidP="003330B7">
      <w:pPr>
        <w:spacing w:line="360" w:lineRule="auto"/>
        <w:jc w:val="both"/>
        <w:rPr>
          <w:rFonts w:ascii="Palatino" w:hAnsi="Palatino"/>
        </w:rPr>
      </w:pPr>
      <w:r w:rsidRPr="00532221">
        <w:rPr>
          <w:rFonts w:ascii="Palatino" w:hAnsi="Palatino"/>
        </w:rPr>
        <w:t xml:space="preserve">No amplification was noted in negative controls on gel electrophoresis of </w:t>
      </w:r>
      <w:r w:rsidRPr="00532221">
        <w:rPr>
          <w:rFonts w:ascii="Palatino" w:hAnsi="Palatino"/>
          <w:i/>
        </w:rPr>
        <w:t>hsp65</w:t>
      </w:r>
      <w:r w:rsidRPr="00532221">
        <w:rPr>
          <w:rFonts w:ascii="Palatino" w:hAnsi="Palatino"/>
        </w:rPr>
        <w:t xml:space="preserve"> amplification products and DNA yield was minimal in both extraction controls (3.04 and 3.32 ng/</w:t>
      </w:r>
      <w:proofErr w:type="spellStart"/>
      <w:r w:rsidRPr="00532221">
        <w:rPr>
          <w:rFonts w:ascii="Palatino" w:hAnsi="Palatino"/>
        </w:rPr>
        <w:t>μl</w:t>
      </w:r>
      <w:proofErr w:type="spellEnd"/>
      <w:r w:rsidRPr="00532221">
        <w:rPr>
          <w:rFonts w:ascii="Palatino" w:hAnsi="Palatino"/>
        </w:rPr>
        <w:t>). A minimal number of sequences were identified in the negative control (2,656 sequences, of which only 15 were of mycobacterial origin) and the extraction controls (330 and 444 sequences, of which 18 and 41 respectively were of mycobacterial origin)</w:t>
      </w:r>
      <w:r w:rsidR="00D23A8C" w:rsidRPr="00532221">
        <w:rPr>
          <w:rFonts w:ascii="Palatino" w:hAnsi="Palatino"/>
        </w:rPr>
        <w:t>.</w:t>
      </w:r>
    </w:p>
    <w:p w14:paraId="47E97B2A" w14:textId="77777777" w:rsidR="001B6469" w:rsidRPr="00532221" w:rsidRDefault="001B6469" w:rsidP="003330B7">
      <w:pPr>
        <w:spacing w:line="360" w:lineRule="auto"/>
        <w:jc w:val="both"/>
        <w:rPr>
          <w:rFonts w:ascii="Palatino" w:hAnsi="Palatino"/>
        </w:rPr>
      </w:pPr>
    </w:p>
    <w:p w14:paraId="68FD6C16" w14:textId="72F2E664" w:rsidR="00616C95" w:rsidRPr="00616C95" w:rsidRDefault="001B6469" w:rsidP="00616C95">
      <w:pPr>
        <w:spacing w:line="360" w:lineRule="auto"/>
        <w:jc w:val="both"/>
        <w:rPr>
          <w:rFonts w:ascii="Palatino" w:hAnsi="Palatino"/>
          <w:color w:val="000000" w:themeColor="text1"/>
          <w:lang w:val="en-GB"/>
        </w:rPr>
      </w:pPr>
      <w:r w:rsidRPr="00532221">
        <w:rPr>
          <w:rFonts w:ascii="Palatino" w:hAnsi="Palatino"/>
          <w:color w:val="000000" w:themeColor="text1"/>
        </w:rPr>
        <w:t>After inspection of sequencing depth per samples and rarefaction curves (Figure S1) a cut off of 5000 sequences per samples was used to identify those with a low depth of sequencing for exclusion.</w:t>
      </w:r>
      <w:r w:rsidRPr="00532221">
        <w:rPr>
          <w:rFonts w:ascii="Helvetica" w:eastAsia="Times New Roman" w:hAnsi="Helvetica" w:cs="Times New Roman"/>
          <w:color w:val="000000" w:themeColor="text1"/>
          <w:sz w:val="18"/>
          <w:szCs w:val="18"/>
          <w:lang w:val="en-GB" w:eastAsia="en-GB"/>
        </w:rPr>
        <w:t xml:space="preserve"> </w:t>
      </w:r>
      <w:r w:rsidRPr="00532221">
        <w:rPr>
          <w:rFonts w:ascii="Palatino" w:hAnsi="Palatino"/>
          <w:color w:val="000000" w:themeColor="text1"/>
          <w:lang w:val="en-GB"/>
        </w:rPr>
        <w:t>The proportion of the 14 excluded samples was similar between cases (24%) and controls (21%).</w:t>
      </w:r>
      <w:r w:rsidR="00616C95">
        <w:rPr>
          <w:rFonts w:ascii="Palatino" w:hAnsi="Palatino"/>
          <w:b/>
          <w:sz w:val="32"/>
          <w:szCs w:val="32"/>
          <w:u w:val="single"/>
        </w:rPr>
        <w:br w:type="page"/>
      </w:r>
    </w:p>
    <w:p w14:paraId="61CA880D" w14:textId="159DFCF1" w:rsidR="00420BE6" w:rsidRPr="00532221" w:rsidRDefault="00420BE6" w:rsidP="00420BE6">
      <w:pPr>
        <w:spacing w:line="360" w:lineRule="auto"/>
        <w:rPr>
          <w:rFonts w:ascii="Palatino" w:hAnsi="Palatino"/>
          <w:b/>
          <w:sz w:val="32"/>
          <w:szCs w:val="32"/>
          <w:u w:val="single"/>
        </w:rPr>
      </w:pPr>
      <w:r w:rsidRPr="00532221">
        <w:rPr>
          <w:rFonts w:ascii="Palatino" w:hAnsi="Palatino"/>
          <w:b/>
          <w:sz w:val="32"/>
          <w:szCs w:val="32"/>
          <w:u w:val="single"/>
        </w:rPr>
        <w:lastRenderedPageBreak/>
        <w:t>Supplementary references</w:t>
      </w:r>
    </w:p>
    <w:p w14:paraId="31D24725" w14:textId="77777777" w:rsidR="00420BE6" w:rsidRPr="00532221" w:rsidRDefault="00420BE6" w:rsidP="00420BE6">
      <w:pPr>
        <w:spacing w:line="360" w:lineRule="auto"/>
        <w:rPr>
          <w:rFonts w:ascii="Palatino" w:hAnsi="Palatino"/>
        </w:rPr>
      </w:pPr>
    </w:p>
    <w:p w14:paraId="6921AF82" w14:textId="77777777" w:rsidR="00271031" w:rsidRDefault="00420BE6" w:rsidP="00271031">
      <w:pPr>
        <w:widowControl w:val="0"/>
        <w:tabs>
          <w:tab w:val="left" w:pos="480"/>
        </w:tabs>
        <w:autoSpaceDE w:val="0"/>
        <w:autoSpaceDN w:val="0"/>
        <w:adjustRightInd w:val="0"/>
        <w:spacing w:after="240"/>
        <w:ind w:left="480" w:hanging="480"/>
        <w:rPr>
          <w:rFonts w:ascii="Palatino" w:hAnsi="Palatino" w:cs="Palatino"/>
          <w:lang w:val="en-GB"/>
        </w:rPr>
      </w:pPr>
      <w:r w:rsidRPr="00532221">
        <w:rPr>
          <w:rFonts w:ascii="Palatino" w:hAnsi="Palatino"/>
        </w:rPr>
        <w:fldChar w:fldCharType="begin"/>
      </w:r>
      <w:r w:rsidRPr="00532221">
        <w:rPr>
          <w:rFonts w:ascii="Palatino" w:hAnsi="Palatino"/>
        </w:rPr>
        <w:instrText xml:space="preserve"> ADDIN PAPERS2_CITATIONS &lt;papers2_bibliography/&gt;</w:instrText>
      </w:r>
      <w:r w:rsidRPr="00532221">
        <w:rPr>
          <w:rFonts w:ascii="Palatino" w:hAnsi="Palatino"/>
        </w:rPr>
        <w:fldChar w:fldCharType="separate"/>
      </w:r>
      <w:r w:rsidR="00271031">
        <w:rPr>
          <w:rFonts w:ascii="Palatino" w:hAnsi="Palatino" w:cs="Palatino"/>
          <w:lang w:val="en-GB"/>
        </w:rPr>
        <w:t>1.</w:t>
      </w:r>
      <w:r w:rsidR="00271031">
        <w:rPr>
          <w:rFonts w:ascii="Palatino" w:hAnsi="Palatino" w:cs="Palatino"/>
          <w:lang w:val="en-GB"/>
        </w:rPr>
        <w:tab/>
        <w:t xml:space="preserve">Euzeby JP. List of Bacterial Names with Standing in Nomenclature: a folder available on the Internet. Int J Syst Bacteriol. 1997;47: 590–592. </w:t>
      </w:r>
    </w:p>
    <w:p w14:paraId="4C56EE82" w14:textId="77777777" w:rsidR="00271031" w:rsidRDefault="00271031" w:rsidP="00271031">
      <w:pPr>
        <w:widowControl w:val="0"/>
        <w:tabs>
          <w:tab w:val="left" w:pos="480"/>
        </w:tabs>
        <w:autoSpaceDE w:val="0"/>
        <w:autoSpaceDN w:val="0"/>
        <w:adjustRightInd w:val="0"/>
        <w:spacing w:after="240"/>
        <w:ind w:left="480" w:hanging="480"/>
        <w:rPr>
          <w:rFonts w:ascii="Palatino" w:hAnsi="Palatino" w:cs="Palatino"/>
          <w:lang w:val="en-GB"/>
        </w:rPr>
      </w:pPr>
      <w:r>
        <w:rPr>
          <w:rFonts w:ascii="Palatino" w:hAnsi="Palatino" w:cs="Palatino"/>
          <w:lang w:val="en-GB"/>
        </w:rPr>
        <w:t>2.</w:t>
      </w:r>
      <w:r>
        <w:rPr>
          <w:rFonts w:ascii="Palatino" w:hAnsi="Palatino" w:cs="Palatino"/>
          <w:lang w:val="en-GB"/>
        </w:rPr>
        <w:tab/>
        <w:t>Kozich JJ, Westcott SL, Baxter NT, Highlander SK, Schloss PD. Development of a dual-index sequencing strategy and curation pipeline for analyzing amplicon sequence data on the MiSeq Illumina sequencing platform. Appl Environ Microbiol. 2013;79: 5112–5120. doi:10.1128/AEM.01043-13</w:t>
      </w:r>
    </w:p>
    <w:p w14:paraId="3E08DABA" w14:textId="77777777" w:rsidR="00271031" w:rsidRDefault="00271031" w:rsidP="00271031">
      <w:pPr>
        <w:widowControl w:val="0"/>
        <w:tabs>
          <w:tab w:val="left" w:pos="480"/>
        </w:tabs>
        <w:autoSpaceDE w:val="0"/>
        <w:autoSpaceDN w:val="0"/>
        <w:adjustRightInd w:val="0"/>
        <w:spacing w:after="240"/>
        <w:ind w:left="480" w:hanging="480"/>
        <w:rPr>
          <w:rFonts w:ascii="Palatino" w:hAnsi="Palatino" w:cs="Palatino"/>
          <w:lang w:val="en-GB"/>
        </w:rPr>
      </w:pPr>
      <w:r>
        <w:rPr>
          <w:rFonts w:ascii="Palatino" w:hAnsi="Palatino" w:cs="Palatino"/>
          <w:lang w:val="en-GB"/>
        </w:rPr>
        <w:t>3.</w:t>
      </w:r>
      <w:r>
        <w:rPr>
          <w:rFonts w:ascii="Palatino" w:hAnsi="Palatino" w:cs="Palatino"/>
          <w:lang w:val="en-GB"/>
        </w:rPr>
        <w:tab/>
        <w:t>Caporaso JG, Kuczynski J, Stombaugh J, Bittinger K, Bushman FD, Costello EK, et al. QIIME allows analysis of high-throughput community sequencing data. Nat Methods. 2010;7: 335–336. doi:10.1038/nmeth.f.303</w:t>
      </w:r>
    </w:p>
    <w:p w14:paraId="74BBE1D1" w14:textId="77777777" w:rsidR="00271031" w:rsidRDefault="00271031" w:rsidP="00271031">
      <w:pPr>
        <w:widowControl w:val="0"/>
        <w:tabs>
          <w:tab w:val="left" w:pos="480"/>
        </w:tabs>
        <w:autoSpaceDE w:val="0"/>
        <w:autoSpaceDN w:val="0"/>
        <w:adjustRightInd w:val="0"/>
        <w:spacing w:after="240"/>
        <w:ind w:left="480" w:hanging="480"/>
        <w:rPr>
          <w:rFonts w:ascii="Palatino" w:hAnsi="Palatino" w:cs="Palatino"/>
          <w:lang w:val="en-GB"/>
        </w:rPr>
      </w:pPr>
      <w:r>
        <w:rPr>
          <w:rFonts w:ascii="Palatino" w:hAnsi="Palatino" w:cs="Palatino"/>
          <w:lang w:val="en-GB"/>
        </w:rPr>
        <w:t>4.</w:t>
      </w:r>
      <w:r>
        <w:rPr>
          <w:rFonts w:ascii="Palatino" w:hAnsi="Palatino" w:cs="Palatino"/>
          <w:lang w:val="en-GB"/>
        </w:rPr>
        <w:tab/>
        <w:t>Edgar RC. Search and clustering orders of magnitude faster than BLAST. Bioinformatics. 2010;26: 2460–2461. doi:10.1093/bioinformatics/btq461</w:t>
      </w:r>
    </w:p>
    <w:p w14:paraId="66D2FD5E" w14:textId="77777777" w:rsidR="00271031" w:rsidRDefault="00271031" w:rsidP="00271031">
      <w:pPr>
        <w:widowControl w:val="0"/>
        <w:tabs>
          <w:tab w:val="left" w:pos="480"/>
        </w:tabs>
        <w:autoSpaceDE w:val="0"/>
        <w:autoSpaceDN w:val="0"/>
        <w:adjustRightInd w:val="0"/>
        <w:spacing w:after="240"/>
        <w:ind w:left="480" w:hanging="480"/>
        <w:rPr>
          <w:rFonts w:ascii="Palatino" w:hAnsi="Palatino" w:cs="Palatino"/>
          <w:lang w:val="en-GB"/>
        </w:rPr>
      </w:pPr>
      <w:r>
        <w:rPr>
          <w:rFonts w:ascii="Palatino" w:hAnsi="Palatino" w:cs="Palatino"/>
          <w:lang w:val="en-GB"/>
        </w:rPr>
        <w:t>5.</w:t>
      </w:r>
      <w:r>
        <w:rPr>
          <w:rFonts w:ascii="Palatino" w:hAnsi="Palatino" w:cs="Palatino"/>
          <w:lang w:val="en-GB"/>
        </w:rPr>
        <w:tab/>
        <w:t>Haas BJ, Gevers D, Earl AM, Feldgarden M, Ward DV, Giannoukos G, et al. Chimeric 16S rRNA sequence formation and detection in Sanger and 454-pyrosequenced PCR amplicons. Genome Research. 2011;21: 494–504. doi:10.1101/gr.112730.110</w:t>
      </w:r>
    </w:p>
    <w:p w14:paraId="25A47C18" w14:textId="5BFE575D" w:rsidR="00157979" w:rsidRPr="00D228AE" w:rsidRDefault="00420BE6" w:rsidP="00D228AE">
      <w:pPr>
        <w:widowControl w:val="0"/>
        <w:tabs>
          <w:tab w:val="left" w:pos="480"/>
        </w:tabs>
        <w:autoSpaceDE w:val="0"/>
        <w:autoSpaceDN w:val="0"/>
        <w:adjustRightInd w:val="0"/>
        <w:spacing w:after="240"/>
        <w:ind w:left="480" w:hanging="480"/>
        <w:rPr>
          <w:rFonts w:ascii="Palatino" w:hAnsi="Palatino"/>
        </w:rPr>
      </w:pPr>
      <w:r w:rsidRPr="00532221">
        <w:rPr>
          <w:rFonts w:ascii="Palatino" w:hAnsi="Palatino"/>
        </w:rPr>
        <w:fldChar w:fldCharType="end"/>
      </w:r>
      <w:bookmarkStart w:id="0" w:name="_GoBack"/>
      <w:bookmarkEnd w:id="0"/>
    </w:p>
    <w:sectPr w:rsidR="00157979" w:rsidRPr="00D228AE" w:rsidSect="005212C0">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D34DE" w14:textId="77777777" w:rsidR="00B57EB6" w:rsidRDefault="00B57EB6" w:rsidP="00DA40A4">
      <w:r>
        <w:separator/>
      </w:r>
    </w:p>
  </w:endnote>
  <w:endnote w:type="continuationSeparator" w:id="0">
    <w:p w14:paraId="1EBDC26E" w14:textId="77777777" w:rsidR="00B57EB6" w:rsidRDefault="00B57EB6" w:rsidP="00D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85A7" w14:textId="77777777" w:rsidR="00C82873" w:rsidRDefault="00C82873" w:rsidP="00A51A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8AE">
      <w:rPr>
        <w:rStyle w:val="PageNumber"/>
        <w:noProof/>
      </w:rPr>
      <w:t>7</w:t>
    </w:r>
    <w:r>
      <w:rPr>
        <w:rStyle w:val="PageNumber"/>
      </w:rPr>
      <w:fldChar w:fldCharType="end"/>
    </w:r>
  </w:p>
  <w:p w14:paraId="74208465" w14:textId="77777777" w:rsidR="00C82873" w:rsidRDefault="00C828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97C6" w14:textId="77777777" w:rsidR="00B57EB6" w:rsidRDefault="00B57EB6" w:rsidP="00DA40A4">
      <w:r>
        <w:separator/>
      </w:r>
    </w:p>
  </w:footnote>
  <w:footnote w:type="continuationSeparator" w:id="0">
    <w:p w14:paraId="54F81A45" w14:textId="77777777" w:rsidR="00B57EB6" w:rsidRDefault="00B57EB6" w:rsidP="00DA40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460FA"/>
    <w:multiLevelType w:val="hybridMultilevel"/>
    <w:tmpl w:val="7BB441D8"/>
    <w:lvl w:ilvl="0" w:tplc="81F4F94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revisionView w:insDel="0" w:formatting="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A"/>
    <w:rsid w:val="00001A62"/>
    <w:rsid w:val="000038AB"/>
    <w:rsid w:val="00005ABD"/>
    <w:rsid w:val="00007823"/>
    <w:rsid w:val="00010E17"/>
    <w:rsid w:val="0001191C"/>
    <w:rsid w:val="0001474F"/>
    <w:rsid w:val="00021343"/>
    <w:rsid w:val="000253CF"/>
    <w:rsid w:val="00027061"/>
    <w:rsid w:val="00027730"/>
    <w:rsid w:val="0003118F"/>
    <w:rsid w:val="00032C81"/>
    <w:rsid w:val="00042EC9"/>
    <w:rsid w:val="00045158"/>
    <w:rsid w:val="000509A6"/>
    <w:rsid w:val="00053643"/>
    <w:rsid w:val="00053C8B"/>
    <w:rsid w:val="00063FB4"/>
    <w:rsid w:val="00070DCE"/>
    <w:rsid w:val="0007417D"/>
    <w:rsid w:val="00074FA7"/>
    <w:rsid w:val="00075DE6"/>
    <w:rsid w:val="000771A7"/>
    <w:rsid w:val="000826F1"/>
    <w:rsid w:val="0008343B"/>
    <w:rsid w:val="000835A2"/>
    <w:rsid w:val="0009360C"/>
    <w:rsid w:val="00094649"/>
    <w:rsid w:val="0009597D"/>
    <w:rsid w:val="000A58CA"/>
    <w:rsid w:val="000B5B82"/>
    <w:rsid w:val="000C3898"/>
    <w:rsid w:val="000C69E7"/>
    <w:rsid w:val="000D1562"/>
    <w:rsid w:val="000D3E07"/>
    <w:rsid w:val="000E136B"/>
    <w:rsid w:val="000E189A"/>
    <w:rsid w:val="000E3B8C"/>
    <w:rsid w:val="000E5997"/>
    <w:rsid w:val="000E6217"/>
    <w:rsid w:val="000F67D9"/>
    <w:rsid w:val="0010114B"/>
    <w:rsid w:val="001043D7"/>
    <w:rsid w:val="001052CF"/>
    <w:rsid w:val="001062BB"/>
    <w:rsid w:val="001115D4"/>
    <w:rsid w:val="001164A1"/>
    <w:rsid w:val="00125BA3"/>
    <w:rsid w:val="00130164"/>
    <w:rsid w:val="0013191E"/>
    <w:rsid w:val="001343E3"/>
    <w:rsid w:val="001513A5"/>
    <w:rsid w:val="00157979"/>
    <w:rsid w:val="00164D26"/>
    <w:rsid w:val="0017016E"/>
    <w:rsid w:val="001746D4"/>
    <w:rsid w:val="001757EE"/>
    <w:rsid w:val="00177579"/>
    <w:rsid w:val="00184461"/>
    <w:rsid w:val="00184982"/>
    <w:rsid w:val="0019194A"/>
    <w:rsid w:val="00191A6C"/>
    <w:rsid w:val="0019482E"/>
    <w:rsid w:val="00196627"/>
    <w:rsid w:val="001A0DE7"/>
    <w:rsid w:val="001A3251"/>
    <w:rsid w:val="001A59A9"/>
    <w:rsid w:val="001B0624"/>
    <w:rsid w:val="001B1C89"/>
    <w:rsid w:val="001B1F63"/>
    <w:rsid w:val="001B6469"/>
    <w:rsid w:val="001B6E50"/>
    <w:rsid w:val="001C1965"/>
    <w:rsid w:val="001C4279"/>
    <w:rsid w:val="001C51EB"/>
    <w:rsid w:val="001C6F71"/>
    <w:rsid w:val="001E0908"/>
    <w:rsid w:val="001E1FFF"/>
    <w:rsid w:val="001E5037"/>
    <w:rsid w:val="001E6FAD"/>
    <w:rsid w:val="001E7447"/>
    <w:rsid w:val="001F2EDB"/>
    <w:rsid w:val="0020100B"/>
    <w:rsid w:val="002053E6"/>
    <w:rsid w:val="00210C04"/>
    <w:rsid w:val="00230F24"/>
    <w:rsid w:val="00234B96"/>
    <w:rsid w:val="002368DC"/>
    <w:rsid w:val="0024119A"/>
    <w:rsid w:val="00242DF6"/>
    <w:rsid w:val="00243AF6"/>
    <w:rsid w:val="0024491C"/>
    <w:rsid w:val="00250D3B"/>
    <w:rsid w:val="0025618B"/>
    <w:rsid w:val="0025724B"/>
    <w:rsid w:val="002643CF"/>
    <w:rsid w:val="00271031"/>
    <w:rsid w:val="0027459F"/>
    <w:rsid w:val="002760BD"/>
    <w:rsid w:val="00286E85"/>
    <w:rsid w:val="002929C0"/>
    <w:rsid w:val="0029325B"/>
    <w:rsid w:val="002B35A0"/>
    <w:rsid w:val="002C1D0D"/>
    <w:rsid w:val="002D0467"/>
    <w:rsid w:val="002D0621"/>
    <w:rsid w:val="002D1436"/>
    <w:rsid w:val="002D4CE9"/>
    <w:rsid w:val="002D71AB"/>
    <w:rsid w:val="002E1A24"/>
    <w:rsid w:val="002E3015"/>
    <w:rsid w:val="002F1C22"/>
    <w:rsid w:val="002F3D83"/>
    <w:rsid w:val="002F712F"/>
    <w:rsid w:val="00302E77"/>
    <w:rsid w:val="00302F06"/>
    <w:rsid w:val="00303627"/>
    <w:rsid w:val="003047AD"/>
    <w:rsid w:val="00310323"/>
    <w:rsid w:val="00314C54"/>
    <w:rsid w:val="00315931"/>
    <w:rsid w:val="00315AC0"/>
    <w:rsid w:val="00320595"/>
    <w:rsid w:val="003224EE"/>
    <w:rsid w:val="003318DD"/>
    <w:rsid w:val="003330B7"/>
    <w:rsid w:val="00333526"/>
    <w:rsid w:val="00334394"/>
    <w:rsid w:val="00334C1B"/>
    <w:rsid w:val="003357DF"/>
    <w:rsid w:val="00336524"/>
    <w:rsid w:val="00337298"/>
    <w:rsid w:val="0034238D"/>
    <w:rsid w:val="0034332A"/>
    <w:rsid w:val="00344960"/>
    <w:rsid w:val="00356D0F"/>
    <w:rsid w:val="00371545"/>
    <w:rsid w:val="00372385"/>
    <w:rsid w:val="00374DDF"/>
    <w:rsid w:val="003800A6"/>
    <w:rsid w:val="0038176E"/>
    <w:rsid w:val="003A1449"/>
    <w:rsid w:val="003B19E3"/>
    <w:rsid w:val="003B3EB9"/>
    <w:rsid w:val="003B6E03"/>
    <w:rsid w:val="003C052C"/>
    <w:rsid w:val="003C1ACA"/>
    <w:rsid w:val="003C1B0D"/>
    <w:rsid w:val="003C1F06"/>
    <w:rsid w:val="003C7179"/>
    <w:rsid w:val="003C73D6"/>
    <w:rsid w:val="003D5805"/>
    <w:rsid w:val="003E1394"/>
    <w:rsid w:val="003E21CB"/>
    <w:rsid w:val="003E5975"/>
    <w:rsid w:val="003E6943"/>
    <w:rsid w:val="003F25EB"/>
    <w:rsid w:val="003F70E3"/>
    <w:rsid w:val="004008C4"/>
    <w:rsid w:val="00401B12"/>
    <w:rsid w:val="004059F6"/>
    <w:rsid w:val="00405F4C"/>
    <w:rsid w:val="00410034"/>
    <w:rsid w:val="00420BE6"/>
    <w:rsid w:val="00422AEF"/>
    <w:rsid w:val="00434E11"/>
    <w:rsid w:val="00443B18"/>
    <w:rsid w:val="00445F4F"/>
    <w:rsid w:val="00446BEC"/>
    <w:rsid w:val="0045459B"/>
    <w:rsid w:val="00457BA4"/>
    <w:rsid w:val="00462AAB"/>
    <w:rsid w:val="0046359F"/>
    <w:rsid w:val="0046491F"/>
    <w:rsid w:val="00464DEF"/>
    <w:rsid w:val="004659F5"/>
    <w:rsid w:val="004665CD"/>
    <w:rsid w:val="00470581"/>
    <w:rsid w:val="00473D6F"/>
    <w:rsid w:val="00481D41"/>
    <w:rsid w:val="00485E29"/>
    <w:rsid w:val="00490163"/>
    <w:rsid w:val="00491AAC"/>
    <w:rsid w:val="0049282E"/>
    <w:rsid w:val="0049677B"/>
    <w:rsid w:val="004B3EF4"/>
    <w:rsid w:val="004C4873"/>
    <w:rsid w:val="004C496B"/>
    <w:rsid w:val="004D0B1C"/>
    <w:rsid w:val="004D0E4D"/>
    <w:rsid w:val="004D5012"/>
    <w:rsid w:val="004E31AB"/>
    <w:rsid w:val="004F4710"/>
    <w:rsid w:val="00501347"/>
    <w:rsid w:val="00501558"/>
    <w:rsid w:val="005032EF"/>
    <w:rsid w:val="0050419F"/>
    <w:rsid w:val="00507C92"/>
    <w:rsid w:val="00524EA5"/>
    <w:rsid w:val="00532221"/>
    <w:rsid w:val="00543F1B"/>
    <w:rsid w:val="00545F84"/>
    <w:rsid w:val="00547629"/>
    <w:rsid w:val="00551ACD"/>
    <w:rsid w:val="00553335"/>
    <w:rsid w:val="00555220"/>
    <w:rsid w:val="00557D2D"/>
    <w:rsid w:val="0056209A"/>
    <w:rsid w:val="0056435D"/>
    <w:rsid w:val="00566D7A"/>
    <w:rsid w:val="00574AE5"/>
    <w:rsid w:val="00587796"/>
    <w:rsid w:val="005A07D2"/>
    <w:rsid w:val="005A0FDF"/>
    <w:rsid w:val="005A3556"/>
    <w:rsid w:val="005A6FFF"/>
    <w:rsid w:val="005B13DF"/>
    <w:rsid w:val="005B30DB"/>
    <w:rsid w:val="005C0A3D"/>
    <w:rsid w:val="005C3A79"/>
    <w:rsid w:val="005C63BB"/>
    <w:rsid w:val="005D41FF"/>
    <w:rsid w:val="005D49C9"/>
    <w:rsid w:val="005D5910"/>
    <w:rsid w:val="005D7989"/>
    <w:rsid w:val="005E0AD8"/>
    <w:rsid w:val="005E0CDC"/>
    <w:rsid w:val="005E31BC"/>
    <w:rsid w:val="005E34EE"/>
    <w:rsid w:val="005E457A"/>
    <w:rsid w:val="005E53E2"/>
    <w:rsid w:val="005E5EF6"/>
    <w:rsid w:val="005F3190"/>
    <w:rsid w:val="005F4FD9"/>
    <w:rsid w:val="005F55ED"/>
    <w:rsid w:val="005F7BF5"/>
    <w:rsid w:val="00600E07"/>
    <w:rsid w:val="00601590"/>
    <w:rsid w:val="0060293F"/>
    <w:rsid w:val="00603134"/>
    <w:rsid w:val="00604BE1"/>
    <w:rsid w:val="00612D5D"/>
    <w:rsid w:val="00613CD4"/>
    <w:rsid w:val="00616C95"/>
    <w:rsid w:val="006204B8"/>
    <w:rsid w:val="00626A32"/>
    <w:rsid w:val="006327A1"/>
    <w:rsid w:val="00637842"/>
    <w:rsid w:val="00643240"/>
    <w:rsid w:val="00643FD8"/>
    <w:rsid w:val="00644E16"/>
    <w:rsid w:val="00645313"/>
    <w:rsid w:val="0065198C"/>
    <w:rsid w:val="0065558F"/>
    <w:rsid w:val="00663A74"/>
    <w:rsid w:val="00663B83"/>
    <w:rsid w:val="00663BFA"/>
    <w:rsid w:val="00670C2C"/>
    <w:rsid w:val="006819AE"/>
    <w:rsid w:val="006850A3"/>
    <w:rsid w:val="006A1000"/>
    <w:rsid w:val="006A44EE"/>
    <w:rsid w:val="006B2DD0"/>
    <w:rsid w:val="006B5E68"/>
    <w:rsid w:val="006C53A0"/>
    <w:rsid w:val="006C7737"/>
    <w:rsid w:val="006D186A"/>
    <w:rsid w:val="006D75BD"/>
    <w:rsid w:val="006E1C3B"/>
    <w:rsid w:val="006E289E"/>
    <w:rsid w:val="006E3377"/>
    <w:rsid w:val="006E3454"/>
    <w:rsid w:val="006E4120"/>
    <w:rsid w:val="006E5A0B"/>
    <w:rsid w:val="006F25A1"/>
    <w:rsid w:val="006F32D4"/>
    <w:rsid w:val="006F7915"/>
    <w:rsid w:val="007015FF"/>
    <w:rsid w:val="0070393A"/>
    <w:rsid w:val="007105A8"/>
    <w:rsid w:val="00711517"/>
    <w:rsid w:val="007117D0"/>
    <w:rsid w:val="00712378"/>
    <w:rsid w:val="00721C18"/>
    <w:rsid w:val="00721C8D"/>
    <w:rsid w:val="007225BE"/>
    <w:rsid w:val="00723C03"/>
    <w:rsid w:val="00725681"/>
    <w:rsid w:val="0073124F"/>
    <w:rsid w:val="0073560C"/>
    <w:rsid w:val="007410A0"/>
    <w:rsid w:val="00744AA2"/>
    <w:rsid w:val="007479F7"/>
    <w:rsid w:val="00755E13"/>
    <w:rsid w:val="00763FF7"/>
    <w:rsid w:val="00765AC3"/>
    <w:rsid w:val="00767060"/>
    <w:rsid w:val="00773F8E"/>
    <w:rsid w:val="007759CB"/>
    <w:rsid w:val="00781CDA"/>
    <w:rsid w:val="00782D81"/>
    <w:rsid w:val="0079245B"/>
    <w:rsid w:val="00793C0A"/>
    <w:rsid w:val="007950C2"/>
    <w:rsid w:val="007A125C"/>
    <w:rsid w:val="007A1997"/>
    <w:rsid w:val="007B0E21"/>
    <w:rsid w:val="007B2B86"/>
    <w:rsid w:val="007B36BE"/>
    <w:rsid w:val="007B4D0F"/>
    <w:rsid w:val="007C29B4"/>
    <w:rsid w:val="007C6E61"/>
    <w:rsid w:val="007D2211"/>
    <w:rsid w:val="007E2339"/>
    <w:rsid w:val="007E270F"/>
    <w:rsid w:val="007E2EB2"/>
    <w:rsid w:val="007E6505"/>
    <w:rsid w:val="008109D2"/>
    <w:rsid w:val="00821462"/>
    <w:rsid w:val="008248FC"/>
    <w:rsid w:val="00825719"/>
    <w:rsid w:val="0082603F"/>
    <w:rsid w:val="0082651D"/>
    <w:rsid w:val="0082745B"/>
    <w:rsid w:val="00827A93"/>
    <w:rsid w:val="008308B3"/>
    <w:rsid w:val="00833A38"/>
    <w:rsid w:val="00836834"/>
    <w:rsid w:val="00844A69"/>
    <w:rsid w:val="00847973"/>
    <w:rsid w:val="00850754"/>
    <w:rsid w:val="00852F4A"/>
    <w:rsid w:val="00860DC6"/>
    <w:rsid w:val="0086206C"/>
    <w:rsid w:val="00867243"/>
    <w:rsid w:val="00880130"/>
    <w:rsid w:val="00885289"/>
    <w:rsid w:val="00890260"/>
    <w:rsid w:val="00890A8F"/>
    <w:rsid w:val="00892DBB"/>
    <w:rsid w:val="008931AD"/>
    <w:rsid w:val="00894AA7"/>
    <w:rsid w:val="008A6621"/>
    <w:rsid w:val="008A66F7"/>
    <w:rsid w:val="008B1013"/>
    <w:rsid w:val="008C3BB8"/>
    <w:rsid w:val="008C7DCE"/>
    <w:rsid w:val="008D648E"/>
    <w:rsid w:val="008E168C"/>
    <w:rsid w:val="008F26B4"/>
    <w:rsid w:val="009018BB"/>
    <w:rsid w:val="00904B2A"/>
    <w:rsid w:val="00920826"/>
    <w:rsid w:val="00920BA2"/>
    <w:rsid w:val="0092170D"/>
    <w:rsid w:val="0092684D"/>
    <w:rsid w:val="009269B7"/>
    <w:rsid w:val="0093681B"/>
    <w:rsid w:val="009410FD"/>
    <w:rsid w:val="00941B9F"/>
    <w:rsid w:val="009446B3"/>
    <w:rsid w:val="00947EDE"/>
    <w:rsid w:val="009526CE"/>
    <w:rsid w:val="00952D3B"/>
    <w:rsid w:val="00955D6E"/>
    <w:rsid w:val="009563CE"/>
    <w:rsid w:val="00961B58"/>
    <w:rsid w:val="009668A7"/>
    <w:rsid w:val="00970A76"/>
    <w:rsid w:val="00975FD0"/>
    <w:rsid w:val="009802AF"/>
    <w:rsid w:val="009851F4"/>
    <w:rsid w:val="00990348"/>
    <w:rsid w:val="0099469F"/>
    <w:rsid w:val="009A065E"/>
    <w:rsid w:val="009A1690"/>
    <w:rsid w:val="009B5241"/>
    <w:rsid w:val="009C6290"/>
    <w:rsid w:val="009D1DE3"/>
    <w:rsid w:val="009D5459"/>
    <w:rsid w:val="009D7DB2"/>
    <w:rsid w:val="009E1495"/>
    <w:rsid w:val="009E1FCB"/>
    <w:rsid w:val="009E3E9C"/>
    <w:rsid w:val="009E4BC1"/>
    <w:rsid w:val="009E5F38"/>
    <w:rsid w:val="009F1396"/>
    <w:rsid w:val="009F7B11"/>
    <w:rsid w:val="00A01AB2"/>
    <w:rsid w:val="00A053C7"/>
    <w:rsid w:val="00A059FB"/>
    <w:rsid w:val="00A07FF9"/>
    <w:rsid w:val="00A1078B"/>
    <w:rsid w:val="00A135B1"/>
    <w:rsid w:val="00A16344"/>
    <w:rsid w:val="00A238BB"/>
    <w:rsid w:val="00A23973"/>
    <w:rsid w:val="00A246BF"/>
    <w:rsid w:val="00A27050"/>
    <w:rsid w:val="00A3466E"/>
    <w:rsid w:val="00A517E3"/>
    <w:rsid w:val="00A51AAC"/>
    <w:rsid w:val="00A51B4F"/>
    <w:rsid w:val="00A5284F"/>
    <w:rsid w:val="00A559CF"/>
    <w:rsid w:val="00A576D8"/>
    <w:rsid w:val="00A61448"/>
    <w:rsid w:val="00A628A4"/>
    <w:rsid w:val="00A65BFB"/>
    <w:rsid w:val="00A72F16"/>
    <w:rsid w:val="00A730D9"/>
    <w:rsid w:val="00A74F42"/>
    <w:rsid w:val="00A94043"/>
    <w:rsid w:val="00A94210"/>
    <w:rsid w:val="00A96D0F"/>
    <w:rsid w:val="00AA2037"/>
    <w:rsid w:val="00AA4920"/>
    <w:rsid w:val="00AA6C51"/>
    <w:rsid w:val="00AB1FA3"/>
    <w:rsid w:val="00AB279F"/>
    <w:rsid w:val="00AB2E84"/>
    <w:rsid w:val="00AB5FFA"/>
    <w:rsid w:val="00AC38C5"/>
    <w:rsid w:val="00AC71F5"/>
    <w:rsid w:val="00AD059E"/>
    <w:rsid w:val="00AD0BF5"/>
    <w:rsid w:val="00AE47D6"/>
    <w:rsid w:val="00AE4A14"/>
    <w:rsid w:val="00AF0DE5"/>
    <w:rsid w:val="00AF1585"/>
    <w:rsid w:val="00AF4DC9"/>
    <w:rsid w:val="00AF78DC"/>
    <w:rsid w:val="00B00055"/>
    <w:rsid w:val="00B10038"/>
    <w:rsid w:val="00B26A9D"/>
    <w:rsid w:val="00B3146A"/>
    <w:rsid w:val="00B31487"/>
    <w:rsid w:val="00B448A3"/>
    <w:rsid w:val="00B44B7E"/>
    <w:rsid w:val="00B46DA0"/>
    <w:rsid w:val="00B47546"/>
    <w:rsid w:val="00B57EB6"/>
    <w:rsid w:val="00B60401"/>
    <w:rsid w:val="00B60435"/>
    <w:rsid w:val="00B638CD"/>
    <w:rsid w:val="00B64CA6"/>
    <w:rsid w:val="00B6631E"/>
    <w:rsid w:val="00B7343B"/>
    <w:rsid w:val="00B80DF6"/>
    <w:rsid w:val="00B822B3"/>
    <w:rsid w:val="00B90898"/>
    <w:rsid w:val="00B922F7"/>
    <w:rsid w:val="00B973CB"/>
    <w:rsid w:val="00BA3A75"/>
    <w:rsid w:val="00BA4707"/>
    <w:rsid w:val="00BB0871"/>
    <w:rsid w:val="00BB0D03"/>
    <w:rsid w:val="00BB10AD"/>
    <w:rsid w:val="00BB1CC6"/>
    <w:rsid w:val="00BB7720"/>
    <w:rsid w:val="00BD22D7"/>
    <w:rsid w:val="00BE298A"/>
    <w:rsid w:val="00BE498E"/>
    <w:rsid w:val="00C02DB5"/>
    <w:rsid w:val="00C1484E"/>
    <w:rsid w:val="00C242F6"/>
    <w:rsid w:val="00C2488F"/>
    <w:rsid w:val="00C338A7"/>
    <w:rsid w:val="00C344C4"/>
    <w:rsid w:val="00C3483A"/>
    <w:rsid w:val="00C34922"/>
    <w:rsid w:val="00C537A9"/>
    <w:rsid w:val="00C56DA0"/>
    <w:rsid w:val="00C57571"/>
    <w:rsid w:val="00C62ACF"/>
    <w:rsid w:val="00C64EEF"/>
    <w:rsid w:val="00C657DA"/>
    <w:rsid w:val="00C731E1"/>
    <w:rsid w:val="00C75ADD"/>
    <w:rsid w:val="00C80CD4"/>
    <w:rsid w:val="00C81029"/>
    <w:rsid w:val="00C82873"/>
    <w:rsid w:val="00C90EE5"/>
    <w:rsid w:val="00C9347B"/>
    <w:rsid w:val="00CA3D32"/>
    <w:rsid w:val="00CA7E5B"/>
    <w:rsid w:val="00CB2AE2"/>
    <w:rsid w:val="00CB439E"/>
    <w:rsid w:val="00CB77AA"/>
    <w:rsid w:val="00CC02C5"/>
    <w:rsid w:val="00CC09D9"/>
    <w:rsid w:val="00CC3070"/>
    <w:rsid w:val="00CC32D5"/>
    <w:rsid w:val="00CD2677"/>
    <w:rsid w:val="00CD67EA"/>
    <w:rsid w:val="00CE027E"/>
    <w:rsid w:val="00CE071F"/>
    <w:rsid w:val="00CF114D"/>
    <w:rsid w:val="00CF29DE"/>
    <w:rsid w:val="00CF5560"/>
    <w:rsid w:val="00D01DCD"/>
    <w:rsid w:val="00D022AF"/>
    <w:rsid w:val="00D036DC"/>
    <w:rsid w:val="00D03785"/>
    <w:rsid w:val="00D05120"/>
    <w:rsid w:val="00D0636A"/>
    <w:rsid w:val="00D069ED"/>
    <w:rsid w:val="00D11F53"/>
    <w:rsid w:val="00D13A4B"/>
    <w:rsid w:val="00D167F7"/>
    <w:rsid w:val="00D16BDE"/>
    <w:rsid w:val="00D20538"/>
    <w:rsid w:val="00D228AE"/>
    <w:rsid w:val="00D22E6A"/>
    <w:rsid w:val="00D23A8C"/>
    <w:rsid w:val="00D305E5"/>
    <w:rsid w:val="00D37623"/>
    <w:rsid w:val="00D460B1"/>
    <w:rsid w:val="00D4695B"/>
    <w:rsid w:val="00D47155"/>
    <w:rsid w:val="00D50B72"/>
    <w:rsid w:val="00D51BAD"/>
    <w:rsid w:val="00D53C10"/>
    <w:rsid w:val="00D56BA5"/>
    <w:rsid w:val="00D62ABE"/>
    <w:rsid w:val="00D64C71"/>
    <w:rsid w:val="00D650E1"/>
    <w:rsid w:val="00D73716"/>
    <w:rsid w:val="00D850B3"/>
    <w:rsid w:val="00D90B78"/>
    <w:rsid w:val="00D95926"/>
    <w:rsid w:val="00D978B7"/>
    <w:rsid w:val="00DA40A4"/>
    <w:rsid w:val="00DB65DB"/>
    <w:rsid w:val="00DB65FC"/>
    <w:rsid w:val="00DB71D7"/>
    <w:rsid w:val="00DB7C7C"/>
    <w:rsid w:val="00DC5DF4"/>
    <w:rsid w:val="00DD1C82"/>
    <w:rsid w:val="00DD312D"/>
    <w:rsid w:val="00DD352F"/>
    <w:rsid w:val="00DD5DE7"/>
    <w:rsid w:val="00DE5742"/>
    <w:rsid w:val="00DE6227"/>
    <w:rsid w:val="00DE7D78"/>
    <w:rsid w:val="00E00BC9"/>
    <w:rsid w:val="00E029B4"/>
    <w:rsid w:val="00E02F0B"/>
    <w:rsid w:val="00E12975"/>
    <w:rsid w:val="00E12A5F"/>
    <w:rsid w:val="00E21047"/>
    <w:rsid w:val="00E25198"/>
    <w:rsid w:val="00E32498"/>
    <w:rsid w:val="00E3642E"/>
    <w:rsid w:val="00E426C9"/>
    <w:rsid w:val="00E452E0"/>
    <w:rsid w:val="00E53ED4"/>
    <w:rsid w:val="00E65903"/>
    <w:rsid w:val="00E66AB6"/>
    <w:rsid w:val="00E75E61"/>
    <w:rsid w:val="00E83EBD"/>
    <w:rsid w:val="00E939E0"/>
    <w:rsid w:val="00E93BE7"/>
    <w:rsid w:val="00E9690A"/>
    <w:rsid w:val="00E96AE7"/>
    <w:rsid w:val="00EA2665"/>
    <w:rsid w:val="00EA2CAE"/>
    <w:rsid w:val="00EA5ED5"/>
    <w:rsid w:val="00EB1039"/>
    <w:rsid w:val="00EB290E"/>
    <w:rsid w:val="00EB3206"/>
    <w:rsid w:val="00EB3829"/>
    <w:rsid w:val="00EB7CE4"/>
    <w:rsid w:val="00ED1AD6"/>
    <w:rsid w:val="00ED37E9"/>
    <w:rsid w:val="00ED5E47"/>
    <w:rsid w:val="00ED7EE5"/>
    <w:rsid w:val="00EE0C0D"/>
    <w:rsid w:val="00EE2276"/>
    <w:rsid w:val="00EE3453"/>
    <w:rsid w:val="00EE5A6D"/>
    <w:rsid w:val="00EF0390"/>
    <w:rsid w:val="00EF6501"/>
    <w:rsid w:val="00EF7733"/>
    <w:rsid w:val="00F139D7"/>
    <w:rsid w:val="00F143DF"/>
    <w:rsid w:val="00F20BF0"/>
    <w:rsid w:val="00F21D20"/>
    <w:rsid w:val="00F22E13"/>
    <w:rsid w:val="00F23203"/>
    <w:rsid w:val="00F23AF7"/>
    <w:rsid w:val="00F31099"/>
    <w:rsid w:val="00F32EB4"/>
    <w:rsid w:val="00F4584E"/>
    <w:rsid w:val="00F5042D"/>
    <w:rsid w:val="00F511DE"/>
    <w:rsid w:val="00F52D4C"/>
    <w:rsid w:val="00F54354"/>
    <w:rsid w:val="00F56E9A"/>
    <w:rsid w:val="00F613B9"/>
    <w:rsid w:val="00F655F2"/>
    <w:rsid w:val="00F66EEA"/>
    <w:rsid w:val="00F70C88"/>
    <w:rsid w:val="00F70C98"/>
    <w:rsid w:val="00F759F1"/>
    <w:rsid w:val="00F8268F"/>
    <w:rsid w:val="00F838A8"/>
    <w:rsid w:val="00F83F13"/>
    <w:rsid w:val="00F83F22"/>
    <w:rsid w:val="00F90FA0"/>
    <w:rsid w:val="00F94795"/>
    <w:rsid w:val="00F97A2E"/>
    <w:rsid w:val="00FA1909"/>
    <w:rsid w:val="00FA3777"/>
    <w:rsid w:val="00FA5295"/>
    <w:rsid w:val="00FB256D"/>
    <w:rsid w:val="00FB5010"/>
    <w:rsid w:val="00FB691D"/>
    <w:rsid w:val="00FC10D0"/>
    <w:rsid w:val="00FC65F8"/>
    <w:rsid w:val="00FC6668"/>
    <w:rsid w:val="00FC6AA8"/>
    <w:rsid w:val="00FD09BE"/>
    <w:rsid w:val="00FD18CA"/>
    <w:rsid w:val="00FD1F89"/>
    <w:rsid w:val="00FD5D41"/>
    <w:rsid w:val="00FE34BB"/>
    <w:rsid w:val="00FE3F66"/>
    <w:rsid w:val="00FF4A7A"/>
    <w:rsid w:val="00FF580B"/>
    <w:rsid w:val="00FF7E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BB7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9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29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9E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5284F"/>
    <w:pPr>
      <w:ind w:left="720"/>
      <w:contextualSpacing/>
    </w:pPr>
  </w:style>
  <w:style w:type="paragraph" w:styleId="DocumentMap">
    <w:name w:val="Document Map"/>
    <w:basedOn w:val="Normal"/>
    <w:link w:val="DocumentMapChar"/>
    <w:uiPriority w:val="99"/>
    <w:semiHidden/>
    <w:unhideWhenUsed/>
    <w:rsid w:val="00DC5DF4"/>
    <w:rPr>
      <w:rFonts w:ascii="Times New Roman" w:hAnsi="Times New Roman" w:cs="Times New Roman"/>
    </w:rPr>
  </w:style>
  <w:style w:type="character" w:customStyle="1" w:styleId="DocumentMapChar">
    <w:name w:val="Document Map Char"/>
    <w:basedOn w:val="DefaultParagraphFont"/>
    <w:link w:val="DocumentMap"/>
    <w:uiPriority w:val="99"/>
    <w:semiHidden/>
    <w:rsid w:val="00DC5DF4"/>
    <w:rPr>
      <w:rFonts w:ascii="Times New Roman" w:hAnsi="Times New Roman" w:cs="Times New Roman"/>
    </w:rPr>
  </w:style>
  <w:style w:type="character" w:customStyle="1" w:styleId="Heading2Char">
    <w:name w:val="Heading 2 Char"/>
    <w:basedOn w:val="DefaultParagraphFont"/>
    <w:link w:val="Heading2"/>
    <w:uiPriority w:val="9"/>
    <w:rsid w:val="00CF29D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11F53"/>
    <w:rPr>
      <w:sz w:val="18"/>
      <w:szCs w:val="18"/>
    </w:rPr>
  </w:style>
  <w:style w:type="paragraph" w:styleId="CommentText">
    <w:name w:val="annotation text"/>
    <w:basedOn w:val="Normal"/>
    <w:link w:val="CommentTextChar"/>
    <w:uiPriority w:val="99"/>
    <w:semiHidden/>
    <w:unhideWhenUsed/>
    <w:rsid w:val="00D11F53"/>
  </w:style>
  <w:style w:type="character" w:customStyle="1" w:styleId="CommentTextChar">
    <w:name w:val="Comment Text Char"/>
    <w:basedOn w:val="DefaultParagraphFont"/>
    <w:link w:val="CommentText"/>
    <w:uiPriority w:val="99"/>
    <w:semiHidden/>
    <w:rsid w:val="00D11F53"/>
  </w:style>
  <w:style w:type="paragraph" w:styleId="CommentSubject">
    <w:name w:val="annotation subject"/>
    <w:basedOn w:val="CommentText"/>
    <w:next w:val="CommentText"/>
    <w:link w:val="CommentSubjectChar"/>
    <w:uiPriority w:val="99"/>
    <w:semiHidden/>
    <w:unhideWhenUsed/>
    <w:rsid w:val="00D11F53"/>
    <w:rPr>
      <w:b/>
      <w:bCs/>
      <w:sz w:val="20"/>
      <w:szCs w:val="20"/>
    </w:rPr>
  </w:style>
  <w:style w:type="character" w:customStyle="1" w:styleId="CommentSubjectChar">
    <w:name w:val="Comment Subject Char"/>
    <w:basedOn w:val="CommentTextChar"/>
    <w:link w:val="CommentSubject"/>
    <w:uiPriority w:val="99"/>
    <w:semiHidden/>
    <w:rsid w:val="00D11F53"/>
    <w:rPr>
      <w:b/>
      <w:bCs/>
      <w:sz w:val="20"/>
      <w:szCs w:val="20"/>
    </w:rPr>
  </w:style>
  <w:style w:type="paragraph" w:styleId="BalloonText">
    <w:name w:val="Balloon Text"/>
    <w:basedOn w:val="Normal"/>
    <w:link w:val="BalloonTextChar"/>
    <w:uiPriority w:val="99"/>
    <w:semiHidden/>
    <w:unhideWhenUsed/>
    <w:rsid w:val="00D11F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F53"/>
    <w:rPr>
      <w:rFonts w:ascii="Times New Roman" w:hAnsi="Times New Roman" w:cs="Times New Roman"/>
      <w:sz w:val="18"/>
      <w:szCs w:val="18"/>
    </w:rPr>
  </w:style>
  <w:style w:type="character" w:styleId="Hyperlink">
    <w:name w:val="Hyperlink"/>
    <w:basedOn w:val="DefaultParagraphFont"/>
    <w:uiPriority w:val="99"/>
    <w:unhideWhenUsed/>
    <w:rsid w:val="00EF7733"/>
    <w:rPr>
      <w:color w:val="0000FF" w:themeColor="hyperlink"/>
      <w:u w:val="single"/>
    </w:rPr>
  </w:style>
  <w:style w:type="paragraph" w:styleId="Revision">
    <w:name w:val="Revision"/>
    <w:hidden/>
    <w:uiPriority w:val="99"/>
    <w:semiHidden/>
    <w:rsid w:val="00721C18"/>
  </w:style>
  <w:style w:type="paragraph" w:styleId="Header">
    <w:name w:val="header"/>
    <w:basedOn w:val="Normal"/>
    <w:link w:val="HeaderChar"/>
    <w:uiPriority w:val="99"/>
    <w:unhideWhenUsed/>
    <w:rsid w:val="00DA40A4"/>
    <w:pPr>
      <w:tabs>
        <w:tab w:val="center" w:pos="4513"/>
        <w:tab w:val="right" w:pos="9026"/>
      </w:tabs>
    </w:pPr>
  </w:style>
  <w:style w:type="character" w:customStyle="1" w:styleId="HeaderChar">
    <w:name w:val="Header Char"/>
    <w:basedOn w:val="DefaultParagraphFont"/>
    <w:link w:val="Header"/>
    <w:uiPriority w:val="99"/>
    <w:rsid w:val="00DA40A4"/>
  </w:style>
  <w:style w:type="paragraph" w:styleId="Footer">
    <w:name w:val="footer"/>
    <w:basedOn w:val="Normal"/>
    <w:link w:val="FooterChar"/>
    <w:uiPriority w:val="99"/>
    <w:unhideWhenUsed/>
    <w:rsid w:val="00DA40A4"/>
    <w:pPr>
      <w:tabs>
        <w:tab w:val="center" w:pos="4513"/>
        <w:tab w:val="right" w:pos="9026"/>
      </w:tabs>
    </w:pPr>
  </w:style>
  <w:style w:type="character" w:customStyle="1" w:styleId="FooterChar">
    <w:name w:val="Footer Char"/>
    <w:basedOn w:val="DefaultParagraphFont"/>
    <w:link w:val="Footer"/>
    <w:uiPriority w:val="99"/>
    <w:rsid w:val="00DA40A4"/>
  </w:style>
  <w:style w:type="character" w:styleId="PageNumber">
    <w:name w:val="page number"/>
    <w:basedOn w:val="DefaultParagraphFont"/>
    <w:uiPriority w:val="99"/>
    <w:semiHidden/>
    <w:unhideWhenUsed/>
    <w:rsid w:val="00DA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6217">
      <w:bodyDiv w:val="1"/>
      <w:marLeft w:val="0"/>
      <w:marRight w:val="0"/>
      <w:marTop w:val="0"/>
      <w:marBottom w:val="0"/>
      <w:divBdr>
        <w:top w:val="none" w:sz="0" w:space="0" w:color="auto"/>
        <w:left w:val="none" w:sz="0" w:space="0" w:color="auto"/>
        <w:bottom w:val="none" w:sz="0" w:space="0" w:color="auto"/>
        <w:right w:val="none" w:sz="0" w:space="0" w:color="auto"/>
      </w:divBdr>
    </w:div>
    <w:div w:id="406734500">
      <w:bodyDiv w:val="1"/>
      <w:marLeft w:val="0"/>
      <w:marRight w:val="0"/>
      <w:marTop w:val="0"/>
      <w:marBottom w:val="0"/>
      <w:divBdr>
        <w:top w:val="none" w:sz="0" w:space="0" w:color="auto"/>
        <w:left w:val="none" w:sz="0" w:space="0" w:color="auto"/>
        <w:bottom w:val="none" w:sz="0" w:space="0" w:color="auto"/>
        <w:right w:val="none" w:sz="0" w:space="0" w:color="auto"/>
      </w:divBdr>
    </w:div>
    <w:div w:id="494498251">
      <w:bodyDiv w:val="1"/>
      <w:marLeft w:val="0"/>
      <w:marRight w:val="0"/>
      <w:marTop w:val="0"/>
      <w:marBottom w:val="0"/>
      <w:divBdr>
        <w:top w:val="none" w:sz="0" w:space="0" w:color="auto"/>
        <w:left w:val="none" w:sz="0" w:space="0" w:color="auto"/>
        <w:bottom w:val="none" w:sz="0" w:space="0" w:color="auto"/>
        <w:right w:val="none" w:sz="0" w:space="0" w:color="auto"/>
      </w:divBdr>
    </w:div>
    <w:div w:id="536697361">
      <w:bodyDiv w:val="1"/>
      <w:marLeft w:val="0"/>
      <w:marRight w:val="0"/>
      <w:marTop w:val="0"/>
      <w:marBottom w:val="0"/>
      <w:divBdr>
        <w:top w:val="none" w:sz="0" w:space="0" w:color="auto"/>
        <w:left w:val="none" w:sz="0" w:space="0" w:color="auto"/>
        <w:bottom w:val="none" w:sz="0" w:space="0" w:color="auto"/>
        <w:right w:val="none" w:sz="0" w:space="0" w:color="auto"/>
      </w:divBdr>
    </w:div>
    <w:div w:id="1053117764">
      <w:bodyDiv w:val="1"/>
      <w:marLeft w:val="0"/>
      <w:marRight w:val="0"/>
      <w:marTop w:val="0"/>
      <w:marBottom w:val="0"/>
      <w:divBdr>
        <w:top w:val="none" w:sz="0" w:space="0" w:color="auto"/>
        <w:left w:val="none" w:sz="0" w:space="0" w:color="auto"/>
        <w:bottom w:val="none" w:sz="0" w:space="0" w:color="auto"/>
        <w:right w:val="none" w:sz="0" w:space="0" w:color="auto"/>
      </w:divBdr>
    </w:div>
    <w:div w:id="1068773546">
      <w:bodyDiv w:val="1"/>
      <w:marLeft w:val="0"/>
      <w:marRight w:val="0"/>
      <w:marTop w:val="0"/>
      <w:marBottom w:val="0"/>
      <w:divBdr>
        <w:top w:val="none" w:sz="0" w:space="0" w:color="auto"/>
        <w:left w:val="none" w:sz="0" w:space="0" w:color="auto"/>
        <w:bottom w:val="none" w:sz="0" w:space="0" w:color="auto"/>
        <w:right w:val="none" w:sz="0" w:space="0" w:color="auto"/>
      </w:divBdr>
    </w:div>
    <w:div w:id="1177503552">
      <w:bodyDiv w:val="1"/>
      <w:marLeft w:val="0"/>
      <w:marRight w:val="0"/>
      <w:marTop w:val="0"/>
      <w:marBottom w:val="0"/>
      <w:divBdr>
        <w:top w:val="none" w:sz="0" w:space="0" w:color="auto"/>
        <w:left w:val="none" w:sz="0" w:space="0" w:color="auto"/>
        <w:bottom w:val="none" w:sz="0" w:space="0" w:color="auto"/>
        <w:right w:val="none" w:sz="0" w:space="0" w:color="auto"/>
      </w:divBdr>
    </w:div>
    <w:div w:id="1835678979">
      <w:bodyDiv w:val="1"/>
      <w:marLeft w:val="0"/>
      <w:marRight w:val="0"/>
      <w:marTop w:val="0"/>
      <w:marBottom w:val="0"/>
      <w:divBdr>
        <w:top w:val="none" w:sz="0" w:space="0" w:color="auto"/>
        <w:left w:val="none" w:sz="0" w:space="0" w:color="auto"/>
        <w:bottom w:val="none" w:sz="0" w:space="0" w:color="auto"/>
        <w:right w:val="none" w:sz="0" w:space="0" w:color="auto"/>
      </w:divBdr>
    </w:div>
    <w:div w:id="1835685540">
      <w:bodyDiv w:val="1"/>
      <w:marLeft w:val="0"/>
      <w:marRight w:val="0"/>
      <w:marTop w:val="0"/>
      <w:marBottom w:val="0"/>
      <w:divBdr>
        <w:top w:val="none" w:sz="0" w:space="0" w:color="auto"/>
        <w:left w:val="none" w:sz="0" w:space="0" w:color="auto"/>
        <w:bottom w:val="none" w:sz="0" w:space="0" w:color="auto"/>
        <w:right w:val="none" w:sz="0" w:space="0" w:color="auto"/>
      </w:divBdr>
    </w:div>
    <w:div w:id="1928266222">
      <w:bodyDiv w:val="1"/>
      <w:marLeft w:val="0"/>
      <w:marRight w:val="0"/>
      <w:marTop w:val="0"/>
      <w:marBottom w:val="0"/>
      <w:divBdr>
        <w:top w:val="none" w:sz="0" w:space="0" w:color="auto"/>
        <w:left w:val="none" w:sz="0" w:space="0" w:color="auto"/>
        <w:bottom w:val="none" w:sz="0" w:space="0" w:color="auto"/>
        <w:right w:val="none" w:sz="0" w:space="0" w:color="auto"/>
      </w:divBdr>
    </w:div>
    <w:div w:id="198870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2714</Words>
  <Characters>15471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Coral</dc:creator>
  <cp:keywords/>
  <dc:description/>
  <cp:lastModifiedBy>Steven Cowman</cp:lastModifiedBy>
  <cp:revision>35</cp:revision>
  <dcterms:created xsi:type="dcterms:W3CDTF">2017-10-17T19:16:00Z</dcterms:created>
  <dcterms:modified xsi:type="dcterms:W3CDTF">2018-11-19T21:22:00Z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id="http://www.zotero.org/styles/plos-one"/&gt;&lt;hasBiblio/&gt;&lt;format class="21"/&gt;&lt;count citations="4" publications="5"/&gt;&lt;/info&gt;PAPERS2_INFO_END</vt:lpwstr>
  </property>
</Properties>
</file>