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C7" w:rsidRPr="00F43CC7" w:rsidRDefault="00F43CC7" w:rsidP="00F43CC7">
      <w:proofErr w:type="gramStart"/>
      <w:r w:rsidRPr="00B81132">
        <w:rPr>
          <w:rFonts w:ascii="Times New Roman" w:hAnsi="Times New Roman" w:cs="Times New Roman"/>
          <w:sz w:val="24"/>
          <w:szCs w:val="24"/>
        </w:rPr>
        <w:t>S1 Table.</w:t>
      </w:r>
      <w:proofErr w:type="gramEnd"/>
      <w:r w:rsidRPr="00B81132">
        <w:rPr>
          <w:rFonts w:ascii="Times New Roman" w:hAnsi="Times New Roman" w:cs="Times New Roman"/>
          <w:sz w:val="24"/>
          <w:szCs w:val="24"/>
        </w:rPr>
        <w:t xml:space="preserve"> Risk of bias in the included studies</w:t>
      </w:r>
    </w:p>
    <w:tbl>
      <w:tblPr>
        <w:tblStyle w:val="TableGrid"/>
        <w:tblpPr w:leftFromText="142" w:rightFromText="142" w:vertAnchor="page" w:horzAnchor="margin" w:tblpY="2881"/>
        <w:tblW w:w="10434" w:type="dxa"/>
        <w:tblLook w:val="04A0"/>
      </w:tblPr>
      <w:tblGrid>
        <w:gridCol w:w="1560"/>
        <w:gridCol w:w="1275"/>
        <w:gridCol w:w="1418"/>
        <w:gridCol w:w="1276"/>
        <w:gridCol w:w="1417"/>
        <w:gridCol w:w="1134"/>
        <w:gridCol w:w="1134"/>
        <w:gridCol w:w="1220"/>
      </w:tblGrid>
      <w:tr w:rsidR="00F43CC7" w:rsidRPr="00B81132" w:rsidTr="00F43CC7">
        <w:trPr>
          <w:trHeight w:val="1388"/>
        </w:trPr>
        <w:tc>
          <w:tcPr>
            <w:tcW w:w="1560" w:type="dxa"/>
            <w:tcBorders>
              <w:top w:val="single" w:sz="12" w:space="0" w:color="auto"/>
              <w:left w:val="nil"/>
              <w:bottom w:val="single" w:sz="12" w:space="0" w:color="auto"/>
              <w:right w:val="nil"/>
            </w:tcBorders>
          </w:tcPr>
          <w:p w:rsidR="00F43CC7" w:rsidRPr="00B81132" w:rsidRDefault="00F43CC7" w:rsidP="00016F85">
            <w:pPr>
              <w:spacing w:line="480" w:lineRule="auto"/>
              <w:rPr>
                <w:rFonts w:ascii="Times New Roman" w:hAnsi="Times New Roman" w:cs="Times New Roman"/>
                <w:b/>
                <w:szCs w:val="20"/>
              </w:rPr>
            </w:pPr>
            <w:r w:rsidRPr="00B81132">
              <w:rPr>
                <w:rFonts w:ascii="Times New Roman" w:hAnsi="Times New Roman" w:cs="Times New Roman"/>
                <w:b/>
                <w:szCs w:val="20"/>
              </w:rPr>
              <w:t>Biases/ References</w:t>
            </w:r>
          </w:p>
        </w:tc>
        <w:tc>
          <w:tcPr>
            <w:tcW w:w="1275" w:type="dxa"/>
            <w:tcBorders>
              <w:top w:val="single" w:sz="12" w:space="0" w:color="auto"/>
              <w:left w:val="nil"/>
              <w:bottom w:val="single" w:sz="12" w:space="0" w:color="auto"/>
              <w:right w:val="nil"/>
            </w:tcBorders>
          </w:tcPr>
          <w:p w:rsidR="00F43CC7" w:rsidRPr="00B81132" w:rsidRDefault="00F43CC7" w:rsidP="00016F85">
            <w:pPr>
              <w:spacing w:line="480" w:lineRule="auto"/>
              <w:rPr>
                <w:rFonts w:ascii="Times New Roman" w:eastAsia="맑은 고딕" w:hAnsi="Times New Roman" w:cs="Times New Roman"/>
                <w:b/>
                <w:szCs w:val="20"/>
              </w:rPr>
            </w:pPr>
            <w:r w:rsidRPr="00B81132">
              <w:rPr>
                <w:rFonts w:ascii="Times New Roman" w:eastAsia="맑은 고딕" w:hAnsi="Times New Roman" w:cs="Times New Roman"/>
                <w:b/>
                <w:szCs w:val="20"/>
              </w:rPr>
              <w:t>Random sequence generation</w:t>
            </w:r>
          </w:p>
        </w:tc>
        <w:tc>
          <w:tcPr>
            <w:tcW w:w="1418" w:type="dxa"/>
            <w:tcBorders>
              <w:top w:val="single" w:sz="12" w:space="0" w:color="auto"/>
              <w:left w:val="nil"/>
              <w:bottom w:val="single" w:sz="12" w:space="0" w:color="auto"/>
              <w:right w:val="nil"/>
            </w:tcBorders>
          </w:tcPr>
          <w:p w:rsidR="00F43CC7" w:rsidRPr="00B81132" w:rsidRDefault="00F43CC7" w:rsidP="00016F85">
            <w:pPr>
              <w:spacing w:line="480" w:lineRule="auto"/>
              <w:rPr>
                <w:rFonts w:ascii="Times New Roman" w:eastAsia="맑은 고딕" w:hAnsi="Times New Roman" w:cs="Times New Roman"/>
                <w:b/>
                <w:szCs w:val="20"/>
              </w:rPr>
            </w:pPr>
            <w:r w:rsidRPr="00B81132">
              <w:rPr>
                <w:rFonts w:ascii="Times New Roman" w:eastAsia="맑은 고딕" w:hAnsi="Times New Roman" w:cs="Times New Roman"/>
                <w:b/>
                <w:szCs w:val="20"/>
              </w:rPr>
              <w:t>Allocation concealment</w:t>
            </w:r>
          </w:p>
        </w:tc>
        <w:tc>
          <w:tcPr>
            <w:tcW w:w="1276" w:type="dxa"/>
            <w:tcBorders>
              <w:top w:val="single" w:sz="12" w:space="0" w:color="auto"/>
              <w:left w:val="nil"/>
              <w:bottom w:val="single" w:sz="12" w:space="0" w:color="auto"/>
              <w:right w:val="nil"/>
            </w:tcBorders>
          </w:tcPr>
          <w:p w:rsidR="00F43CC7" w:rsidRPr="00B81132" w:rsidRDefault="00F43CC7" w:rsidP="00016F85">
            <w:pPr>
              <w:spacing w:line="480" w:lineRule="auto"/>
              <w:rPr>
                <w:rFonts w:ascii="Times New Roman" w:eastAsia="맑은 고딕" w:hAnsi="Times New Roman" w:cs="Times New Roman"/>
                <w:b/>
                <w:szCs w:val="20"/>
              </w:rPr>
            </w:pPr>
            <w:r w:rsidRPr="00B81132">
              <w:rPr>
                <w:rFonts w:ascii="Times New Roman" w:eastAsia="맑은 고딕" w:hAnsi="Times New Roman" w:cs="Times New Roman"/>
                <w:b/>
                <w:szCs w:val="20"/>
              </w:rPr>
              <w:t>Blinding of outcome assessment</w:t>
            </w:r>
          </w:p>
        </w:tc>
        <w:tc>
          <w:tcPr>
            <w:tcW w:w="1417" w:type="dxa"/>
            <w:tcBorders>
              <w:top w:val="single" w:sz="12" w:space="0" w:color="auto"/>
              <w:left w:val="nil"/>
              <w:bottom w:val="single" w:sz="12" w:space="0" w:color="auto"/>
              <w:right w:val="nil"/>
            </w:tcBorders>
          </w:tcPr>
          <w:p w:rsidR="00F43CC7" w:rsidRPr="00B81132" w:rsidRDefault="00F43CC7" w:rsidP="00016F85">
            <w:pPr>
              <w:spacing w:line="480" w:lineRule="auto"/>
              <w:rPr>
                <w:rFonts w:ascii="Times New Roman" w:hAnsi="Times New Roman" w:cs="Times New Roman"/>
                <w:b/>
                <w:szCs w:val="20"/>
              </w:rPr>
            </w:pPr>
            <w:r w:rsidRPr="00B81132">
              <w:rPr>
                <w:rFonts w:ascii="Times New Roman" w:hAnsi="Times New Roman" w:cs="Times New Roman"/>
                <w:b/>
                <w:szCs w:val="20"/>
              </w:rPr>
              <w:t>Incomplete outcome data</w:t>
            </w:r>
          </w:p>
        </w:tc>
        <w:tc>
          <w:tcPr>
            <w:tcW w:w="1134" w:type="dxa"/>
            <w:tcBorders>
              <w:top w:val="single" w:sz="12" w:space="0" w:color="auto"/>
              <w:left w:val="nil"/>
              <w:bottom w:val="single" w:sz="12" w:space="0" w:color="auto"/>
              <w:right w:val="nil"/>
            </w:tcBorders>
          </w:tcPr>
          <w:p w:rsidR="00F43CC7" w:rsidRPr="00B81132" w:rsidRDefault="00F43CC7" w:rsidP="00016F85">
            <w:pPr>
              <w:spacing w:line="480" w:lineRule="auto"/>
              <w:rPr>
                <w:rFonts w:ascii="Times New Roman" w:hAnsi="Times New Roman" w:cs="Times New Roman"/>
                <w:b/>
                <w:szCs w:val="20"/>
              </w:rPr>
            </w:pPr>
            <w:r w:rsidRPr="00B81132">
              <w:rPr>
                <w:rFonts w:ascii="Times New Roman" w:hAnsi="Times New Roman" w:cs="Times New Roman"/>
                <w:b/>
                <w:szCs w:val="20"/>
              </w:rPr>
              <w:t>Selective reporting</w:t>
            </w:r>
          </w:p>
        </w:tc>
        <w:tc>
          <w:tcPr>
            <w:tcW w:w="1134" w:type="dxa"/>
            <w:tcBorders>
              <w:top w:val="single" w:sz="12" w:space="0" w:color="auto"/>
              <w:left w:val="nil"/>
              <w:bottom w:val="single" w:sz="12" w:space="0" w:color="auto"/>
              <w:right w:val="nil"/>
            </w:tcBorders>
          </w:tcPr>
          <w:p w:rsidR="00F43CC7" w:rsidRPr="00B81132" w:rsidRDefault="00F43CC7" w:rsidP="00016F85">
            <w:pPr>
              <w:spacing w:line="480" w:lineRule="auto"/>
              <w:rPr>
                <w:rFonts w:ascii="Times New Roman" w:hAnsi="Times New Roman" w:cs="Times New Roman"/>
                <w:b/>
                <w:szCs w:val="20"/>
              </w:rPr>
            </w:pPr>
            <w:r w:rsidRPr="00B81132">
              <w:rPr>
                <w:rFonts w:ascii="Times New Roman" w:hAnsi="Times New Roman" w:cs="Times New Roman"/>
                <w:b/>
                <w:szCs w:val="20"/>
              </w:rPr>
              <w:t>Other bias</w:t>
            </w:r>
          </w:p>
        </w:tc>
        <w:tc>
          <w:tcPr>
            <w:tcW w:w="1220" w:type="dxa"/>
            <w:tcBorders>
              <w:top w:val="single" w:sz="12" w:space="0" w:color="auto"/>
              <w:left w:val="nil"/>
              <w:bottom w:val="single" w:sz="12" w:space="0" w:color="auto"/>
              <w:right w:val="nil"/>
            </w:tcBorders>
          </w:tcPr>
          <w:p w:rsidR="00F43CC7" w:rsidRPr="00B81132" w:rsidRDefault="00F43CC7" w:rsidP="00016F85">
            <w:pPr>
              <w:spacing w:line="480" w:lineRule="auto"/>
              <w:rPr>
                <w:rFonts w:ascii="Times New Roman" w:hAnsi="Times New Roman" w:cs="Times New Roman"/>
                <w:b/>
                <w:szCs w:val="20"/>
              </w:rPr>
            </w:pPr>
            <w:r w:rsidRPr="00B81132">
              <w:rPr>
                <w:rFonts w:ascii="Times New Roman" w:hAnsi="Times New Roman" w:cs="Times New Roman"/>
                <w:b/>
                <w:szCs w:val="20"/>
              </w:rPr>
              <w:t>Overall risk of bias</w:t>
            </w:r>
          </w:p>
        </w:tc>
      </w:tr>
      <w:tr w:rsidR="00F43CC7" w:rsidRPr="00B81132" w:rsidTr="00016F85">
        <w:tc>
          <w:tcPr>
            <w:tcW w:w="1560" w:type="dxa"/>
            <w:tcBorders>
              <w:top w:val="single" w:sz="12" w:space="0" w:color="auto"/>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eastAsia="맑은 고딕" w:hAnsi="Times New Roman" w:cs="Times New Roman"/>
                <w:b/>
                <w:bCs/>
                <w:kern w:val="24"/>
                <w:sz w:val="20"/>
                <w:szCs w:val="20"/>
              </w:rPr>
            </w:pPr>
            <w:proofErr w:type="spellStart"/>
            <w:r w:rsidRPr="00B81132">
              <w:rPr>
                <w:rFonts w:ascii="Times New Roman" w:eastAsia="맑은 고딕" w:hAnsi="Times New Roman" w:cs="Times New Roman"/>
                <w:b/>
                <w:bCs/>
                <w:kern w:val="24"/>
                <w:sz w:val="20"/>
                <w:szCs w:val="20"/>
              </w:rPr>
              <w:t>Anuradha</w:t>
            </w:r>
            <w:proofErr w:type="spellEnd"/>
            <w:r w:rsidRPr="00B81132">
              <w:rPr>
                <w:rFonts w:ascii="Times New Roman" w:eastAsia="맑은 고딕" w:hAnsi="Times New Roman" w:cs="Times New Roman"/>
                <w:b/>
                <w:bCs/>
                <w:kern w:val="24"/>
                <w:sz w:val="20"/>
                <w:szCs w:val="20"/>
              </w:rPr>
              <w:t xml:space="preserve"> 2017</w:t>
            </w:r>
          </w:p>
        </w:tc>
        <w:tc>
          <w:tcPr>
            <w:tcW w:w="1275" w:type="dxa"/>
            <w:tcBorders>
              <w:top w:val="single" w:sz="12" w:space="0" w:color="auto"/>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single" w:sz="12" w:space="0" w:color="auto"/>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276" w:type="dxa"/>
            <w:tcBorders>
              <w:top w:val="single" w:sz="12" w:space="0" w:color="auto"/>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single" w:sz="12" w:space="0" w:color="auto"/>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single" w:sz="12" w:space="0" w:color="auto"/>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single" w:sz="12" w:space="0" w:color="auto"/>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single" w:sz="12" w:space="0" w:color="auto"/>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proofErr w:type="spellStart"/>
            <w:r w:rsidRPr="00B81132">
              <w:rPr>
                <w:rFonts w:ascii="Times New Roman" w:eastAsia="맑은 고딕" w:hAnsi="Times New Roman" w:cs="Times New Roman"/>
                <w:b/>
                <w:bCs/>
                <w:kern w:val="24"/>
                <w:sz w:val="20"/>
                <w:szCs w:val="20"/>
              </w:rPr>
              <w:t>Darlong</w:t>
            </w:r>
            <w:proofErr w:type="spellEnd"/>
            <w:r w:rsidRPr="00B81132">
              <w:rPr>
                <w:rFonts w:ascii="Times New Roman" w:eastAsia="맑은 고딕" w:hAnsi="Times New Roman" w:cs="Times New Roman"/>
                <w:b/>
                <w:bCs/>
                <w:kern w:val="24"/>
                <w:sz w:val="20"/>
                <w:szCs w:val="20"/>
              </w:rPr>
              <w:t xml:space="preserve"> 2011</w:t>
            </w:r>
          </w:p>
        </w:tc>
        <w:tc>
          <w:tcPr>
            <w:tcW w:w="1275"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276"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proofErr w:type="spellStart"/>
            <w:r w:rsidRPr="00B81132">
              <w:rPr>
                <w:rFonts w:ascii="Times New Roman" w:eastAsia="맑은 고딕" w:hAnsi="Times New Roman" w:cs="Times New Roman"/>
                <w:b/>
                <w:bCs/>
                <w:kern w:val="24"/>
                <w:sz w:val="20"/>
                <w:szCs w:val="20"/>
              </w:rPr>
              <w:t>Erlacher</w:t>
            </w:r>
            <w:proofErr w:type="spellEnd"/>
            <w:r w:rsidRPr="00B81132">
              <w:rPr>
                <w:rFonts w:ascii="Times New Roman" w:eastAsia="맑은 고딕" w:hAnsi="Times New Roman" w:cs="Times New Roman"/>
                <w:b/>
                <w:bCs/>
                <w:kern w:val="24"/>
                <w:sz w:val="20"/>
                <w:szCs w:val="20"/>
              </w:rPr>
              <w:t xml:space="preserve"> 2011</w:t>
            </w:r>
          </w:p>
        </w:tc>
        <w:tc>
          <w:tcPr>
            <w:tcW w:w="1275"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276"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proofErr w:type="spellStart"/>
            <w:r w:rsidRPr="00B81132">
              <w:rPr>
                <w:rFonts w:ascii="Times New Roman" w:eastAsia="맑은 고딕" w:hAnsi="Times New Roman" w:cs="Times New Roman"/>
                <w:b/>
                <w:bCs/>
                <w:kern w:val="24"/>
                <w:sz w:val="20"/>
                <w:szCs w:val="20"/>
              </w:rPr>
              <w:t>Garzon</w:t>
            </w:r>
            <w:proofErr w:type="spellEnd"/>
            <w:r w:rsidRPr="00B81132">
              <w:rPr>
                <w:rFonts w:ascii="Times New Roman" w:eastAsia="맑은 고딕" w:hAnsi="Times New Roman" w:cs="Times New Roman"/>
                <w:b/>
                <w:bCs/>
                <w:kern w:val="24"/>
                <w:sz w:val="20"/>
                <w:szCs w:val="20"/>
              </w:rPr>
              <w:t xml:space="preserve"> 2014</w:t>
            </w:r>
          </w:p>
        </w:tc>
        <w:tc>
          <w:tcPr>
            <w:tcW w:w="1275"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Unclear</w:t>
            </w:r>
          </w:p>
        </w:tc>
        <w:tc>
          <w:tcPr>
            <w:tcW w:w="1276"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Unclear</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proofErr w:type="spellStart"/>
            <w:r w:rsidRPr="00B81132">
              <w:rPr>
                <w:rFonts w:ascii="Times New Roman" w:eastAsia="맑은 고딕" w:hAnsi="Times New Roman" w:cs="Times New Roman"/>
                <w:b/>
                <w:bCs/>
                <w:kern w:val="24"/>
                <w:sz w:val="20"/>
                <w:szCs w:val="20"/>
              </w:rPr>
              <w:t>Halwagi</w:t>
            </w:r>
            <w:proofErr w:type="spellEnd"/>
            <w:r w:rsidRPr="00B81132">
              <w:rPr>
                <w:rFonts w:ascii="Times New Roman" w:eastAsia="맑은 고딕" w:hAnsi="Times New Roman" w:cs="Times New Roman"/>
                <w:b/>
                <w:bCs/>
                <w:kern w:val="24"/>
                <w:sz w:val="20"/>
                <w:szCs w:val="20"/>
              </w:rPr>
              <w:t xml:space="preserve"> 2012</w:t>
            </w:r>
          </w:p>
        </w:tc>
        <w:tc>
          <w:tcPr>
            <w:tcW w:w="1275"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276"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proofErr w:type="spellStart"/>
            <w:r w:rsidRPr="00B81132">
              <w:rPr>
                <w:rFonts w:ascii="Times New Roman" w:eastAsia="맑은 고딕" w:hAnsi="Times New Roman" w:cs="Times New Roman"/>
                <w:b/>
                <w:bCs/>
                <w:kern w:val="24"/>
                <w:sz w:val="20"/>
                <w:szCs w:val="20"/>
              </w:rPr>
              <w:t>Kapoor</w:t>
            </w:r>
            <w:proofErr w:type="spellEnd"/>
            <w:r w:rsidRPr="00B81132">
              <w:rPr>
                <w:rFonts w:ascii="Times New Roman" w:eastAsia="맑은 고딕" w:hAnsi="Times New Roman" w:cs="Times New Roman"/>
                <w:b/>
                <w:bCs/>
                <w:kern w:val="24"/>
                <w:sz w:val="20"/>
                <w:szCs w:val="20"/>
              </w:rPr>
              <w:t xml:space="preserve"> 2014</w:t>
            </w:r>
          </w:p>
        </w:tc>
        <w:tc>
          <w:tcPr>
            <w:tcW w:w="1275"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276"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proofErr w:type="spellStart"/>
            <w:r w:rsidRPr="00B81132">
              <w:rPr>
                <w:rFonts w:ascii="Times New Roman" w:eastAsia="맑은 고딕" w:hAnsi="Times New Roman" w:cs="Times New Roman"/>
                <w:b/>
                <w:bCs/>
                <w:kern w:val="24"/>
                <w:sz w:val="20"/>
                <w:szCs w:val="20"/>
              </w:rPr>
              <w:t>Karim</w:t>
            </w:r>
            <w:proofErr w:type="spellEnd"/>
            <w:r w:rsidRPr="00B81132">
              <w:rPr>
                <w:rFonts w:ascii="Times New Roman" w:eastAsia="맑은 고딕" w:hAnsi="Times New Roman" w:cs="Times New Roman"/>
                <w:b/>
                <w:bCs/>
                <w:kern w:val="24"/>
                <w:sz w:val="20"/>
                <w:szCs w:val="20"/>
              </w:rPr>
              <w:t xml:space="preserve"> 2011</w:t>
            </w:r>
          </w:p>
        </w:tc>
        <w:tc>
          <w:tcPr>
            <w:tcW w:w="1275"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Unclear</w:t>
            </w:r>
          </w:p>
        </w:tc>
        <w:tc>
          <w:tcPr>
            <w:tcW w:w="1418"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276"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High risk</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proofErr w:type="spellStart"/>
            <w:r w:rsidRPr="00B81132">
              <w:rPr>
                <w:rFonts w:ascii="Times New Roman" w:eastAsia="맑은 고딕" w:hAnsi="Times New Roman" w:cs="Times New Roman"/>
                <w:b/>
                <w:bCs/>
                <w:kern w:val="24"/>
                <w:sz w:val="20"/>
                <w:szCs w:val="20"/>
              </w:rPr>
              <w:t>Kleine</w:t>
            </w:r>
            <w:proofErr w:type="spellEnd"/>
            <w:r w:rsidRPr="00B81132">
              <w:rPr>
                <w:rFonts w:ascii="Times New Roman" w:eastAsia="맑은 고딕" w:hAnsi="Times New Roman" w:cs="Times New Roman"/>
                <w:b/>
                <w:bCs/>
                <w:kern w:val="24"/>
                <w:sz w:val="20"/>
                <w:szCs w:val="20"/>
              </w:rPr>
              <w:t xml:space="preserve"> 2015</w:t>
            </w:r>
          </w:p>
        </w:tc>
        <w:tc>
          <w:tcPr>
            <w:tcW w:w="1275"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76"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r w:rsidRPr="00B81132">
              <w:rPr>
                <w:rFonts w:ascii="Times New Roman" w:eastAsia="맑은 고딕" w:hAnsi="Times New Roman" w:cs="Times New Roman"/>
                <w:b/>
                <w:bCs/>
                <w:kern w:val="24"/>
                <w:sz w:val="20"/>
                <w:szCs w:val="20"/>
              </w:rPr>
              <w:t>Liu 2008</w:t>
            </w:r>
          </w:p>
        </w:tc>
        <w:tc>
          <w:tcPr>
            <w:tcW w:w="1275"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276"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proofErr w:type="spellStart"/>
            <w:r w:rsidRPr="00B81132">
              <w:rPr>
                <w:rFonts w:ascii="Times New Roman" w:eastAsia="맑은 고딕" w:hAnsi="Times New Roman" w:cs="Times New Roman"/>
                <w:b/>
                <w:bCs/>
                <w:kern w:val="24"/>
                <w:sz w:val="20"/>
                <w:szCs w:val="20"/>
              </w:rPr>
              <w:t>Malhotra</w:t>
            </w:r>
            <w:proofErr w:type="spellEnd"/>
            <w:r w:rsidRPr="00B81132">
              <w:rPr>
                <w:rFonts w:ascii="Times New Roman" w:eastAsia="맑은 고딕" w:hAnsi="Times New Roman" w:cs="Times New Roman"/>
                <w:b/>
                <w:bCs/>
                <w:kern w:val="24"/>
                <w:sz w:val="20"/>
                <w:szCs w:val="20"/>
              </w:rPr>
              <w:t xml:space="preserve"> 2016</w:t>
            </w:r>
          </w:p>
        </w:tc>
        <w:tc>
          <w:tcPr>
            <w:tcW w:w="1275"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Unclear</w:t>
            </w:r>
          </w:p>
        </w:tc>
        <w:tc>
          <w:tcPr>
            <w:tcW w:w="1276"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Unclear</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proofErr w:type="spellStart"/>
            <w:r w:rsidRPr="00B81132">
              <w:rPr>
                <w:rFonts w:ascii="Times New Roman" w:eastAsia="맑은 고딕" w:hAnsi="Times New Roman" w:cs="Times New Roman"/>
                <w:b/>
                <w:bCs/>
                <w:kern w:val="24"/>
                <w:sz w:val="20"/>
                <w:szCs w:val="20"/>
              </w:rPr>
              <w:t>Neoh</w:t>
            </w:r>
            <w:proofErr w:type="spellEnd"/>
            <w:r w:rsidRPr="00B81132">
              <w:rPr>
                <w:rFonts w:ascii="Times New Roman" w:eastAsia="맑은 고딕" w:hAnsi="Times New Roman" w:cs="Times New Roman"/>
                <w:b/>
                <w:bCs/>
                <w:kern w:val="24"/>
                <w:sz w:val="20"/>
                <w:szCs w:val="20"/>
              </w:rPr>
              <w:t xml:space="preserve"> 2012</w:t>
            </w:r>
          </w:p>
        </w:tc>
        <w:tc>
          <w:tcPr>
            <w:tcW w:w="1275"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76"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proofErr w:type="spellStart"/>
            <w:r w:rsidRPr="00B81132">
              <w:rPr>
                <w:rFonts w:ascii="Times New Roman" w:eastAsia="맑은 고딕" w:hAnsi="Times New Roman" w:cs="Times New Roman"/>
                <w:b/>
                <w:bCs/>
                <w:kern w:val="24"/>
                <w:sz w:val="20"/>
                <w:szCs w:val="20"/>
              </w:rPr>
              <w:t>Sastre</w:t>
            </w:r>
            <w:proofErr w:type="spellEnd"/>
            <w:r w:rsidRPr="00B81132">
              <w:rPr>
                <w:rFonts w:ascii="Times New Roman" w:eastAsia="맑은 고딕" w:hAnsi="Times New Roman" w:cs="Times New Roman"/>
                <w:b/>
                <w:bCs/>
                <w:kern w:val="24"/>
                <w:sz w:val="20"/>
                <w:szCs w:val="20"/>
              </w:rPr>
              <w:t xml:space="preserve"> 2012</w:t>
            </w:r>
          </w:p>
        </w:tc>
        <w:tc>
          <w:tcPr>
            <w:tcW w:w="1275"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76"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eastAsia="맑은 고딕" w:hAnsi="Times New Roman" w:cs="Times New Roman"/>
                <w:b/>
                <w:bCs/>
                <w:kern w:val="24"/>
                <w:sz w:val="20"/>
                <w:szCs w:val="20"/>
              </w:rPr>
            </w:pPr>
            <w:proofErr w:type="spellStart"/>
            <w:r w:rsidRPr="00B81132">
              <w:rPr>
                <w:rFonts w:ascii="Times New Roman" w:eastAsia="맑은 고딕" w:hAnsi="Times New Roman" w:cs="Times New Roman"/>
                <w:b/>
                <w:bCs/>
                <w:kern w:val="24"/>
                <w:sz w:val="20"/>
                <w:szCs w:val="20"/>
              </w:rPr>
              <w:t>Sethi</w:t>
            </w:r>
            <w:proofErr w:type="spellEnd"/>
            <w:r w:rsidRPr="00B81132">
              <w:rPr>
                <w:rFonts w:ascii="Times New Roman" w:eastAsia="맑은 고딕" w:hAnsi="Times New Roman" w:cs="Times New Roman"/>
                <w:b/>
                <w:bCs/>
                <w:kern w:val="24"/>
                <w:sz w:val="20"/>
                <w:szCs w:val="20"/>
              </w:rPr>
              <w:t xml:space="preserve"> 2017</w:t>
            </w:r>
          </w:p>
        </w:tc>
        <w:tc>
          <w:tcPr>
            <w:tcW w:w="1275"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76"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r>
      <w:tr w:rsidR="00F43CC7" w:rsidRPr="00B81132" w:rsidTr="00016F85">
        <w:trPr>
          <w:trHeight w:val="469"/>
        </w:trPr>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proofErr w:type="spellStart"/>
            <w:r w:rsidRPr="00B81132">
              <w:rPr>
                <w:rFonts w:ascii="Times New Roman" w:eastAsia="맑은 고딕" w:hAnsi="Times New Roman" w:cs="Times New Roman"/>
                <w:b/>
                <w:bCs/>
                <w:kern w:val="24"/>
                <w:sz w:val="20"/>
                <w:szCs w:val="20"/>
              </w:rPr>
              <w:t>Teoh</w:t>
            </w:r>
            <w:proofErr w:type="spellEnd"/>
            <w:r w:rsidRPr="00B81132">
              <w:rPr>
                <w:rFonts w:ascii="Times New Roman" w:eastAsia="맑은 고딕" w:hAnsi="Times New Roman" w:cs="Times New Roman"/>
                <w:b/>
                <w:bCs/>
                <w:kern w:val="24"/>
                <w:sz w:val="20"/>
                <w:szCs w:val="20"/>
              </w:rPr>
              <w:t xml:space="preserve"> 2007</w:t>
            </w:r>
          </w:p>
        </w:tc>
        <w:tc>
          <w:tcPr>
            <w:tcW w:w="1275"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76"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r>
      <w:tr w:rsidR="00F43CC7" w:rsidRPr="00B81132" w:rsidTr="00016F85">
        <w:tc>
          <w:tcPr>
            <w:tcW w:w="1560" w:type="dxa"/>
            <w:tcBorders>
              <w:top w:val="nil"/>
              <w:left w:val="nil"/>
              <w:bottom w:val="nil"/>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r w:rsidRPr="00B81132">
              <w:rPr>
                <w:rFonts w:ascii="Times New Roman" w:eastAsia="맑은 고딕" w:hAnsi="Times New Roman" w:cs="Times New Roman"/>
                <w:b/>
                <w:bCs/>
                <w:kern w:val="24"/>
                <w:sz w:val="20"/>
                <w:szCs w:val="20"/>
              </w:rPr>
              <w:t>Theiler 2011</w:t>
            </w:r>
          </w:p>
        </w:tc>
        <w:tc>
          <w:tcPr>
            <w:tcW w:w="1275"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76"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nil"/>
              <w:right w:val="nil"/>
            </w:tcBorders>
          </w:tcPr>
          <w:p w:rsidR="00F43CC7" w:rsidRPr="00B81132" w:rsidRDefault="00F43CC7" w:rsidP="00016F85">
            <w:pPr>
              <w:spacing w:line="480" w:lineRule="auto"/>
              <w:rPr>
                <w:rFonts w:ascii="Times New Roman" w:hAnsi="Times New Roman" w:cs="Times New Roman"/>
                <w:szCs w:val="20"/>
              </w:rPr>
            </w:pPr>
            <w:r w:rsidRPr="00B81132">
              <w:rPr>
                <w:rFonts w:ascii="Times New Roman" w:hAnsi="Times New Roman" w:cs="Times New Roman"/>
                <w:szCs w:val="20"/>
              </w:rPr>
              <w:t>Low risk</w:t>
            </w:r>
          </w:p>
        </w:tc>
      </w:tr>
      <w:tr w:rsidR="00F43CC7" w:rsidRPr="00B81132" w:rsidTr="00016F85">
        <w:tc>
          <w:tcPr>
            <w:tcW w:w="1560" w:type="dxa"/>
            <w:tcBorders>
              <w:top w:val="nil"/>
              <w:left w:val="nil"/>
              <w:bottom w:val="single" w:sz="12" w:space="0" w:color="auto"/>
              <w:right w:val="nil"/>
            </w:tcBorders>
          </w:tcPr>
          <w:p w:rsidR="00F43CC7" w:rsidRPr="00B81132" w:rsidRDefault="00F43CC7" w:rsidP="00016F85">
            <w:pPr>
              <w:pStyle w:val="NormalWeb"/>
              <w:wordWrap w:val="0"/>
              <w:spacing w:before="0" w:beforeAutospacing="0" w:after="0" w:afterAutospacing="0"/>
              <w:jc w:val="center"/>
              <w:rPr>
                <w:rFonts w:ascii="Times New Roman" w:hAnsi="Times New Roman" w:cs="Times New Roman"/>
                <w:b/>
                <w:sz w:val="20"/>
                <w:szCs w:val="20"/>
              </w:rPr>
            </w:pPr>
            <w:r w:rsidRPr="00B81132">
              <w:rPr>
                <w:rFonts w:ascii="Times New Roman" w:eastAsia="맑은 고딕" w:hAnsi="Times New Roman" w:cs="Times New Roman"/>
                <w:b/>
                <w:bCs/>
                <w:kern w:val="24"/>
                <w:sz w:val="20"/>
                <w:szCs w:val="20"/>
              </w:rPr>
              <w:t>Yang 2013</w:t>
            </w:r>
          </w:p>
        </w:tc>
        <w:tc>
          <w:tcPr>
            <w:tcW w:w="1275" w:type="dxa"/>
            <w:tcBorders>
              <w:top w:val="nil"/>
              <w:left w:val="nil"/>
              <w:bottom w:val="single" w:sz="12" w:space="0" w:color="auto"/>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418" w:type="dxa"/>
            <w:tcBorders>
              <w:top w:val="nil"/>
              <w:left w:val="nil"/>
              <w:bottom w:val="single" w:sz="12" w:space="0" w:color="auto"/>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Unclear</w:t>
            </w:r>
          </w:p>
        </w:tc>
        <w:tc>
          <w:tcPr>
            <w:tcW w:w="1276" w:type="dxa"/>
            <w:tcBorders>
              <w:top w:val="nil"/>
              <w:left w:val="nil"/>
              <w:bottom w:val="single" w:sz="12" w:space="0" w:color="auto"/>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Unclear</w:t>
            </w:r>
          </w:p>
        </w:tc>
        <w:tc>
          <w:tcPr>
            <w:tcW w:w="1417" w:type="dxa"/>
            <w:tcBorders>
              <w:top w:val="nil"/>
              <w:left w:val="nil"/>
              <w:bottom w:val="single" w:sz="12" w:space="0" w:color="auto"/>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single" w:sz="12" w:space="0" w:color="auto"/>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134" w:type="dxa"/>
            <w:tcBorders>
              <w:top w:val="nil"/>
              <w:left w:val="nil"/>
              <w:bottom w:val="single" w:sz="12" w:space="0" w:color="auto"/>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Low risk</w:t>
            </w:r>
          </w:p>
        </w:tc>
        <w:tc>
          <w:tcPr>
            <w:tcW w:w="1220" w:type="dxa"/>
            <w:tcBorders>
              <w:top w:val="nil"/>
              <w:left w:val="nil"/>
              <w:bottom w:val="single" w:sz="12" w:space="0" w:color="auto"/>
              <w:right w:val="nil"/>
            </w:tcBorders>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hAnsi="Times New Roman" w:cs="Times New Roman"/>
                <w:szCs w:val="20"/>
              </w:rPr>
              <w:t>Unclear</w:t>
            </w:r>
          </w:p>
        </w:tc>
      </w:tr>
      <w:tr w:rsidR="00F43CC7" w:rsidRPr="00B81132" w:rsidTr="00016F85">
        <w:tc>
          <w:tcPr>
            <w:tcW w:w="10434" w:type="dxa"/>
            <w:gridSpan w:val="8"/>
            <w:tcBorders>
              <w:top w:val="single" w:sz="12" w:space="0" w:color="auto"/>
              <w:left w:val="nil"/>
              <w:bottom w:val="single" w:sz="12" w:space="0" w:color="auto"/>
              <w:right w:val="nil"/>
            </w:tcBorders>
            <w:vAlign w:val="center"/>
          </w:tcPr>
          <w:p w:rsidR="00F43CC7" w:rsidRPr="00B81132" w:rsidRDefault="00F43CC7" w:rsidP="00016F85">
            <w:pPr>
              <w:spacing w:line="480" w:lineRule="auto"/>
              <w:rPr>
                <w:rFonts w:ascii="Times New Roman" w:eastAsia="맑은 고딕" w:hAnsi="Times New Roman" w:cs="Times New Roman"/>
                <w:szCs w:val="20"/>
              </w:rPr>
            </w:pPr>
            <w:r w:rsidRPr="00B81132">
              <w:rPr>
                <w:rFonts w:ascii="Times New Roman" w:eastAsia="맑은 고딕" w:hAnsi="Times New Roman" w:cs="Times New Roman"/>
                <w:szCs w:val="20"/>
              </w:rPr>
              <w:t xml:space="preserve">Method of estimating overall risk of bias: If all results or the above items were “low risk”, the overall risk of bias of the trial was deemed to be low risk of bias. If more than one of the above items were “unclear” or “high risk”, the overall risk of bias of the trial was deemed to be unclear risk of bias or high risk of bias, respectively. High risk indicates high risk of bias; low risk, </w:t>
            </w:r>
            <w:r w:rsidRPr="00B81132">
              <w:rPr>
                <w:rFonts w:ascii="Times New Roman" w:eastAsia="맑은 고딕" w:hAnsi="Times New Roman" w:cs="Times New Roman"/>
                <w:szCs w:val="20"/>
              </w:rPr>
              <w:lastRenderedPageBreak/>
              <w:t>low risk of bias; unclear risk, unclear risk of bias because of lack of detailed reports.</w:t>
            </w:r>
          </w:p>
        </w:tc>
      </w:tr>
    </w:tbl>
    <w:p w:rsidR="00F43CC7" w:rsidRPr="00B81132" w:rsidRDefault="00F43CC7" w:rsidP="00F43CC7">
      <w:pPr>
        <w:pStyle w:val="ListParagraph"/>
        <w:ind w:leftChars="0" w:left="760"/>
        <w:rPr>
          <w:b/>
          <w:sz w:val="24"/>
        </w:rPr>
      </w:pPr>
    </w:p>
    <w:p w:rsidR="00B16F72" w:rsidRPr="00F43CC7" w:rsidRDefault="00B16F72"/>
    <w:sectPr w:rsidR="00B16F72" w:rsidRPr="00F43CC7" w:rsidSect="00B16F7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04B4"/>
    <w:multiLevelType w:val="hybridMultilevel"/>
    <w:tmpl w:val="D97AA826"/>
    <w:lvl w:ilvl="0" w:tplc="60AE488A">
      <w:start w:val="1"/>
      <w:numFmt w:val="decimal"/>
      <w:lvlText w:val="%1."/>
      <w:lvlJc w:val="left"/>
      <w:pPr>
        <w:ind w:left="760" w:hanging="360"/>
      </w:pPr>
      <w:rPr>
        <w:rFonts w:hint="default"/>
        <w:b/>
        <w:sz w:val="36"/>
        <w:szCs w:val="3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43CC7"/>
    <w:rsid w:val="00B16F72"/>
    <w:rsid w:val="00F43CC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C7"/>
    <w:pPr>
      <w:widowControl w:val="0"/>
      <w:wordWrap w:val="0"/>
      <w:autoSpaceDE w:val="0"/>
      <w:autoSpaceDN w:val="0"/>
      <w:spacing w:after="160" w:line="259"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C7"/>
    <w:pPr>
      <w:ind w:leftChars="400" w:left="800"/>
    </w:pPr>
  </w:style>
  <w:style w:type="paragraph" w:styleId="NormalWeb">
    <w:name w:val="Normal (Web)"/>
    <w:basedOn w:val="Normal"/>
    <w:uiPriority w:val="99"/>
    <w:unhideWhenUsed/>
    <w:rsid w:val="00F43CC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TableGrid">
    <w:name w:val="Table Grid"/>
    <w:basedOn w:val="TableNormal"/>
    <w:uiPriority w:val="59"/>
    <w:rsid w:val="00F43CC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강현</dc:creator>
  <cp:lastModifiedBy>강현</cp:lastModifiedBy>
  <cp:revision>1</cp:revision>
  <dcterms:created xsi:type="dcterms:W3CDTF">2018-10-26T01:23:00Z</dcterms:created>
  <dcterms:modified xsi:type="dcterms:W3CDTF">2018-10-26T01:24:00Z</dcterms:modified>
</cp:coreProperties>
</file>