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F" w:rsidRDefault="006E7421" w:rsidP="00C5740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="00541FDE">
        <w:rPr>
          <w:rFonts w:ascii="Times New Roman" w:hAnsi="Times New Roman"/>
          <w:b/>
          <w:sz w:val="24"/>
          <w:szCs w:val="24"/>
        </w:rPr>
        <w:t>2</w:t>
      </w:r>
      <w:r w:rsidR="00F63960">
        <w:rPr>
          <w:rFonts w:ascii="Times New Roman" w:hAnsi="Times New Roman"/>
          <w:b/>
          <w:sz w:val="24"/>
          <w:szCs w:val="24"/>
        </w:rPr>
        <w:t xml:space="preserve"> </w:t>
      </w:r>
      <w:r w:rsidR="00F63960">
        <w:rPr>
          <w:rFonts w:ascii="Times New Roman" w:hAnsi="Times New Roman"/>
          <w:b/>
        </w:rPr>
        <w:t>Table.</w:t>
      </w:r>
      <w:proofErr w:type="gramEnd"/>
      <w:r w:rsidR="00F63960">
        <w:rPr>
          <w:rFonts w:ascii="Times New Roman" w:hAnsi="Times New Roman"/>
          <w:b/>
        </w:rPr>
        <w:t xml:space="preserve"> </w:t>
      </w:r>
      <w:proofErr w:type="gramStart"/>
      <w:r w:rsidRPr="00541FDE">
        <w:rPr>
          <w:rFonts w:ascii="Times New Roman" w:hAnsi="Times New Roman"/>
          <w:b/>
          <w:sz w:val="24"/>
          <w:szCs w:val="24"/>
          <w:lang w:val="en-US"/>
        </w:rPr>
        <w:t xml:space="preserve">Univariate </w:t>
      </w:r>
      <w:r w:rsidR="00541FDE" w:rsidRPr="00541FD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41FDE">
        <w:rPr>
          <w:rFonts w:ascii="Times New Roman" w:hAnsi="Times New Roman"/>
          <w:b/>
          <w:sz w:val="24"/>
          <w:szCs w:val="24"/>
          <w:lang w:val="en-US"/>
        </w:rPr>
        <w:t xml:space="preserve">omparisons of </w:t>
      </w:r>
      <w:r w:rsidR="00541FDE" w:rsidRPr="00541FD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41FDE">
        <w:rPr>
          <w:rFonts w:ascii="Times New Roman" w:hAnsi="Times New Roman"/>
          <w:b/>
          <w:sz w:val="24"/>
          <w:szCs w:val="24"/>
          <w:lang w:val="en-US"/>
        </w:rPr>
        <w:t xml:space="preserve">pirometry </w:t>
      </w:r>
      <w:r w:rsidR="00541FDE" w:rsidRPr="00541FDE">
        <w:rPr>
          <w:rFonts w:ascii="Times New Roman" w:hAnsi="Times New Roman"/>
          <w:b/>
          <w:sz w:val="24"/>
          <w:szCs w:val="24"/>
          <w:lang w:val="en-US"/>
        </w:rPr>
        <w:t>d</w:t>
      </w:r>
      <w:r w:rsidRPr="00541FDE">
        <w:rPr>
          <w:rFonts w:ascii="Times New Roman" w:hAnsi="Times New Roman"/>
          <w:b/>
          <w:sz w:val="24"/>
          <w:szCs w:val="24"/>
          <w:lang w:val="en-US"/>
        </w:rPr>
        <w:t xml:space="preserve">ata and </w:t>
      </w:r>
      <w:r w:rsidR="00541FDE" w:rsidRPr="00541FDE">
        <w:rPr>
          <w:rFonts w:ascii="Times New Roman" w:hAnsi="Times New Roman"/>
          <w:b/>
          <w:sz w:val="24"/>
          <w:szCs w:val="24"/>
          <w:lang w:val="en-US"/>
        </w:rPr>
        <w:t>l</w:t>
      </w:r>
      <w:r w:rsidRPr="00541FDE">
        <w:rPr>
          <w:rFonts w:ascii="Times New Roman" w:hAnsi="Times New Roman"/>
          <w:b/>
          <w:sz w:val="24"/>
          <w:szCs w:val="24"/>
          <w:lang w:val="en-US"/>
        </w:rPr>
        <w:t xml:space="preserve">ung </w:t>
      </w:r>
      <w:r w:rsidR="00541FDE" w:rsidRPr="00541FDE">
        <w:rPr>
          <w:rFonts w:ascii="Times New Roman" w:hAnsi="Times New Roman"/>
          <w:b/>
          <w:sz w:val="24"/>
          <w:szCs w:val="24"/>
          <w:lang w:val="en-US"/>
        </w:rPr>
        <w:t>h</w:t>
      </w:r>
      <w:r w:rsidRPr="00541FDE">
        <w:rPr>
          <w:rFonts w:ascii="Times New Roman" w:hAnsi="Times New Roman"/>
          <w:b/>
          <w:sz w:val="24"/>
          <w:szCs w:val="24"/>
          <w:lang w:val="en-US"/>
        </w:rPr>
        <w:t xml:space="preserve">ealth between </w:t>
      </w:r>
      <w:r w:rsidR="00541FDE" w:rsidRPr="00541FDE">
        <w:rPr>
          <w:rFonts w:ascii="Times New Roman" w:hAnsi="Times New Roman"/>
          <w:b/>
          <w:sz w:val="24"/>
          <w:szCs w:val="24"/>
          <w:lang w:val="en-US"/>
        </w:rPr>
        <w:t>gestational age g</w:t>
      </w:r>
      <w:r w:rsidRPr="00541FDE">
        <w:rPr>
          <w:rFonts w:ascii="Times New Roman" w:hAnsi="Times New Roman"/>
          <w:b/>
          <w:sz w:val="24"/>
          <w:szCs w:val="24"/>
          <w:lang w:val="en-US"/>
        </w:rPr>
        <w:t>roups.</w:t>
      </w:r>
      <w:proofErr w:type="gramEnd"/>
      <w:r w:rsidRPr="00C15D9E">
        <w:rPr>
          <w:rFonts w:ascii="Times New Roman" w:hAnsi="Times New Roman"/>
          <w:sz w:val="24"/>
          <w:szCs w:val="24"/>
        </w:rPr>
        <w:t xml:space="preserve"> </w:t>
      </w:r>
    </w:p>
    <w:p w:rsidR="000D6CE6" w:rsidRDefault="000D6CE6" w:rsidP="00C5740F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2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2268"/>
        <w:gridCol w:w="2694"/>
        <w:gridCol w:w="2693"/>
      </w:tblGrid>
      <w:tr w:rsidR="00793F58" w:rsidRPr="00F763F7" w:rsidTr="00226BE3">
        <w:trPr>
          <w:trHeight w:val="73"/>
        </w:trPr>
        <w:tc>
          <w:tcPr>
            <w:tcW w:w="7338" w:type="dxa"/>
            <w:gridSpan w:val="2"/>
            <w:vMerge w:val="restart"/>
            <w:shd w:val="clear" w:color="auto" w:fill="D9D9D9" w:themeFill="background1" w:themeFillShade="D9"/>
            <w:vAlign w:val="bottom"/>
            <w:hideMark/>
          </w:tcPr>
          <w:p w:rsidR="00793F58" w:rsidRPr="00F763F7" w:rsidRDefault="00793F58" w:rsidP="00FB2B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3F7">
              <w:rPr>
                <w:rFonts w:ascii="Times New Roman" w:hAnsi="Times New Roman"/>
                <w:b/>
                <w:bCs/>
                <w:sz w:val="24"/>
                <w:szCs w:val="24"/>
              </w:rPr>
              <w:t>Lung health variable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3F58" w:rsidRPr="00F763F7" w:rsidRDefault="00793F58" w:rsidP="00721C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Early preterm (</w:t>
            </w:r>
            <w:r w:rsidRPr="00F763F7">
              <w:rPr>
                <w:rFonts w:ascii="Times New Roman" w:hAnsi="Times New Roman"/>
                <w:b/>
                <w:bCs/>
                <w:sz w:val="24"/>
                <w:szCs w:val="24"/>
              </w:rPr>
              <w:t>&lt;34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6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weeks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93F58" w:rsidRPr="00F763F7" w:rsidRDefault="00793F58" w:rsidP="00721C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Late preterm (34-&lt;37 weeks)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793F58" w:rsidRPr="00F763F7" w:rsidRDefault="00793F58" w:rsidP="00721C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Control (</w:t>
            </w:r>
            <w:r w:rsidRPr="00F763F7">
              <w:rPr>
                <w:rFonts w:ascii="Times New Roman" w:hAnsi="Times New Roman"/>
                <w:b/>
                <w:bCs/>
                <w:sz w:val="24"/>
                <w:szCs w:val="24"/>
              </w:rPr>
              <w:t>≥37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63F7">
              <w:rPr>
                <w:rFonts w:ascii="Times New Roman" w:hAnsi="Times New Roman"/>
                <w:b/>
                <w:bCs/>
                <w:sz w:val="24"/>
                <w:szCs w:val="24"/>
              </w:rPr>
              <w:t>weeks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93F58" w:rsidRPr="00F763F7" w:rsidTr="00226BE3">
        <w:trPr>
          <w:trHeight w:val="73"/>
        </w:trPr>
        <w:tc>
          <w:tcPr>
            <w:tcW w:w="7338" w:type="dxa"/>
            <w:gridSpan w:val="2"/>
            <w:vMerge/>
            <w:shd w:val="clear" w:color="auto" w:fill="auto"/>
            <w:vAlign w:val="bottom"/>
          </w:tcPr>
          <w:p w:rsidR="00793F58" w:rsidRPr="00F763F7" w:rsidRDefault="00793F58" w:rsidP="00FB2B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93F58" w:rsidRPr="00CC5648" w:rsidRDefault="00793F58" w:rsidP="00721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648">
              <w:rPr>
                <w:rFonts w:ascii="Times New Roman" w:hAnsi="Times New Roman"/>
                <w:bCs/>
                <w:sz w:val="24"/>
                <w:szCs w:val="24"/>
              </w:rPr>
              <w:t>n=139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93F58" w:rsidRPr="00CC5648" w:rsidRDefault="00793F58" w:rsidP="00721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648">
              <w:rPr>
                <w:rFonts w:ascii="Times New Roman" w:hAnsi="Times New Roman"/>
                <w:bCs/>
                <w:sz w:val="24"/>
                <w:szCs w:val="24"/>
              </w:rPr>
              <w:t>n=239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93F58" w:rsidRPr="00CC5648" w:rsidRDefault="00793F58" w:rsidP="00721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648">
              <w:rPr>
                <w:rFonts w:ascii="Times New Roman" w:hAnsi="Times New Roman"/>
                <w:bCs/>
                <w:sz w:val="24"/>
                <w:szCs w:val="24"/>
              </w:rPr>
              <w:t>n=34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3F58" w:rsidRPr="00F763F7" w:rsidTr="00226BE3">
        <w:trPr>
          <w:trHeight w:val="47"/>
        </w:trPr>
        <w:tc>
          <w:tcPr>
            <w:tcW w:w="7338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3F58" w:rsidRPr="00F763F7" w:rsidRDefault="00793F58" w:rsidP="00A607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F58" w:rsidRPr="00CD389F" w:rsidRDefault="00793F58" w:rsidP="005F6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  <w:r w:rsidRPr="00CD3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ean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r w:rsidRPr="00CD3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)/ n(%)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F58" w:rsidRPr="00CD389F" w:rsidRDefault="00793F58" w:rsidP="005F6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  <w:r w:rsidRPr="00CD3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ean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r w:rsidRPr="00CD3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)/ n(%)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3F58" w:rsidRPr="00CD389F" w:rsidRDefault="00793F58" w:rsidP="005F6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  <w:r w:rsidRPr="00CD3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ean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r w:rsidRPr="00CD3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)/ n(%)</w:t>
            </w:r>
          </w:p>
        </w:tc>
      </w:tr>
      <w:tr w:rsidR="00721CB1" w:rsidRPr="00F763F7" w:rsidTr="00226BE3">
        <w:trPr>
          <w:trHeight w:val="73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4A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FVC</w:t>
            </w:r>
            <w:r w:rsidR="000D6CE6">
              <w:rPr>
                <w:rFonts w:ascii="Times New Roman" w:hAnsi="Times New Roman"/>
                <w:sz w:val="24"/>
                <w:szCs w:val="24"/>
              </w:rPr>
              <w:t>, L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1CB1" w:rsidRPr="00F763F7" w:rsidTr="00226BE3">
        <w:trPr>
          <w:trHeight w:val="73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72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FEV1</w:t>
            </w:r>
            <w:r w:rsidR="000D6CE6">
              <w:rPr>
                <w:rFonts w:ascii="Times New Roman" w:hAnsi="Times New Roman"/>
                <w:sz w:val="24"/>
                <w:szCs w:val="24"/>
              </w:rPr>
              <w:t>, L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21CB1" w:rsidRPr="00F763F7" w:rsidTr="00226BE3">
        <w:trPr>
          <w:trHeight w:val="73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72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FEV1/FVC</w:t>
            </w:r>
            <w:r w:rsidR="000D6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%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82.0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83.1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6.9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84.1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721CB1" w:rsidRPr="00F763F7" w:rsidTr="00226BE3">
        <w:trPr>
          <w:trHeight w:val="73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72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FEF</w:t>
            </w:r>
            <w:r w:rsidRPr="00D42A0E">
              <w:rPr>
                <w:rFonts w:ascii="Times New Roman" w:hAnsi="Times New Roman"/>
                <w:sz w:val="24"/>
                <w:szCs w:val="24"/>
                <w:vertAlign w:val="subscript"/>
              </w:rPr>
              <w:t>25-75%</w:t>
            </w:r>
            <w:r w:rsidR="000D6CE6">
              <w:rPr>
                <w:rFonts w:ascii="Times New Roman" w:hAnsi="Times New Roman"/>
                <w:sz w:val="24"/>
                <w:szCs w:val="24"/>
              </w:rPr>
              <w:t>,L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63F7">
              <w:rPr>
                <w:rFonts w:ascii="Times New Roman" w:hAnsi="Times New Roman"/>
                <w:sz w:val="24"/>
                <w:szCs w:val="24"/>
              </w:rPr>
              <w:t>s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1.3)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1.2)</w:t>
            </w:r>
          </w:p>
        </w:tc>
      </w:tr>
      <w:tr w:rsidR="00721CB1" w:rsidRPr="00F763F7" w:rsidTr="00226BE3">
        <w:trPr>
          <w:trHeight w:val="73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72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FEF</w:t>
            </w:r>
            <w:r w:rsidRPr="00D42A0E">
              <w:rPr>
                <w:rFonts w:ascii="Times New Roman" w:hAnsi="Times New Roman"/>
                <w:sz w:val="24"/>
                <w:szCs w:val="24"/>
                <w:vertAlign w:val="subscript"/>
              </w:rPr>
              <w:t>75%</w:t>
            </w:r>
            <w:r w:rsidR="000D6CE6">
              <w:rPr>
                <w:rFonts w:ascii="Times New Roman" w:hAnsi="Times New Roman"/>
                <w:sz w:val="24"/>
                <w:szCs w:val="24"/>
              </w:rPr>
              <w:t>, L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1CB1" w:rsidRPr="00F763F7" w:rsidTr="00226BE3">
        <w:trPr>
          <w:trHeight w:val="73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E8" w:rsidRPr="00F763F7" w:rsidRDefault="007018E8" w:rsidP="0072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FEF</w:t>
            </w:r>
            <w:r w:rsidRPr="00D42A0E">
              <w:rPr>
                <w:rFonts w:ascii="Times New Roman" w:hAnsi="Times New Roman"/>
                <w:sz w:val="24"/>
                <w:szCs w:val="24"/>
                <w:vertAlign w:val="subscript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, L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8E8" w:rsidRPr="00F763F7" w:rsidRDefault="007018E8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1.4)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8E8" w:rsidRPr="00F763F7" w:rsidRDefault="007018E8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(1.5)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E8" w:rsidRPr="00F763F7" w:rsidRDefault="007018E8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A6076B" w:rsidRPr="00F763F7" w:rsidTr="00226BE3">
        <w:trPr>
          <w:trHeight w:val="172"/>
        </w:trPr>
        <w:tc>
          <w:tcPr>
            <w:tcW w:w="7338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76B" w:rsidRPr="001D2516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6">
              <w:rPr>
                <w:rFonts w:ascii="Times New Roman" w:hAnsi="Times New Roman"/>
                <w:sz w:val="24"/>
                <w:szCs w:val="24"/>
              </w:rPr>
              <w:t>zFVC</w:t>
            </w:r>
            <w:proofErr w:type="spellEnd"/>
            <w:r w:rsidRPr="001D2516" w:rsidDel="00C5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516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score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-0.08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0.89)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0.13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0.91)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0.14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0.85)</w:t>
            </w:r>
            <w:r w:rsidRPr="004D74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A6076B" w:rsidRPr="009F640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1D2516" w:rsidRDefault="00A6076B" w:rsidP="001D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6">
              <w:rPr>
                <w:rFonts w:ascii="Times New Roman" w:hAnsi="Times New Roman"/>
                <w:sz w:val="24"/>
                <w:szCs w:val="24"/>
              </w:rPr>
              <w:t>zFEV1</w:t>
            </w:r>
            <w:r w:rsidR="001D2516" w:rsidRPr="001D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516">
              <w:rPr>
                <w:rFonts w:ascii="Times New Roman" w:hAnsi="Times New Roman"/>
                <w:sz w:val="24"/>
                <w:szCs w:val="24"/>
              </w:rPr>
              <w:t>z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score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5A227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76">
              <w:rPr>
                <w:rFonts w:ascii="Times New Roman" w:hAnsi="Times New Roman"/>
                <w:sz w:val="24"/>
                <w:szCs w:val="24"/>
              </w:rPr>
              <w:t xml:space="preserve">-0.43 </w:t>
            </w:r>
            <w:r w:rsidRPr="005A227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5A2276">
              <w:rPr>
                <w:rFonts w:ascii="Times New Roman" w:hAnsi="Times New Roman"/>
                <w:sz w:val="24"/>
                <w:szCs w:val="24"/>
              </w:rPr>
              <w:t>0.99)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-0.10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1.02)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0.02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0.93)</w:t>
            </w:r>
            <w:r w:rsidRPr="004D74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A6076B" w:rsidRPr="009F640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hideMark/>
          </w:tcPr>
          <w:p w:rsidR="00A6076B" w:rsidRPr="001D2516" w:rsidRDefault="00A6076B" w:rsidP="001D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6">
              <w:rPr>
                <w:rFonts w:ascii="Times New Roman" w:hAnsi="Times New Roman"/>
                <w:sz w:val="24"/>
                <w:szCs w:val="24"/>
              </w:rPr>
              <w:t>zFEV1/FVC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2516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score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5A227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76">
              <w:rPr>
                <w:rFonts w:ascii="Times New Roman" w:hAnsi="Times New Roman"/>
                <w:sz w:val="24"/>
                <w:szCs w:val="24"/>
              </w:rPr>
              <w:t xml:space="preserve">-0.55 </w:t>
            </w:r>
            <w:r w:rsidRPr="005A227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5A2276">
              <w:rPr>
                <w:rFonts w:ascii="Times New Roman" w:hAnsi="Times New Roman"/>
                <w:sz w:val="24"/>
                <w:szCs w:val="24"/>
              </w:rPr>
              <w:t>0.95)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-0.38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0.99)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-0.23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0.84)</w:t>
            </w:r>
            <w:r w:rsidRPr="004D74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A6076B" w:rsidRPr="009F640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1D2516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6">
              <w:rPr>
                <w:rFonts w:ascii="Times New Roman" w:hAnsi="Times New Roman"/>
                <w:sz w:val="24"/>
                <w:szCs w:val="24"/>
              </w:rPr>
              <w:t>zFEF</w:t>
            </w:r>
            <w:r w:rsidRPr="001D2516">
              <w:rPr>
                <w:rFonts w:ascii="Times New Roman" w:hAnsi="Times New Roman"/>
                <w:sz w:val="24"/>
                <w:szCs w:val="24"/>
                <w:vertAlign w:val="subscript"/>
              </w:rPr>
              <w:t>75%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2516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score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5A227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76">
              <w:rPr>
                <w:rFonts w:ascii="Times New Roman" w:hAnsi="Times New Roman"/>
                <w:sz w:val="24"/>
                <w:szCs w:val="24"/>
              </w:rPr>
              <w:t xml:space="preserve">-0.20 </w:t>
            </w:r>
            <w:r w:rsidRPr="005A227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5A2276">
              <w:rPr>
                <w:rFonts w:ascii="Times New Roman" w:hAnsi="Times New Roman"/>
                <w:sz w:val="24"/>
                <w:szCs w:val="24"/>
              </w:rPr>
              <w:t>0.93)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0.06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0.97)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0.18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0.89)</w:t>
            </w:r>
            <w:r w:rsidRPr="004D74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A6076B" w:rsidRPr="00F763F7" w:rsidTr="00226BE3">
        <w:trPr>
          <w:trHeight w:val="125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0B5F6F" w:rsidRDefault="00A6076B" w:rsidP="001D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6F">
              <w:rPr>
                <w:rFonts w:ascii="Times New Roman" w:hAnsi="Times New Roman"/>
                <w:sz w:val="24"/>
                <w:szCs w:val="24"/>
              </w:rPr>
              <w:t>zFEF</w:t>
            </w:r>
            <w:r w:rsidRPr="000B5F6F">
              <w:rPr>
                <w:rFonts w:ascii="Times New Roman" w:hAnsi="Times New Roman"/>
                <w:sz w:val="24"/>
                <w:szCs w:val="24"/>
                <w:vertAlign w:val="subscript"/>
              </w:rPr>
              <w:t>25-75%</w:t>
            </w:r>
            <w:r w:rsidR="001D2516" w:rsidRPr="000B5F6F">
              <w:rPr>
                <w:rFonts w:ascii="Times New Roman" w:hAnsi="Times New Roman"/>
                <w:bCs/>
                <w:sz w:val="24"/>
                <w:szCs w:val="24"/>
              </w:rPr>
              <w:t xml:space="preserve"> z-</w:t>
            </w:r>
            <w:proofErr w:type="spellStart"/>
            <w:r w:rsidR="001D2516" w:rsidRPr="000B5F6F">
              <w:rPr>
                <w:rFonts w:ascii="Times New Roman" w:hAnsi="Times New Roman"/>
                <w:bCs/>
                <w:sz w:val="24"/>
                <w:szCs w:val="24"/>
              </w:rPr>
              <w:t>score</w:t>
            </w:r>
            <w:r w:rsidR="001D2516" w:rsidRPr="000B5F6F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5A227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276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  <w:r w:rsidRPr="005A227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5A2276">
              <w:rPr>
                <w:rFonts w:ascii="Times New Roman" w:hAnsi="Times New Roman"/>
                <w:sz w:val="24"/>
                <w:szCs w:val="24"/>
              </w:rPr>
              <w:t>2.30)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0.59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2.50)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4D74B6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4B6">
              <w:rPr>
                <w:rFonts w:ascii="Times New Roman" w:hAnsi="Times New Roman"/>
                <w:sz w:val="24"/>
                <w:szCs w:val="24"/>
              </w:rPr>
              <w:t xml:space="preserve">0.95 </w:t>
            </w:r>
            <w:r w:rsidRPr="004D74B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r w:rsidRPr="004D74B6">
              <w:rPr>
                <w:rFonts w:ascii="Times New Roman" w:hAnsi="Times New Roman"/>
                <w:sz w:val="24"/>
                <w:szCs w:val="24"/>
              </w:rPr>
              <w:t>2.30)</w:t>
            </w:r>
            <w:r w:rsidRPr="004D74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2E7B9C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2E7B9C" w:rsidRPr="005D108D" w:rsidRDefault="002E7B9C" w:rsidP="00B21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F6F">
              <w:rPr>
                <w:rFonts w:ascii="Times New Roman" w:hAnsi="Times New Roman"/>
                <w:sz w:val="24"/>
                <w:szCs w:val="24"/>
              </w:rPr>
              <w:t>zFVC</w:t>
            </w:r>
            <w:proofErr w:type="spellEnd"/>
            <w:r w:rsidRPr="000B5F6F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0B5F6F">
              <w:rPr>
                <w:rFonts w:ascii="Times New Roman" w:hAnsi="Times New Roman"/>
                <w:bCs/>
                <w:sz w:val="24"/>
                <w:szCs w:val="24"/>
              </w:rPr>
              <w:t xml:space="preserve"> z-score&lt;-</w:t>
            </w:r>
            <w:r w:rsidRPr="006457E5">
              <w:rPr>
                <w:rFonts w:ascii="Times New Roman" w:hAnsi="Times New Roman"/>
                <w:bCs/>
                <w:sz w:val="24"/>
                <w:szCs w:val="24"/>
              </w:rPr>
              <w:t>1.645</w:t>
            </w:r>
            <w:r w:rsidRPr="005D108D">
              <w:rPr>
                <w:rFonts w:ascii="Times New Roman" w:hAnsi="Times New Roman"/>
                <w:bCs/>
                <w:sz w:val="24"/>
                <w:szCs w:val="24"/>
              </w:rPr>
              <w:t>SD</w:t>
            </w:r>
            <w:r w:rsidRPr="005D108D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7B9C" w:rsidRPr="002E7B9C" w:rsidRDefault="002E7B9C" w:rsidP="00301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7 (5.</w:t>
            </w:r>
            <w:r w:rsidR="0053779A">
              <w:rPr>
                <w:rFonts w:ascii="Times New Roman" w:hAnsi="Times New Roman"/>
                <w:sz w:val="24"/>
                <w:szCs w:val="24"/>
              </w:rPr>
              <w:t>0</w:t>
            </w:r>
            <w:r w:rsidRPr="006457E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E7B9C" w:rsidRPr="002E7B9C" w:rsidRDefault="002E7B9C" w:rsidP="005F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5 (2.1%)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E7B9C" w:rsidRPr="002E7B9C" w:rsidRDefault="002E7B9C" w:rsidP="00301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8 (2.3%)</w:t>
            </w:r>
          </w:p>
        </w:tc>
      </w:tr>
      <w:tr w:rsidR="002E7B9C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2E7B9C" w:rsidRPr="005D108D" w:rsidRDefault="002E7B9C" w:rsidP="00B21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8D">
              <w:rPr>
                <w:rFonts w:ascii="Times New Roman" w:hAnsi="Times New Roman"/>
                <w:sz w:val="24"/>
                <w:szCs w:val="24"/>
              </w:rPr>
              <w:t>zFEV1</w:t>
            </w:r>
            <w:r w:rsidRPr="005D108D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5D108D">
              <w:rPr>
                <w:rFonts w:ascii="Times New Roman" w:hAnsi="Times New Roman"/>
                <w:bCs/>
                <w:sz w:val="24"/>
                <w:szCs w:val="24"/>
              </w:rPr>
              <w:t xml:space="preserve"> z-score &lt;-</w:t>
            </w:r>
            <w:r w:rsidRPr="006457E5">
              <w:rPr>
                <w:rFonts w:ascii="Times New Roman" w:hAnsi="Times New Roman"/>
                <w:bCs/>
                <w:sz w:val="24"/>
                <w:szCs w:val="24"/>
              </w:rPr>
              <w:t>1.645</w:t>
            </w:r>
            <w:r w:rsidRPr="005D108D">
              <w:rPr>
                <w:rFonts w:ascii="Times New Roman" w:hAnsi="Times New Roman"/>
                <w:bCs/>
                <w:sz w:val="24"/>
                <w:szCs w:val="24"/>
              </w:rPr>
              <w:t>SD</w:t>
            </w:r>
            <w:r w:rsidRPr="005D108D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7B9C" w:rsidRPr="002E7B9C" w:rsidRDefault="002E7B9C" w:rsidP="005F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18 (7.5%)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E7B9C" w:rsidRPr="002E7B9C" w:rsidRDefault="002E7B9C" w:rsidP="00301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13 (5.4%)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E7B9C" w:rsidRPr="002E7B9C" w:rsidRDefault="002E7B9C" w:rsidP="005F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(4.1%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66FC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proofErr w:type="gramEnd"/>
            <w:r w:rsidRPr="00766FC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E7B9C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2E7B9C" w:rsidRPr="005D108D" w:rsidRDefault="002E7B9C" w:rsidP="00B21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8D">
              <w:rPr>
                <w:rFonts w:ascii="Times New Roman" w:hAnsi="Times New Roman"/>
                <w:sz w:val="24"/>
                <w:szCs w:val="24"/>
              </w:rPr>
              <w:t>zFEV1/FVC</w:t>
            </w:r>
            <w:r w:rsidRPr="005D108D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5D108D">
              <w:rPr>
                <w:rFonts w:ascii="Times New Roman" w:hAnsi="Times New Roman"/>
                <w:bCs/>
                <w:sz w:val="24"/>
                <w:szCs w:val="24"/>
              </w:rPr>
              <w:t xml:space="preserve"> z-score &lt;-</w:t>
            </w:r>
            <w:r w:rsidRPr="006457E5">
              <w:rPr>
                <w:rFonts w:ascii="Times New Roman" w:hAnsi="Times New Roman"/>
                <w:bCs/>
                <w:sz w:val="24"/>
                <w:szCs w:val="24"/>
              </w:rPr>
              <w:t>1.645</w:t>
            </w:r>
            <w:r w:rsidRPr="005D108D">
              <w:rPr>
                <w:rFonts w:ascii="Times New Roman" w:hAnsi="Times New Roman"/>
                <w:bCs/>
                <w:sz w:val="24"/>
                <w:szCs w:val="24"/>
              </w:rPr>
              <w:t>SD</w:t>
            </w:r>
            <w:r w:rsidRPr="005D108D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>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7B9C" w:rsidRPr="002E7B9C" w:rsidRDefault="002E7B9C" w:rsidP="005F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23 (17.2%)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E7B9C" w:rsidRPr="002E7B9C" w:rsidRDefault="002E7B9C" w:rsidP="005F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21 (8.8%)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E7B9C" w:rsidRPr="002E7B9C" w:rsidRDefault="002E7B9C" w:rsidP="005F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457E5">
              <w:rPr>
                <w:rFonts w:ascii="Times New Roman" w:hAnsi="Times New Roman"/>
                <w:sz w:val="24"/>
                <w:szCs w:val="24"/>
              </w:rPr>
              <w:t>21 (6.2%)</w:t>
            </w:r>
            <w:r w:rsidRPr="00766FC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auto"/>
            <w:vAlign w:val="center"/>
            <w:hideMark/>
          </w:tcPr>
          <w:p w:rsidR="00A6076B" w:rsidRPr="00721CB1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B1">
              <w:rPr>
                <w:rFonts w:ascii="Times New Roman" w:hAnsi="Times New Roman"/>
                <w:sz w:val="24"/>
                <w:szCs w:val="24"/>
              </w:rPr>
              <w:t>FVC</w:t>
            </w:r>
            <w:r w:rsidR="00671620">
              <w:rPr>
                <w:rFonts w:ascii="Times New Roman" w:hAnsi="Times New Roman"/>
                <w:sz w:val="24"/>
                <w:szCs w:val="24"/>
              </w:rPr>
              <w:t>,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 xml:space="preserve">% of 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predicted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97.4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11.7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99.9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99.8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auto"/>
            <w:vAlign w:val="center"/>
            <w:hideMark/>
          </w:tcPr>
          <w:p w:rsidR="00A6076B" w:rsidRPr="00721CB1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B1">
              <w:rPr>
                <w:rFonts w:ascii="Times New Roman" w:hAnsi="Times New Roman"/>
                <w:sz w:val="24"/>
                <w:szCs w:val="24"/>
              </w:rPr>
              <w:t>FEV1</w:t>
            </w:r>
            <w:r w:rsidR="00671620">
              <w:rPr>
                <w:rFonts w:ascii="Times New Roman" w:hAnsi="Times New Roman"/>
                <w:sz w:val="24"/>
                <w:szCs w:val="24"/>
              </w:rPr>
              <w:t>.</w:t>
            </w:r>
            <w:r w:rsidR="001D2516" w:rsidRPr="0072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 xml:space="preserve">% of 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predicted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90.3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94.0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11.7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95.2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auto"/>
            <w:vAlign w:val="center"/>
            <w:hideMark/>
          </w:tcPr>
          <w:p w:rsidR="00A6076B" w:rsidRPr="00721CB1" w:rsidRDefault="00A6076B" w:rsidP="00A6076B">
            <w:pPr>
              <w:spacing w:after="0" w:line="240" w:lineRule="auto"/>
            </w:pPr>
            <w:r w:rsidRPr="00721CB1">
              <w:rPr>
                <w:rFonts w:ascii="Times New Roman" w:hAnsi="Times New Roman"/>
                <w:sz w:val="24"/>
                <w:szCs w:val="24"/>
              </w:rPr>
              <w:t>FEV1/FVC</w:t>
            </w:r>
            <w:r w:rsidR="00671620">
              <w:rPr>
                <w:rFonts w:ascii="Times New Roman" w:hAnsi="Times New Roman"/>
                <w:sz w:val="24"/>
                <w:szCs w:val="24"/>
              </w:rPr>
              <w:t>.</w:t>
            </w:r>
            <w:r w:rsidR="001D2516" w:rsidRPr="0072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 xml:space="preserve">% of 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predicted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93.2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7.7)</w:t>
            </w:r>
          </w:p>
        </w:tc>
        <w:tc>
          <w:tcPr>
            <w:tcW w:w="2694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94.5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7.8)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96.0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6.4)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auto"/>
            <w:vAlign w:val="center"/>
            <w:hideMark/>
          </w:tcPr>
          <w:p w:rsidR="00A6076B" w:rsidRPr="00721CB1" w:rsidRDefault="00A6076B" w:rsidP="00A6076B">
            <w:pPr>
              <w:spacing w:after="0" w:line="240" w:lineRule="auto"/>
            </w:pPr>
            <w:r w:rsidRPr="00721CB1">
              <w:rPr>
                <w:rFonts w:ascii="Times New Roman" w:hAnsi="Times New Roman"/>
                <w:sz w:val="24"/>
                <w:szCs w:val="24"/>
              </w:rPr>
              <w:t>PEF</w:t>
            </w:r>
            <w:r w:rsidR="00671620">
              <w:rPr>
                <w:rFonts w:ascii="Times New Roman" w:hAnsi="Times New Roman"/>
                <w:sz w:val="24"/>
                <w:szCs w:val="24"/>
              </w:rPr>
              <w:t>.</w:t>
            </w:r>
            <w:r w:rsidR="001D2516" w:rsidRPr="0072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 xml:space="preserve">% of 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predicted</w:t>
            </w:r>
            <w:r w:rsidR="001D2516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87.4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11.8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91.2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14.3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93.3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12.3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auto"/>
            <w:vAlign w:val="center"/>
            <w:hideMark/>
          </w:tcPr>
          <w:p w:rsidR="00A6076B" w:rsidRPr="00721CB1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B1">
              <w:rPr>
                <w:rFonts w:ascii="Times New Roman" w:hAnsi="Times New Roman"/>
                <w:sz w:val="24"/>
                <w:szCs w:val="24"/>
              </w:rPr>
              <w:t>FEF</w:t>
            </w:r>
            <w:r w:rsidRPr="00721CB1">
              <w:rPr>
                <w:rFonts w:ascii="Times New Roman" w:hAnsi="Times New Roman"/>
                <w:sz w:val="24"/>
                <w:szCs w:val="24"/>
                <w:vertAlign w:val="subscript"/>
              </w:rPr>
              <w:t>50%</w:t>
            </w:r>
            <w:r w:rsidR="00671620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="001D2516" w:rsidRPr="00721CB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 xml:space="preserve">% of </w:t>
            </w:r>
            <w:proofErr w:type="spellStart"/>
            <w:r w:rsidR="001D2516" w:rsidRPr="00721CB1">
              <w:rPr>
                <w:rFonts w:ascii="Times New Roman" w:hAnsi="Times New Roman"/>
                <w:bCs/>
                <w:sz w:val="24"/>
                <w:szCs w:val="24"/>
              </w:rPr>
              <w:t>predicted</w:t>
            </w:r>
            <w:r w:rsidR="00793F58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268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76.9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20.6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82.8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23.4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86.2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20.7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F763F7" w:rsidRDefault="000D6CE6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Completed bronchodilation </w:t>
            </w:r>
            <w:proofErr w:type="spellStart"/>
            <w:r w:rsidRPr="00F763F7">
              <w:rPr>
                <w:rFonts w:ascii="Times New Roman" w:hAnsi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59 (42.4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78 (32.6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94 (27.6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  <w:r w:rsidRPr="004521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†</w:t>
            </w:r>
            <w:proofErr w:type="gramEnd"/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F763F7" w:rsidRDefault="000D6CE6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Positive bronchodila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  <w:proofErr w:type="spellStart"/>
            <w:r w:rsidRPr="00F763F7">
              <w:rPr>
                <w:rFonts w:ascii="Times New Roman" w:hAnsi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,d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7 (5.0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7 (2.9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5 (1.5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A6076B" w:rsidRPr="0033095D" w:rsidRDefault="000D6CE6" w:rsidP="0022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BE3">
              <w:rPr>
                <w:rFonts w:ascii="Times New Roman" w:hAnsi="Times New Roman"/>
                <w:sz w:val="24"/>
                <w:szCs w:val="24"/>
              </w:rPr>
              <w:t>Positive bronchodilation test among those with FEV1/FVC &lt;</w:t>
            </w:r>
            <w:r w:rsidR="00C253D5" w:rsidRPr="00226BE3">
              <w:rPr>
                <w:rFonts w:ascii="Times New Roman" w:hAnsi="Times New Roman"/>
                <w:sz w:val="24"/>
                <w:szCs w:val="24"/>
              </w:rPr>
              <w:t>1</w:t>
            </w:r>
            <w:r w:rsidR="007461E8">
              <w:rPr>
                <w:rFonts w:ascii="Times New Roman" w:hAnsi="Times New Roman"/>
                <w:sz w:val="24"/>
                <w:szCs w:val="24"/>
              </w:rPr>
              <w:t>.</w:t>
            </w:r>
            <w:r w:rsidR="00C253D5" w:rsidRPr="00226BE3">
              <w:rPr>
                <w:rFonts w:ascii="Times New Roman" w:hAnsi="Times New Roman"/>
                <w:sz w:val="24"/>
                <w:szCs w:val="24"/>
              </w:rPr>
              <w:t>645</w:t>
            </w:r>
            <w:r w:rsidRPr="00226BE3">
              <w:rPr>
                <w:rFonts w:ascii="Times New Roman" w:hAnsi="Times New Roman"/>
                <w:sz w:val="24"/>
                <w:szCs w:val="24"/>
              </w:rPr>
              <w:t>SD</w:t>
            </w:r>
            <w:r w:rsidRPr="00226BE3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33095D" w:rsidRDefault="00860F0A" w:rsidP="00860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BE3">
              <w:rPr>
                <w:rFonts w:ascii="Times New Roman" w:hAnsi="Times New Roman"/>
                <w:sz w:val="24"/>
                <w:szCs w:val="24"/>
              </w:rPr>
              <w:t>7</w:t>
            </w:r>
            <w:r w:rsidRPr="00226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76B" w:rsidRPr="00226BE3">
              <w:rPr>
                <w:rFonts w:ascii="Times New Roman" w:hAnsi="Times New Roman"/>
                <w:sz w:val="24"/>
                <w:szCs w:val="24"/>
              </w:rPr>
              <w:t>(</w:t>
            </w:r>
            <w:r w:rsidRPr="00226BE3">
              <w:rPr>
                <w:rFonts w:ascii="Times New Roman" w:hAnsi="Times New Roman"/>
                <w:sz w:val="24"/>
                <w:szCs w:val="24"/>
              </w:rPr>
              <w:t>30.4</w:t>
            </w:r>
            <w:r w:rsidR="001D2516" w:rsidRPr="00226BE3">
              <w:rPr>
                <w:rFonts w:ascii="Times New Roman" w:hAnsi="Times New Roman"/>
                <w:sz w:val="24"/>
                <w:szCs w:val="24"/>
              </w:rPr>
              <w:t>%</w:t>
            </w:r>
            <w:r w:rsidR="00A6076B" w:rsidRPr="00226B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33095D" w:rsidRDefault="00860F0A" w:rsidP="00860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BE3">
              <w:rPr>
                <w:rFonts w:ascii="Times New Roman" w:hAnsi="Times New Roman"/>
                <w:sz w:val="24"/>
                <w:szCs w:val="24"/>
              </w:rPr>
              <w:t>4</w:t>
            </w:r>
            <w:r w:rsidRPr="00226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76B" w:rsidRPr="00226BE3">
              <w:rPr>
                <w:rFonts w:ascii="Times New Roman" w:hAnsi="Times New Roman"/>
                <w:sz w:val="24"/>
                <w:szCs w:val="24"/>
              </w:rPr>
              <w:t>(</w:t>
            </w:r>
            <w:r w:rsidRPr="00226BE3">
              <w:rPr>
                <w:rFonts w:ascii="Times New Roman" w:hAnsi="Times New Roman"/>
                <w:sz w:val="24"/>
                <w:szCs w:val="24"/>
              </w:rPr>
              <w:t>19.0</w:t>
            </w:r>
            <w:r w:rsidR="001D2516" w:rsidRPr="00226BE3">
              <w:rPr>
                <w:rFonts w:ascii="Times New Roman" w:hAnsi="Times New Roman"/>
                <w:sz w:val="24"/>
                <w:szCs w:val="24"/>
              </w:rPr>
              <w:t>%</w:t>
            </w:r>
            <w:r w:rsidR="00A6076B" w:rsidRPr="00226B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6076B" w:rsidRPr="0033095D" w:rsidRDefault="00860F0A" w:rsidP="00860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BE3">
              <w:rPr>
                <w:rFonts w:ascii="Times New Roman" w:hAnsi="Times New Roman"/>
                <w:sz w:val="24"/>
                <w:szCs w:val="24"/>
              </w:rPr>
              <w:t>3</w:t>
            </w:r>
            <w:r w:rsidR="00A6076B" w:rsidRPr="00226BE3">
              <w:rPr>
                <w:rFonts w:ascii="Times New Roman" w:hAnsi="Times New Roman"/>
                <w:sz w:val="24"/>
                <w:szCs w:val="24"/>
              </w:rPr>
              <w:t>(</w:t>
            </w:r>
            <w:r w:rsidRPr="00226BE3">
              <w:rPr>
                <w:rFonts w:ascii="Times New Roman" w:hAnsi="Times New Roman"/>
                <w:sz w:val="24"/>
                <w:szCs w:val="24"/>
              </w:rPr>
              <w:t>14.2</w:t>
            </w:r>
            <w:r w:rsidR="001D2516" w:rsidRPr="00226BE3">
              <w:rPr>
                <w:rFonts w:ascii="Times New Roman" w:hAnsi="Times New Roman"/>
                <w:sz w:val="24"/>
                <w:szCs w:val="24"/>
              </w:rPr>
              <w:t>%</w:t>
            </w:r>
            <w:r w:rsidR="00A6076B" w:rsidRPr="00226B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F763F7" w:rsidRDefault="000D6CE6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Current inhaled glucocorticoids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5 (3.6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2 (0.8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7 (2.1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F763F7" w:rsidRDefault="000D6CE6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Asthma ever diagnosed by a physician</w:t>
            </w:r>
            <w:r w:rsidRPr="00501A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23 (16.5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32 (13.4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49 (14.4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076B" w:rsidRPr="00F763F7" w:rsidTr="00226BE3">
        <w:trPr>
          <w:trHeight w:val="73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F763F7" w:rsidRDefault="000D6CE6" w:rsidP="004A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History of obstructive airways </w:t>
            </w:r>
            <w:proofErr w:type="spellStart"/>
            <w:r w:rsidRPr="00F763F7">
              <w:rPr>
                <w:rFonts w:ascii="Times New Roman" w:hAnsi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,e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29 (20.9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38 (15.9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56 (16.5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781A" w:rsidRPr="00F763F7" w:rsidTr="00226BE3">
        <w:trPr>
          <w:trHeight w:val="73"/>
        </w:trPr>
        <w:tc>
          <w:tcPr>
            <w:tcW w:w="2660" w:type="dxa"/>
            <w:vMerge w:val="restart"/>
            <w:shd w:val="clear" w:color="auto" w:fill="D9D9D9" w:themeFill="background1" w:themeFillShade="D9"/>
            <w:hideMark/>
          </w:tcPr>
          <w:p w:rsidR="00A6076B" w:rsidRPr="00F763F7" w:rsidRDefault="000D6CE6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Smoking habit</w:t>
            </w:r>
            <w:r w:rsidRPr="00501A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Never smoker</w:t>
            </w:r>
            <w:r w:rsidR="005202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20282">
              <w:rPr>
                <w:rFonts w:ascii="Times New Roman" w:hAnsi="Times New Roman"/>
                <w:sz w:val="24"/>
                <w:szCs w:val="24"/>
              </w:rPr>
              <w:t>incl</w:t>
            </w:r>
            <w:proofErr w:type="spellEnd"/>
            <w:r w:rsidR="00520282">
              <w:rPr>
                <w:rFonts w:ascii="Times New Roman" w:hAnsi="Times New Roman"/>
                <w:sz w:val="24"/>
                <w:szCs w:val="24"/>
              </w:rPr>
              <w:t xml:space="preserve"> missing)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89 (64.0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157 (65.7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229 (67.2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781A" w:rsidRPr="00F763F7" w:rsidTr="00226BE3">
        <w:trPr>
          <w:trHeight w:val="7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Former Smoker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13 (9.4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30 (12.6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40 (11.7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781A" w:rsidRPr="00F763F7" w:rsidTr="00226BE3">
        <w:trPr>
          <w:trHeight w:val="7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Daily smoker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37 (26.6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52 (21.8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72 (21.1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076B" w:rsidRPr="00F763F7" w:rsidTr="00226BE3">
        <w:trPr>
          <w:trHeight w:val="276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076B" w:rsidRPr="00F763F7" w:rsidRDefault="000D6CE6" w:rsidP="00A6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 xml:space="preserve">Current antihistamine </w:t>
            </w:r>
            <w:proofErr w:type="spellStart"/>
            <w:r w:rsidRPr="00F763F7">
              <w:rPr>
                <w:rFonts w:ascii="Times New Roman" w:hAnsi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11 (7.9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9 (3.8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6076B" w:rsidRPr="00F763F7" w:rsidRDefault="00A6076B" w:rsidP="005F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F7">
              <w:rPr>
                <w:rFonts w:ascii="Times New Roman" w:hAnsi="Times New Roman"/>
                <w:sz w:val="24"/>
                <w:szCs w:val="24"/>
              </w:rPr>
              <w:t>14 (4.1</w:t>
            </w:r>
            <w:r w:rsidR="001D2516">
              <w:rPr>
                <w:rFonts w:ascii="Times New Roman" w:hAnsi="Times New Roman"/>
                <w:sz w:val="24"/>
                <w:szCs w:val="24"/>
              </w:rPr>
              <w:t>%</w:t>
            </w:r>
            <w:r w:rsidRPr="00F76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E7421" w:rsidRDefault="006E7421" w:rsidP="006E742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12AB8" w:rsidRPr="00766FC0" w:rsidRDefault="00C12AB8" w:rsidP="00C12A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66FC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766FC0">
        <w:rPr>
          <w:rFonts w:ascii="Times New Roman" w:hAnsi="Times New Roman"/>
          <w:sz w:val="24"/>
          <w:szCs w:val="24"/>
        </w:rPr>
        <w:t>p-value &lt;0.05</w:t>
      </w:r>
    </w:p>
    <w:p w:rsidR="00C12AB8" w:rsidRPr="00766FC0" w:rsidRDefault="00C12AB8" w:rsidP="00C12AB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66FC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766FC0">
        <w:rPr>
          <w:rFonts w:ascii="Times New Roman" w:hAnsi="Times New Roman"/>
          <w:sz w:val="24"/>
          <w:szCs w:val="24"/>
        </w:rPr>
        <w:t>p-value &lt;0.01</w:t>
      </w:r>
    </w:p>
    <w:p w:rsidR="00C12AB8" w:rsidRDefault="00C12AB8" w:rsidP="00C12A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66FC0">
        <w:rPr>
          <w:rFonts w:ascii="Times New Roman" w:hAnsi="Times New Roman"/>
          <w:b/>
          <w:sz w:val="24"/>
          <w:szCs w:val="24"/>
          <w:vertAlign w:val="superscript"/>
        </w:rPr>
        <w:t>†</w:t>
      </w:r>
      <w:r w:rsidRPr="00766FC0">
        <w:rPr>
          <w:rFonts w:ascii="Times New Roman" w:hAnsi="Times New Roman"/>
          <w:sz w:val="24"/>
          <w:szCs w:val="24"/>
        </w:rPr>
        <w:t>p-value &lt;0.001</w:t>
      </w:r>
    </w:p>
    <w:p w:rsidR="00823E5A" w:rsidRDefault="006E7421" w:rsidP="00823E5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  <w:vertAlign w:val="superscript"/>
          <w:lang w:eastAsia="en-GB"/>
        </w:rPr>
        <w:t>a</w:t>
      </w:r>
      <w:r w:rsidRPr="00501AC5">
        <w:rPr>
          <w:rFonts w:ascii="Times New Roman" w:hAnsi="Times New Roman"/>
          <w:sz w:val="23"/>
          <w:szCs w:val="23"/>
          <w:lang w:eastAsia="en-GB"/>
        </w:rPr>
        <w:t>Oneway</w:t>
      </w:r>
      <w:proofErr w:type="spellEnd"/>
      <w:proofErr w:type="gramEnd"/>
      <w:r w:rsidRPr="00501AC5">
        <w:rPr>
          <w:rFonts w:ascii="Times New Roman" w:hAnsi="Times New Roman"/>
          <w:sz w:val="23"/>
          <w:szCs w:val="23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eastAsia="en-GB"/>
        </w:rPr>
        <w:t>A</w:t>
      </w:r>
      <w:r w:rsidRPr="00501AC5">
        <w:rPr>
          <w:rFonts w:ascii="Times New Roman" w:hAnsi="Times New Roman"/>
          <w:sz w:val="23"/>
          <w:szCs w:val="23"/>
          <w:lang w:eastAsia="en-GB"/>
        </w:rPr>
        <w:t>nova</w:t>
      </w:r>
      <w:proofErr w:type="spellEnd"/>
    </w:p>
    <w:p w:rsidR="00860F0A" w:rsidRDefault="006E7421" w:rsidP="00823E5A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  <w:vertAlign w:val="superscript"/>
          <w:lang w:eastAsia="en-GB"/>
        </w:rPr>
        <w:t>b</w:t>
      </w:r>
      <w:r w:rsidRPr="00501AC5">
        <w:rPr>
          <w:rFonts w:ascii="Times New Roman" w:hAnsi="Times New Roman"/>
          <w:sz w:val="24"/>
          <w:szCs w:val="24"/>
        </w:rPr>
        <w:t>Fisher’s</w:t>
      </w:r>
      <w:proofErr w:type="spellEnd"/>
      <w:proofErr w:type="gramEnd"/>
      <w:r w:rsidRPr="00501AC5">
        <w:rPr>
          <w:rFonts w:ascii="Times New Roman" w:hAnsi="Times New Roman"/>
          <w:sz w:val="24"/>
          <w:szCs w:val="24"/>
        </w:rPr>
        <w:t xml:space="preserve"> exact test</w:t>
      </w:r>
    </w:p>
    <w:p w:rsidR="00823E5A" w:rsidRDefault="006E7421" w:rsidP="00823E5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c</w:t>
      </w:r>
      <w:r w:rsidRPr="00EA766E">
        <w:rPr>
          <w:rFonts w:ascii="Times New Roman" w:hAnsi="Times New Roman"/>
          <w:sz w:val="24"/>
          <w:szCs w:val="24"/>
        </w:rPr>
        <w:t>Chi</w:t>
      </w:r>
      <w:proofErr w:type="spellEnd"/>
      <w:r w:rsidRPr="00EA766E">
        <w:rPr>
          <w:rFonts w:ascii="Times New Roman" w:hAnsi="Times New Roman"/>
          <w:sz w:val="24"/>
          <w:szCs w:val="24"/>
        </w:rPr>
        <w:t>-square</w:t>
      </w:r>
      <w:proofErr w:type="gramEnd"/>
      <w:r w:rsidR="004A0ED3">
        <w:rPr>
          <w:rFonts w:ascii="Times New Roman" w:hAnsi="Times New Roman"/>
          <w:sz w:val="24"/>
          <w:szCs w:val="24"/>
        </w:rPr>
        <w:t xml:space="preserve"> test</w:t>
      </w:r>
    </w:p>
    <w:p w:rsidR="006E7421" w:rsidRPr="00AE29D1" w:rsidRDefault="006E7421" w:rsidP="006E742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Positive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bronchodila</w:t>
      </w:r>
      <w:r w:rsidRPr="00AE29D1">
        <w:rPr>
          <w:rFonts w:ascii="Times New Roman" w:hAnsi="Times New Roman"/>
          <w:sz w:val="24"/>
          <w:szCs w:val="24"/>
        </w:rPr>
        <w:t>tion test (change in FEV1 or FVC &gt;1</w:t>
      </w:r>
      <w:r w:rsidRPr="00FE7A4B">
        <w:rPr>
          <w:rFonts w:ascii="Times New Roman" w:hAnsi="Times New Roman"/>
          <w:sz w:val="24"/>
          <w:szCs w:val="24"/>
        </w:rPr>
        <w:t>2</w:t>
      </w:r>
      <w:r w:rsidRPr="000D771A">
        <w:rPr>
          <w:rFonts w:ascii="Times New Roman" w:hAnsi="Times New Roman"/>
          <w:sz w:val="24"/>
          <w:szCs w:val="24"/>
        </w:rPr>
        <w:t>%)</w:t>
      </w:r>
      <w:r w:rsidR="000D771A" w:rsidRPr="000D771A">
        <w:rPr>
          <w:rFonts w:ascii="Times New Roman" w:hAnsi="Times New Roman"/>
          <w:sz w:val="24"/>
          <w:szCs w:val="24"/>
        </w:rPr>
        <w:t xml:space="preserve"> </w:t>
      </w:r>
      <w:r w:rsidR="003C7A1B" w:rsidRPr="000D771A">
        <w:rPr>
          <w:rFonts w:ascii="Times New Roman" w:hAnsi="Times New Roman"/>
          <w:sz w:val="24"/>
          <w:szCs w:val="24"/>
          <w:lang w:val="en-US"/>
        </w:rPr>
        <w:t>[</w:t>
      </w:r>
      <w:r w:rsidR="00C253D5">
        <w:rPr>
          <w:rFonts w:ascii="Times New Roman" w:hAnsi="Times New Roman"/>
          <w:sz w:val="24"/>
          <w:szCs w:val="24"/>
          <w:lang w:val="en-US"/>
        </w:rPr>
        <w:t>30</w:t>
      </w:r>
      <w:r w:rsidR="003C7A1B" w:rsidRPr="000D771A">
        <w:rPr>
          <w:rFonts w:ascii="Times New Roman" w:hAnsi="Times New Roman"/>
          <w:sz w:val="24"/>
          <w:szCs w:val="24"/>
          <w:lang w:val="en-US"/>
        </w:rPr>
        <w:t>]</w:t>
      </w:r>
    </w:p>
    <w:p w:rsidR="006E7421" w:rsidRPr="00FE35A0" w:rsidRDefault="006E7421" w:rsidP="006E742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e</w:t>
      </w:r>
      <w:r w:rsidRPr="00FE35A0">
        <w:rPr>
          <w:rFonts w:ascii="Times New Roman" w:hAnsi="Times New Roman"/>
          <w:sz w:val="24"/>
          <w:szCs w:val="24"/>
        </w:rPr>
        <w:t>Based</w:t>
      </w:r>
      <w:proofErr w:type="spellEnd"/>
      <w:proofErr w:type="gramEnd"/>
      <w:r w:rsidRPr="00FE35A0">
        <w:rPr>
          <w:rFonts w:ascii="Times New Roman" w:hAnsi="Times New Roman"/>
          <w:sz w:val="24"/>
          <w:szCs w:val="24"/>
        </w:rPr>
        <w:t xml:space="preserve"> on a composite obstructive airways disease-outcome variable where a one or more of the following four criteria indicated a history of obstructive airways disease: history of physician-diagnosed asthma, current use of inhalable glucocorticoid, a current receipt of special reimbursement for asthma medication, or positive bronchodilation test at the time of clinical examination.</w:t>
      </w:r>
    </w:p>
    <w:p w:rsidR="006E7421" w:rsidRDefault="006E742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6E7421" w:rsidSect="006E742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1"/>
    <w:rsid w:val="00001F92"/>
    <w:rsid w:val="00026C87"/>
    <w:rsid w:val="00027CF7"/>
    <w:rsid w:val="00030F5A"/>
    <w:rsid w:val="00031364"/>
    <w:rsid w:val="00037D56"/>
    <w:rsid w:val="00057D13"/>
    <w:rsid w:val="000666EC"/>
    <w:rsid w:val="00071024"/>
    <w:rsid w:val="0007665F"/>
    <w:rsid w:val="00082493"/>
    <w:rsid w:val="00084F86"/>
    <w:rsid w:val="00093755"/>
    <w:rsid w:val="000A674B"/>
    <w:rsid w:val="000A7B3C"/>
    <w:rsid w:val="000B4FAB"/>
    <w:rsid w:val="000B5F6F"/>
    <w:rsid w:val="000C2F09"/>
    <w:rsid w:val="000D0720"/>
    <w:rsid w:val="000D2241"/>
    <w:rsid w:val="000D6CE6"/>
    <w:rsid w:val="000D771A"/>
    <w:rsid w:val="000E2C65"/>
    <w:rsid w:val="000E7B6A"/>
    <w:rsid w:val="001056CB"/>
    <w:rsid w:val="001279F8"/>
    <w:rsid w:val="001318F8"/>
    <w:rsid w:val="001369FE"/>
    <w:rsid w:val="001379C0"/>
    <w:rsid w:val="00137C21"/>
    <w:rsid w:val="00144261"/>
    <w:rsid w:val="001466E4"/>
    <w:rsid w:val="001479EC"/>
    <w:rsid w:val="00156197"/>
    <w:rsid w:val="00160399"/>
    <w:rsid w:val="00161983"/>
    <w:rsid w:val="00164D30"/>
    <w:rsid w:val="0017492F"/>
    <w:rsid w:val="001768A6"/>
    <w:rsid w:val="00176B2B"/>
    <w:rsid w:val="00180A2F"/>
    <w:rsid w:val="0018618E"/>
    <w:rsid w:val="0018696B"/>
    <w:rsid w:val="00192E43"/>
    <w:rsid w:val="00194BE6"/>
    <w:rsid w:val="001A1075"/>
    <w:rsid w:val="001A7666"/>
    <w:rsid w:val="001C16BD"/>
    <w:rsid w:val="001D21D1"/>
    <w:rsid w:val="001D2516"/>
    <w:rsid w:val="001E3CC8"/>
    <w:rsid w:val="00205B77"/>
    <w:rsid w:val="00213A19"/>
    <w:rsid w:val="00213D9D"/>
    <w:rsid w:val="00226BE3"/>
    <w:rsid w:val="002372D5"/>
    <w:rsid w:val="00240520"/>
    <w:rsid w:val="00241B34"/>
    <w:rsid w:val="00247070"/>
    <w:rsid w:val="00247EA9"/>
    <w:rsid w:val="0026716D"/>
    <w:rsid w:val="0027180F"/>
    <w:rsid w:val="002800C8"/>
    <w:rsid w:val="0028354B"/>
    <w:rsid w:val="002A025D"/>
    <w:rsid w:val="002A1F12"/>
    <w:rsid w:val="002A44F3"/>
    <w:rsid w:val="002A5A6C"/>
    <w:rsid w:val="002A70D1"/>
    <w:rsid w:val="002B39AA"/>
    <w:rsid w:val="002B6F90"/>
    <w:rsid w:val="002D4A2A"/>
    <w:rsid w:val="002D5F5D"/>
    <w:rsid w:val="002E735E"/>
    <w:rsid w:val="002E7B9C"/>
    <w:rsid w:val="002F1B1F"/>
    <w:rsid w:val="002F3A37"/>
    <w:rsid w:val="002F6D93"/>
    <w:rsid w:val="00301362"/>
    <w:rsid w:val="00301A78"/>
    <w:rsid w:val="00305032"/>
    <w:rsid w:val="0030685E"/>
    <w:rsid w:val="00311BA3"/>
    <w:rsid w:val="00313D87"/>
    <w:rsid w:val="00316FD6"/>
    <w:rsid w:val="0032288F"/>
    <w:rsid w:val="00322BAF"/>
    <w:rsid w:val="00327811"/>
    <w:rsid w:val="0033095D"/>
    <w:rsid w:val="00336C49"/>
    <w:rsid w:val="00356CBB"/>
    <w:rsid w:val="00357141"/>
    <w:rsid w:val="0036267C"/>
    <w:rsid w:val="00364930"/>
    <w:rsid w:val="00373AA3"/>
    <w:rsid w:val="0037656B"/>
    <w:rsid w:val="00384675"/>
    <w:rsid w:val="003B0DE9"/>
    <w:rsid w:val="003B1DC8"/>
    <w:rsid w:val="003B72AE"/>
    <w:rsid w:val="003C7A1B"/>
    <w:rsid w:val="003D198D"/>
    <w:rsid w:val="003D2EB6"/>
    <w:rsid w:val="003E40F5"/>
    <w:rsid w:val="003F2890"/>
    <w:rsid w:val="003F340B"/>
    <w:rsid w:val="003F43B2"/>
    <w:rsid w:val="003F46CF"/>
    <w:rsid w:val="00401848"/>
    <w:rsid w:val="004038C6"/>
    <w:rsid w:val="004040A4"/>
    <w:rsid w:val="00405AD8"/>
    <w:rsid w:val="0042781A"/>
    <w:rsid w:val="00431539"/>
    <w:rsid w:val="0043218E"/>
    <w:rsid w:val="00435643"/>
    <w:rsid w:val="0043598B"/>
    <w:rsid w:val="004403F1"/>
    <w:rsid w:val="0044693D"/>
    <w:rsid w:val="004520B4"/>
    <w:rsid w:val="00452BB5"/>
    <w:rsid w:val="00455E61"/>
    <w:rsid w:val="0046600A"/>
    <w:rsid w:val="00467F45"/>
    <w:rsid w:val="00471504"/>
    <w:rsid w:val="00482656"/>
    <w:rsid w:val="004834C0"/>
    <w:rsid w:val="004912F3"/>
    <w:rsid w:val="00492626"/>
    <w:rsid w:val="004A0ED3"/>
    <w:rsid w:val="004A3756"/>
    <w:rsid w:val="004A4F01"/>
    <w:rsid w:val="004C3352"/>
    <w:rsid w:val="004D20BB"/>
    <w:rsid w:val="004D74B6"/>
    <w:rsid w:val="004E6007"/>
    <w:rsid w:val="004E7CE8"/>
    <w:rsid w:val="004F2ECD"/>
    <w:rsid w:val="00500192"/>
    <w:rsid w:val="005056CB"/>
    <w:rsid w:val="00520282"/>
    <w:rsid w:val="00520FB8"/>
    <w:rsid w:val="0052760B"/>
    <w:rsid w:val="00534252"/>
    <w:rsid w:val="00534495"/>
    <w:rsid w:val="00534ADA"/>
    <w:rsid w:val="0053779A"/>
    <w:rsid w:val="00541FDE"/>
    <w:rsid w:val="00551EC3"/>
    <w:rsid w:val="00553B73"/>
    <w:rsid w:val="00555D16"/>
    <w:rsid w:val="005562B3"/>
    <w:rsid w:val="005655B4"/>
    <w:rsid w:val="0059164B"/>
    <w:rsid w:val="00592252"/>
    <w:rsid w:val="005942A7"/>
    <w:rsid w:val="00595D65"/>
    <w:rsid w:val="005A2276"/>
    <w:rsid w:val="005A6348"/>
    <w:rsid w:val="005B04E5"/>
    <w:rsid w:val="005C06FD"/>
    <w:rsid w:val="005C7A8A"/>
    <w:rsid w:val="005D018B"/>
    <w:rsid w:val="005D108D"/>
    <w:rsid w:val="005D1229"/>
    <w:rsid w:val="005D725A"/>
    <w:rsid w:val="005F0A1F"/>
    <w:rsid w:val="005F28E9"/>
    <w:rsid w:val="005F295B"/>
    <w:rsid w:val="005F6655"/>
    <w:rsid w:val="005F7963"/>
    <w:rsid w:val="00606529"/>
    <w:rsid w:val="00621AEC"/>
    <w:rsid w:val="00626D7A"/>
    <w:rsid w:val="00634E8A"/>
    <w:rsid w:val="00641703"/>
    <w:rsid w:val="006457E5"/>
    <w:rsid w:val="006504DC"/>
    <w:rsid w:val="00652BF9"/>
    <w:rsid w:val="006567CA"/>
    <w:rsid w:val="00665DFF"/>
    <w:rsid w:val="006677D5"/>
    <w:rsid w:val="00671620"/>
    <w:rsid w:val="006731A0"/>
    <w:rsid w:val="00682489"/>
    <w:rsid w:val="00683D0B"/>
    <w:rsid w:val="006978F6"/>
    <w:rsid w:val="006A1634"/>
    <w:rsid w:val="006B0F79"/>
    <w:rsid w:val="006B7D25"/>
    <w:rsid w:val="006C0491"/>
    <w:rsid w:val="006C268B"/>
    <w:rsid w:val="006C2A05"/>
    <w:rsid w:val="006D092C"/>
    <w:rsid w:val="006D2F19"/>
    <w:rsid w:val="006D6B4C"/>
    <w:rsid w:val="006E7421"/>
    <w:rsid w:val="006F2427"/>
    <w:rsid w:val="006F38BA"/>
    <w:rsid w:val="006F5D1C"/>
    <w:rsid w:val="007018E8"/>
    <w:rsid w:val="00704018"/>
    <w:rsid w:val="0072088D"/>
    <w:rsid w:val="00721341"/>
    <w:rsid w:val="00721CB1"/>
    <w:rsid w:val="00735E81"/>
    <w:rsid w:val="00745521"/>
    <w:rsid w:val="007461E8"/>
    <w:rsid w:val="00757A57"/>
    <w:rsid w:val="007601E6"/>
    <w:rsid w:val="00766FC0"/>
    <w:rsid w:val="007763F6"/>
    <w:rsid w:val="007801A4"/>
    <w:rsid w:val="00792207"/>
    <w:rsid w:val="00793F2E"/>
    <w:rsid w:val="00793F58"/>
    <w:rsid w:val="00795B3A"/>
    <w:rsid w:val="007A4718"/>
    <w:rsid w:val="007A64B5"/>
    <w:rsid w:val="007B3091"/>
    <w:rsid w:val="007C51FD"/>
    <w:rsid w:val="007C7023"/>
    <w:rsid w:val="007D5C90"/>
    <w:rsid w:val="007D7C12"/>
    <w:rsid w:val="007E45C7"/>
    <w:rsid w:val="007E5345"/>
    <w:rsid w:val="007F027A"/>
    <w:rsid w:val="007F1193"/>
    <w:rsid w:val="007F30D5"/>
    <w:rsid w:val="007F6E98"/>
    <w:rsid w:val="00804BD1"/>
    <w:rsid w:val="00823D03"/>
    <w:rsid w:val="00823E5A"/>
    <w:rsid w:val="00830712"/>
    <w:rsid w:val="00831D71"/>
    <w:rsid w:val="0083301E"/>
    <w:rsid w:val="00853B70"/>
    <w:rsid w:val="00860F0A"/>
    <w:rsid w:val="00863F80"/>
    <w:rsid w:val="008643AF"/>
    <w:rsid w:val="0087001E"/>
    <w:rsid w:val="00871069"/>
    <w:rsid w:val="00871D0F"/>
    <w:rsid w:val="00877F47"/>
    <w:rsid w:val="008821B3"/>
    <w:rsid w:val="00887F14"/>
    <w:rsid w:val="008A1ADB"/>
    <w:rsid w:val="008A4AE4"/>
    <w:rsid w:val="008C298F"/>
    <w:rsid w:val="008C2CCB"/>
    <w:rsid w:val="008D4776"/>
    <w:rsid w:val="008D686A"/>
    <w:rsid w:val="008F6291"/>
    <w:rsid w:val="009029F0"/>
    <w:rsid w:val="0090565E"/>
    <w:rsid w:val="00905D81"/>
    <w:rsid w:val="009136B8"/>
    <w:rsid w:val="009178E4"/>
    <w:rsid w:val="00931E77"/>
    <w:rsid w:val="00935A89"/>
    <w:rsid w:val="009370D4"/>
    <w:rsid w:val="00946A31"/>
    <w:rsid w:val="00946F52"/>
    <w:rsid w:val="009471DB"/>
    <w:rsid w:val="00952976"/>
    <w:rsid w:val="00995A0D"/>
    <w:rsid w:val="00996D4D"/>
    <w:rsid w:val="009A10D1"/>
    <w:rsid w:val="009A2EFF"/>
    <w:rsid w:val="009A5A66"/>
    <w:rsid w:val="009B3CA8"/>
    <w:rsid w:val="009D274D"/>
    <w:rsid w:val="009D5157"/>
    <w:rsid w:val="009D72FB"/>
    <w:rsid w:val="009E4C79"/>
    <w:rsid w:val="00A1218E"/>
    <w:rsid w:val="00A2292B"/>
    <w:rsid w:val="00A257DB"/>
    <w:rsid w:val="00A27826"/>
    <w:rsid w:val="00A30ADA"/>
    <w:rsid w:val="00A312BC"/>
    <w:rsid w:val="00A33868"/>
    <w:rsid w:val="00A359F1"/>
    <w:rsid w:val="00A367CF"/>
    <w:rsid w:val="00A36825"/>
    <w:rsid w:val="00A432A1"/>
    <w:rsid w:val="00A4483F"/>
    <w:rsid w:val="00A6076B"/>
    <w:rsid w:val="00A64245"/>
    <w:rsid w:val="00A64FDF"/>
    <w:rsid w:val="00A71893"/>
    <w:rsid w:val="00A73421"/>
    <w:rsid w:val="00A766BA"/>
    <w:rsid w:val="00A77295"/>
    <w:rsid w:val="00A82529"/>
    <w:rsid w:val="00A8465C"/>
    <w:rsid w:val="00A92022"/>
    <w:rsid w:val="00A93477"/>
    <w:rsid w:val="00AA7DE0"/>
    <w:rsid w:val="00AB010F"/>
    <w:rsid w:val="00AB46BE"/>
    <w:rsid w:val="00AB48CF"/>
    <w:rsid w:val="00AE0A10"/>
    <w:rsid w:val="00AE38AC"/>
    <w:rsid w:val="00AE48B3"/>
    <w:rsid w:val="00AE4F27"/>
    <w:rsid w:val="00AF084D"/>
    <w:rsid w:val="00B012CF"/>
    <w:rsid w:val="00B12BBB"/>
    <w:rsid w:val="00B21138"/>
    <w:rsid w:val="00B41AFC"/>
    <w:rsid w:val="00B43DE2"/>
    <w:rsid w:val="00B4407E"/>
    <w:rsid w:val="00B55DF4"/>
    <w:rsid w:val="00B610C9"/>
    <w:rsid w:val="00B63108"/>
    <w:rsid w:val="00B63C0B"/>
    <w:rsid w:val="00B64EF0"/>
    <w:rsid w:val="00B7144C"/>
    <w:rsid w:val="00B829E1"/>
    <w:rsid w:val="00B848E3"/>
    <w:rsid w:val="00B903E1"/>
    <w:rsid w:val="00B919ED"/>
    <w:rsid w:val="00BA29FE"/>
    <w:rsid w:val="00BA324E"/>
    <w:rsid w:val="00BA55B1"/>
    <w:rsid w:val="00BC0AC3"/>
    <w:rsid w:val="00BC256B"/>
    <w:rsid w:val="00BC6507"/>
    <w:rsid w:val="00BD5A86"/>
    <w:rsid w:val="00BE2559"/>
    <w:rsid w:val="00BE3C75"/>
    <w:rsid w:val="00BE6107"/>
    <w:rsid w:val="00BE6464"/>
    <w:rsid w:val="00BF134A"/>
    <w:rsid w:val="00C02B65"/>
    <w:rsid w:val="00C10ECE"/>
    <w:rsid w:val="00C12AB8"/>
    <w:rsid w:val="00C253D5"/>
    <w:rsid w:val="00C32CDA"/>
    <w:rsid w:val="00C467FC"/>
    <w:rsid w:val="00C477D1"/>
    <w:rsid w:val="00C5740F"/>
    <w:rsid w:val="00C61549"/>
    <w:rsid w:val="00C63478"/>
    <w:rsid w:val="00C829A5"/>
    <w:rsid w:val="00C87B06"/>
    <w:rsid w:val="00CA47DC"/>
    <w:rsid w:val="00CB0BC0"/>
    <w:rsid w:val="00CC19E4"/>
    <w:rsid w:val="00CC790D"/>
    <w:rsid w:val="00CD6513"/>
    <w:rsid w:val="00CE597A"/>
    <w:rsid w:val="00CE7F56"/>
    <w:rsid w:val="00CF3732"/>
    <w:rsid w:val="00D02C88"/>
    <w:rsid w:val="00D06217"/>
    <w:rsid w:val="00D12C74"/>
    <w:rsid w:val="00D2095A"/>
    <w:rsid w:val="00D2129F"/>
    <w:rsid w:val="00D24BA8"/>
    <w:rsid w:val="00D35252"/>
    <w:rsid w:val="00D428A4"/>
    <w:rsid w:val="00D50F5D"/>
    <w:rsid w:val="00D55107"/>
    <w:rsid w:val="00D55C47"/>
    <w:rsid w:val="00D70A9B"/>
    <w:rsid w:val="00D727DF"/>
    <w:rsid w:val="00D7668F"/>
    <w:rsid w:val="00D80D46"/>
    <w:rsid w:val="00D85DB3"/>
    <w:rsid w:val="00D91EE9"/>
    <w:rsid w:val="00DA3A2C"/>
    <w:rsid w:val="00DA48D7"/>
    <w:rsid w:val="00DB0535"/>
    <w:rsid w:val="00DB1066"/>
    <w:rsid w:val="00DB3544"/>
    <w:rsid w:val="00DB57CD"/>
    <w:rsid w:val="00DB5F62"/>
    <w:rsid w:val="00DC6C11"/>
    <w:rsid w:val="00DC77CD"/>
    <w:rsid w:val="00DE1AF8"/>
    <w:rsid w:val="00DE1F4F"/>
    <w:rsid w:val="00DE7398"/>
    <w:rsid w:val="00DF19F5"/>
    <w:rsid w:val="00DF4B21"/>
    <w:rsid w:val="00E02F49"/>
    <w:rsid w:val="00E044AC"/>
    <w:rsid w:val="00E21F68"/>
    <w:rsid w:val="00E24701"/>
    <w:rsid w:val="00E25555"/>
    <w:rsid w:val="00E44C2B"/>
    <w:rsid w:val="00E471E4"/>
    <w:rsid w:val="00E51F64"/>
    <w:rsid w:val="00E5425E"/>
    <w:rsid w:val="00E55966"/>
    <w:rsid w:val="00E60D9D"/>
    <w:rsid w:val="00E62849"/>
    <w:rsid w:val="00E62F11"/>
    <w:rsid w:val="00E649E5"/>
    <w:rsid w:val="00E653D7"/>
    <w:rsid w:val="00E8471B"/>
    <w:rsid w:val="00E852F4"/>
    <w:rsid w:val="00EA1EA4"/>
    <w:rsid w:val="00EA4852"/>
    <w:rsid w:val="00EB6828"/>
    <w:rsid w:val="00EC6C98"/>
    <w:rsid w:val="00ED17A4"/>
    <w:rsid w:val="00EE611C"/>
    <w:rsid w:val="00EF41AD"/>
    <w:rsid w:val="00F01873"/>
    <w:rsid w:val="00F02454"/>
    <w:rsid w:val="00F0249A"/>
    <w:rsid w:val="00F0513B"/>
    <w:rsid w:val="00F06704"/>
    <w:rsid w:val="00F12D81"/>
    <w:rsid w:val="00F316AD"/>
    <w:rsid w:val="00F33A13"/>
    <w:rsid w:val="00F346FD"/>
    <w:rsid w:val="00F365F8"/>
    <w:rsid w:val="00F519F9"/>
    <w:rsid w:val="00F52009"/>
    <w:rsid w:val="00F55B67"/>
    <w:rsid w:val="00F63960"/>
    <w:rsid w:val="00F70A40"/>
    <w:rsid w:val="00F73629"/>
    <w:rsid w:val="00F82D77"/>
    <w:rsid w:val="00F948FC"/>
    <w:rsid w:val="00FA4F61"/>
    <w:rsid w:val="00FB07E9"/>
    <w:rsid w:val="00FB6070"/>
    <w:rsid w:val="00FC5927"/>
    <w:rsid w:val="00FC5BFB"/>
    <w:rsid w:val="00FE09D9"/>
    <w:rsid w:val="00FE1F30"/>
    <w:rsid w:val="00FE54EB"/>
    <w:rsid w:val="00FF1D67"/>
    <w:rsid w:val="00FF2E47"/>
    <w:rsid w:val="00FF4201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BE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BE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Näsänen-Gilmore Pieta</dc:creator>
  <cp:lastModifiedBy>Näsänen-Gilmore Pieta</cp:lastModifiedBy>
  <cp:revision>6</cp:revision>
  <dcterms:created xsi:type="dcterms:W3CDTF">2018-06-06T09:36:00Z</dcterms:created>
  <dcterms:modified xsi:type="dcterms:W3CDTF">2018-06-06T12:02:00Z</dcterms:modified>
</cp:coreProperties>
</file>