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71" w:rsidRPr="00612417" w:rsidRDefault="00D63518" w:rsidP="00107971">
      <w:pPr>
        <w:ind w:left="540" w:hanging="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S1 Table</w:t>
      </w:r>
      <w:r w:rsidR="00195B03">
        <w:rPr>
          <w:rFonts w:ascii="Times New Roman" w:hAnsi="Times New Roman" w:cs="Times New Roman"/>
          <w:b/>
          <w:sz w:val="22"/>
          <w:szCs w:val="22"/>
        </w:rPr>
        <w:t>.</w:t>
      </w:r>
      <w:r w:rsidR="00107971" w:rsidRPr="0061241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r w:rsidR="00107971" w:rsidRPr="00BF05D8">
        <w:rPr>
          <w:rFonts w:ascii="Times New Roman" w:hAnsi="Times New Roman" w:cs="Times New Roman"/>
          <w:b/>
          <w:sz w:val="22"/>
          <w:szCs w:val="22"/>
        </w:rPr>
        <w:t>Baseline characteristics of households assessed in 2014 by their post-earthquake follow-up status in 2016</w:t>
      </w:r>
      <w:bookmarkEnd w:id="0"/>
    </w:p>
    <w:p w:rsidR="00107971" w:rsidRPr="006511B6" w:rsidRDefault="00107971" w:rsidP="00107971">
      <w:pPr>
        <w:rPr>
          <w:rFonts w:ascii="Times New Roman" w:hAnsi="Times New Roman" w:cs="Times New Roman"/>
        </w:rPr>
      </w:pPr>
    </w:p>
    <w:tbl>
      <w:tblPr>
        <w:tblStyle w:val="ListTable4-Accent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</w:tblBorders>
        <w:tblLook w:val="06A0" w:firstRow="1" w:lastRow="0" w:firstColumn="1" w:lastColumn="0" w:noHBand="1" w:noVBand="1"/>
      </w:tblPr>
      <w:tblGrid>
        <w:gridCol w:w="4555"/>
        <w:gridCol w:w="1804"/>
        <w:gridCol w:w="1993"/>
        <w:gridCol w:w="998"/>
      </w:tblGrid>
      <w:tr w:rsidR="00107971" w:rsidRPr="00A4605A" w:rsidTr="00DA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shd w:val="clear" w:color="auto" w:fill="D0CECE" w:themeFill="background2" w:themeFillShade="E6"/>
            <w:hideMark/>
          </w:tcPr>
          <w:p w:rsidR="00107971" w:rsidRPr="00612417" w:rsidRDefault="00107971" w:rsidP="00DA38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D0CECE" w:themeFill="background2" w:themeFillShade="E6"/>
            <w:noWrap/>
            <w:vAlign w:val="center"/>
            <w:hideMark/>
          </w:tcPr>
          <w:p w:rsidR="00107971" w:rsidRPr="00612417" w:rsidRDefault="00107971" w:rsidP="00DA3819">
            <w:pPr>
              <w:ind w:left="431" w:hanging="55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Assessed only in 2014</w:t>
            </w:r>
          </w:p>
        </w:tc>
        <w:tc>
          <w:tcPr>
            <w:tcW w:w="113" w:type="pct"/>
            <w:shd w:val="clear" w:color="auto" w:fill="D0CECE" w:themeFill="background2" w:themeFillShade="E6"/>
            <w:noWrap/>
            <w:vAlign w:val="center"/>
            <w:hideMark/>
          </w:tcPr>
          <w:p w:rsidR="00107971" w:rsidRPr="00612417" w:rsidRDefault="00107971" w:rsidP="00DA3819">
            <w:pPr>
              <w:ind w:left="431" w:hanging="55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Assessed in 2014 &amp; 2016</w:t>
            </w:r>
          </w:p>
        </w:tc>
        <w:tc>
          <w:tcPr>
            <w:tcW w:w="4661" w:type="pct"/>
            <w:shd w:val="clear" w:color="auto" w:fill="D0CECE" w:themeFill="background2" w:themeFillShade="E6"/>
            <w:vAlign w:val="center"/>
          </w:tcPr>
          <w:p w:rsidR="00107971" w:rsidRPr="00612417" w:rsidRDefault="00107971" w:rsidP="00DA3819">
            <w:pPr>
              <w:ind w:left="431" w:hanging="55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households (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women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children under 5 years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of household (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(%)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64.0 (50.3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75.8)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64.8 (28.4 to 42.6)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36.0 (24.2 to 49.7)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35.2 (57.4 to 71.6)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age of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36.5 (32.6 to 40.5)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40.9 (37.6 to 44.2)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Occupation of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(%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Agriculture/ livestock/ poultry/ aquaculture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16.4 (6.4 to 36.1)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26.8 (11.6 to 50.7)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Business/ trader /self-employment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26.5 (17.7 to 37.7)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 (11.7 to 32.4)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Wage employment/ salaried Worker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 (25.3 to 41.8)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25.7 (17.3 to 36.4)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Non-earning occupation (housewife/ FCHV)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18.4 (111.9 to 27.4)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18.4 (13.9 to 24.0)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working/ retired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4.3 (2.1 to 8.3)</w:t>
            </w:r>
          </w:p>
        </w:tc>
        <w:tc>
          <w:tcPr>
            <w:tcW w:w="113" w:type="pct"/>
            <w:noWrap/>
            <w:vAlign w:val="center"/>
            <w:hideMark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7.8 (4.5 to 13.3)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Student/ other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1.3 (0.7 to 2.5)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1.1 (0.4 to 3.4)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Area of land owned by households (hectares), (%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0.5 ha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64.5 (57.3 to 71.1)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58.3 (50.7 to 65.5)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0.5 ha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18.2 (9.9 to 31.2)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20.9 (9.0 to 41.2)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17.3 (10.8 to 26.5)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20.9 (11.8 to 34.2)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Livestock ownership, (% of households)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44.9 (20.3 to 72.3)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61.8 (28.9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86.6)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Household received remittances in past year, (%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42.9 (32.2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54.3)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45.3 (31.8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59.5)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Remittance received in USD, median (IQR)</w:t>
            </w:r>
            <w:r w:rsidRPr="00612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1420 (2500)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1050 (1900)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0.896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Household wealth quintiles†, (%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Lowest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5.8 (2.1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15.8)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7.1 (2.6, 18.0)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6.1 (2.2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7.3 (2.6, 18.6)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16.9 (6.0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39.1)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24.6 (9.1, 51.6)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13.0 (6.2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25.2)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15.5 (7.8, 28.3)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58.2 (26.5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84.3)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45.6 (14.8, 80.2)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household food insecurity, (% </w:t>
            </w:r>
            <w:proofErr w:type="spellStart"/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18.2 (13.1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24.6}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17.1 (10.4, 27.0)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0.581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age of women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26.8 (25.7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26.4 (25.4, 27.4)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maternal education (years of schooling)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6.0 (5.1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</w:t>
            </w: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7.1 (5.5, 8.8)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Women's Dietary Diversity (MDD-W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≥5), (% of women) 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 (31.7 to 57.0)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 (26.7, 58.6)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children, (% of children)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18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 months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8.9 (6.2, 12.5)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8.8 (6.5, 11.8)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 months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9.7 (7.2, 12.9)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11.3 (9.3, 13.6)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12-23 months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18.0 (15.2, 21.2)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24.0 (20.6, 27.8)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24-59 months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63.4 (58.8, 67.8)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55.9 (51.6, 60.1)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Predominant breastfeeding (% children &lt;6 months)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 (16.3, 60.9)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 (19.4, 69.5)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Prelacteal</w:t>
            </w:r>
            <w:proofErr w:type="spellEnd"/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fed (% children &lt;12 months)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 (19.4, 37.9)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 (21.1, 46.9)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Breastfed within 1 hour of birth (% children &lt;12 months)</w:t>
            </w:r>
            <w:r w:rsidRPr="00612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 (19.8, 54.8)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 (27.1, 50.9)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Colostrum fed (% children &lt;12 months)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93.8 (85.0, 97.6)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 (82.9, 98.8)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Prevalence of wasting, (%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&lt;60 months)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(1.0, 8.0)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(4.4, 6.9)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Mean WHZ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 (-0.4, -0.1)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 (-0.6, -0.4)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Prevalence of stunting, (%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&lt;60 months)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 (16.7, 24.9)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 (16.1, 36.3)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</w:tr>
      <w:tr w:rsidR="00107971" w:rsidRPr="00A4605A" w:rsidTr="00DA381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Mean HAZ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 (-1.2, -0.9)</w:t>
            </w:r>
          </w:p>
        </w:tc>
        <w:tc>
          <w:tcPr>
            <w:tcW w:w="113" w:type="pct"/>
            <w:noWrap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 (-1.4, -0.8)</w:t>
            </w:r>
          </w:p>
        </w:tc>
        <w:tc>
          <w:tcPr>
            <w:tcW w:w="4661" w:type="pct"/>
            <w:vAlign w:val="center"/>
          </w:tcPr>
          <w:p w:rsidR="00107971" w:rsidRPr="00612417" w:rsidRDefault="00107971" w:rsidP="00DA3819">
            <w:pPr>
              <w:spacing w:after="20"/>
              <w:ind w:left="431" w:hanging="55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</w:tr>
    </w:tbl>
    <w:p w:rsidR="00107971" w:rsidRPr="006511B6" w:rsidRDefault="00107971" w:rsidP="00107971">
      <w:pPr>
        <w:rPr>
          <w:rFonts w:ascii="Times New Roman" w:hAnsi="Times New Roman" w:cs="Times New Roman"/>
          <w:sz w:val="18"/>
          <w:szCs w:val="18"/>
        </w:rPr>
      </w:pPr>
    </w:p>
    <w:p w:rsidR="00107971" w:rsidRPr="004534FF" w:rsidRDefault="00107971" w:rsidP="00107971">
      <w:pPr>
        <w:rPr>
          <w:rFonts w:ascii="Times New Roman" w:hAnsi="Times New Roman" w:cs="Times New Roman"/>
          <w:sz w:val="16"/>
          <w:szCs w:val="16"/>
        </w:rPr>
      </w:pPr>
      <w:r w:rsidRPr="006511B6">
        <w:rPr>
          <w:rFonts w:ascii="Times New Roman" w:hAnsi="Times New Roman" w:cs="Times New Roman"/>
          <w:sz w:val="18"/>
          <w:szCs w:val="18"/>
        </w:rPr>
        <w:t xml:space="preserve">†     </w:t>
      </w:r>
      <w:r w:rsidRPr="004534FF">
        <w:rPr>
          <w:rFonts w:ascii="Times New Roman" w:hAnsi="Times New Roman" w:cs="Times New Roman"/>
          <w:sz w:val="16"/>
          <w:szCs w:val="16"/>
        </w:rPr>
        <w:t>Calculated using national data</w:t>
      </w:r>
    </w:p>
    <w:p w:rsidR="00107971" w:rsidRPr="004534FF" w:rsidRDefault="00107971" w:rsidP="00107971">
      <w:pPr>
        <w:rPr>
          <w:rFonts w:ascii="Times New Roman" w:hAnsi="Times New Roman" w:cs="Times New Roman"/>
          <w:sz w:val="16"/>
          <w:szCs w:val="16"/>
        </w:rPr>
      </w:pPr>
      <w:r w:rsidRPr="004534FF">
        <w:rPr>
          <w:rFonts w:ascii="Times New Roman" w:hAnsi="Times New Roman" w:cs="Times New Roman"/>
          <w:sz w:val="16"/>
          <w:szCs w:val="16"/>
        </w:rPr>
        <w:lastRenderedPageBreak/>
        <w:t>‡     Exchange rates: 1US Dollars =100 Nepalese Rupees</w:t>
      </w:r>
    </w:p>
    <w:p w:rsidR="00107971" w:rsidRPr="004534FF" w:rsidRDefault="00107971" w:rsidP="00107971">
      <w:pPr>
        <w:rPr>
          <w:rFonts w:ascii="Times New Roman" w:hAnsi="Times New Roman" w:cs="Times New Roman"/>
          <w:sz w:val="16"/>
          <w:szCs w:val="16"/>
        </w:rPr>
      </w:pPr>
      <w:r w:rsidRPr="004534FF">
        <w:rPr>
          <w:rFonts w:ascii="Times New Roman" w:hAnsi="Times New Roman" w:cs="Times New Roman"/>
          <w:sz w:val="16"/>
          <w:szCs w:val="16"/>
        </w:rPr>
        <w:t>§     Minimum Dietary Diversity for Women (MDD-W) calculated using a 24-hour recall period</w:t>
      </w:r>
    </w:p>
    <w:p w:rsidR="00332A02" w:rsidRDefault="00107971" w:rsidP="00107971">
      <w:r w:rsidRPr="004534FF">
        <w:rPr>
          <w:rFonts w:ascii="Times New Roman" w:hAnsi="Times New Roman" w:cs="Times New Roman"/>
          <w:sz w:val="16"/>
          <w:szCs w:val="16"/>
        </w:rPr>
        <w:t>*     p-value &lt;0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534FF">
        <w:rPr>
          <w:rFonts w:ascii="Times New Roman" w:hAnsi="Times New Roman" w:cs="Times New Roman"/>
          <w:sz w:val="16"/>
          <w:szCs w:val="16"/>
        </w:rPr>
        <w:t>05, ** p-value &lt;0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534FF">
        <w:rPr>
          <w:rFonts w:ascii="Times New Roman" w:hAnsi="Times New Roman" w:cs="Times New Roman"/>
          <w:sz w:val="16"/>
          <w:szCs w:val="16"/>
        </w:rPr>
        <w:t>01, *** p-value &lt;0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534FF">
        <w:rPr>
          <w:rFonts w:ascii="Times New Roman" w:hAnsi="Times New Roman" w:cs="Times New Roman"/>
          <w:sz w:val="16"/>
          <w:szCs w:val="16"/>
        </w:rPr>
        <w:t>001 for differences between HH assessed only in 2014 and those assessed in both 2014 and 2016</w:t>
      </w:r>
    </w:p>
    <w:sectPr w:rsidR="00332A02" w:rsidSect="0019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605A7"/>
    <w:rsid w:val="00071235"/>
    <w:rsid w:val="000A1464"/>
    <w:rsid w:val="000A57D4"/>
    <w:rsid w:val="000A628D"/>
    <w:rsid w:val="000D3B05"/>
    <w:rsid w:val="00107971"/>
    <w:rsid w:val="00131286"/>
    <w:rsid w:val="001368CF"/>
    <w:rsid w:val="0015244B"/>
    <w:rsid w:val="001724AD"/>
    <w:rsid w:val="00194771"/>
    <w:rsid w:val="00195B03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419A0"/>
    <w:rsid w:val="00251BA5"/>
    <w:rsid w:val="00273DB7"/>
    <w:rsid w:val="0027682A"/>
    <w:rsid w:val="0029737C"/>
    <w:rsid w:val="00297A02"/>
    <w:rsid w:val="002F6332"/>
    <w:rsid w:val="00333ABA"/>
    <w:rsid w:val="00352ED4"/>
    <w:rsid w:val="003571F0"/>
    <w:rsid w:val="00376BDA"/>
    <w:rsid w:val="00380FF4"/>
    <w:rsid w:val="003A178F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3020"/>
    <w:rsid w:val="004C4E7D"/>
    <w:rsid w:val="004D59F1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53876"/>
    <w:rsid w:val="00756065"/>
    <w:rsid w:val="007877DE"/>
    <w:rsid w:val="007B6D4C"/>
    <w:rsid w:val="007D5E09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61AE"/>
    <w:rsid w:val="009B6633"/>
    <w:rsid w:val="009C685E"/>
    <w:rsid w:val="00A11B15"/>
    <w:rsid w:val="00A138D3"/>
    <w:rsid w:val="00A30D28"/>
    <w:rsid w:val="00A3210E"/>
    <w:rsid w:val="00A43F99"/>
    <w:rsid w:val="00A55497"/>
    <w:rsid w:val="00AA51A7"/>
    <w:rsid w:val="00AB36EF"/>
    <w:rsid w:val="00AC22FE"/>
    <w:rsid w:val="00B032D1"/>
    <w:rsid w:val="00B8550D"/>
    <w:rsid w:val="00B954CB"/>
    <w:rsid w:val="00B95C00"/>
    <w:rsid w:val="00BE7618"/>
    <w:rsid w:val="00BF05D8"/>
    <w:rsid w:val="00C03B7C"/>
    <w:rsid w:val="00C15BFD"/>
    <w:rsid w:val="00C2762E"/>
    <w:rsid w:val="00C3384D"/>
    <w:rsid w:val="00C75FF8"/>
    <w:rsid w:val="00CA4980"/>
    <w:rsid w:val="00CC2375"/>
    <w:rsid w:val="00D04053"/>
    <w:rsid w:val="00D63518"/>
    <w:rsid w:val="00D81BB6"/>
    <w:rsid w:val="00D952BE"/>
    <w:rsid w:val="00DA1638"/>
    <w:rsid w:val="00DC3140"/>
    <w:rsid w:val="00DC53D9"/>
    <w:rsid w:val="00DF773C"/>
    <w:rsid w:val="00E35F76"/>
    <w:rsid w:val="00E61451"/>
    <w:rsid w:val="00E71E19"/>
    <w:rsid w:val="00E810FA"/>
    <w:rsid w:val="00EF6EE1"/>
    <w:rsid w:val="00F57FE6"/>
    <w:rsid w:val="00F70E00"/>
    <w:rsid w:val="00F91BE3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7A48D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4</cp:revision>
  <dcterms:created xsi:type="dcterms:W3CDTF">2018-05-04T15:56:00Z</dcterms:created>
  <dcterms:modified xsi:type="dcterms:W3CDTF">2018-10-09T15:40:00Z</dcterms:modified>
</cp:coreProperties>
</file>