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CB6" w:rsidRDefault="004E1E07" w:rsidP="00845CB6">
      <w:pPr>
        <w:spacing w:line="480" w:lineRule="auto"/>
        <w:rPr>
          <w:b/>
        </w:rPr>
      </w:pPr>
      <w:r>
        <w:rPr>
          <w:b/>
        </w:rPr>
        <w:t>S4 Fig</w:t>
      </w:r>
      <w:bookmarkStart w:id="0" w:name="_GoBack"/>
      <w:bookmarkEnd w:id="0"/>
      <w:r w:rsidR="00845CB6" w:rsidRPr="00845CB6">
        <w:rPr>
          <w:b/>
        </w:rPr>
        <w:t>.  Cumulative risk of a new diagnosis of any type of cancer following primary hip replacement by ASA at the first primary hip replacement.</w:t>
      </w:r>
    </w:p>
    <w:p w:rsidR="009F7E54" w:rsidRDefault="00845CB6" w:rsidP="00845CB6">
      <w:pPr>
        <w:spacing w:line="360" w:lineRule="auto"/>
      </w:pPr>
      <w:r w:rsidRPr="00432C35">
        <w:rPr>
          <w:b/>
          <w:noProof/>
        </w:rPr>
        <w:drawing>
          <wp:inline distT="0" distB="0" distL="0" distR="0" wp14:anchorId="441900AB" wp14:editId="0E3B78D7">
            <wp:extent cx="5727700" cy="4119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1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7E54" w:rsidSect="00767C7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B6"/>
    <w:rsid w:val="00057A6E"/>
    <w:rsid w:val="004958DE"/>
    <w:rsid w:val="004E1E07"/>
    <w:rsid w:val="005C2EF1"/>
    <w:rsid w:val="00767C7B"/>
    <w:rsid w:val="00845CB6"/>
    <w:rsid w:val="008B5A44"/>
    <w:rsid w:val="00DA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4DFFA9"/>
  <w14:defaultImageDpi w14:val="32767"/>
  <w15:chartTrackingRefBased/>
  <w15:docId w15:val="{ECDB31CD-A3FF-DE44-AE12-453729B7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Whitehouse</dc:creator>
  <cp:keywords/>
  <dc:description/>
  <cp:lastModifiedBy>Michael Whitehouse</cp:lastModifiedBy>
  <cp:revision>2</cp:revision>
  <dcterms:created xsi:type="dcterms:W3CDTF">2018-08-07T10:46:00Z</dcterms:created>
  <dcterms:modified xsi:type="dcterms:W3CDTF">2018-09-10T19:53:00Z</dcterms:modified>
</cp:coreProperties>
</file>