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5202C" w14:textId="77777777" w:rsidR="00B160EB" w:rsidRPr="00640439" w:rsidRDefault="00B160EB" w:rsidP="00F02B77">
      <w:pPr>
        <w:pStyle w:val="Heading1"/>
        <w:rPr>
          <w:lang w:val="en-US"/>
        </w:rPr>
      </w:pPr>
      <w:r w:rsidRPr="00640439">
        <w:rPr>
          <w:lang w:val="en-US"/>
        </w:rPr>
        <w:t>Supplementary materials and methods</w:t>
      </w:r>
    </w:p>
    <w:p w14:paraId="1EA73939" w14:textId="77777777" w:rsidR="00B160EB" w:rsidRPr="005A44DF" w:rsidRDefault="00B160EB" w:rsidP="005A44DF"/>
    <w:p w14:paraId="24D5CFE7" w14:textId="77777777" w:rsidR="00B160EB" w:rsidRPr="00F02B77" w:rsidRDefault="00B160EB" w:rsidP="00F02B77">
      <w:pPr>
        <w:pStyle w:val="Heading2"/>
        <w:spacing w:line="480" w:lineRule="auto"/>
      </w:pPr>
      <w:r w:rsidRPr="00F02B77">
        <w:t xml:space="preserve">Intra-examiner calibration training </w:t>
      </w:r>
    </w:p>
    <w:p w14:paraId="570760EF" w14:textId="2685920B" w:rsidR="00B160EB" w:rsidRPr="003A3D06" w:rsidRDefault="00B160EB" w:rsidP="00395BCA">
      <w:pPr>
        <w:spacing w:line="480" w:lineRule="auto"/>
        <w:rPr>
          <w:rFonts w:asciiTheme="majorHAnsi" w:hAnsiTheme="majorHAnsi"/>
        </w:rPr>
      </w:pPr>
      <w:r w:rsidRPr="003A3D06">
        <w:rPr>
          <w:rFonts w:asciiTheme="majorHAnsi" w:hAnsiTheme="majorHAnsi"/>
        </w:rPr>
        <w:t>Prior to the study, intra-examiner calibration training in reproducibility of periodontal registration was conducted under supervision of an experienced periodontist (AIB</w:t>
      </w:r>
      <w:proofErr w:type="gramStart"/>
      <w:r w:rsidRPr="003A3D06">
        <w:rPr>
          <w:rFonts w:asciiTheme="majorHAnsi" w:hAnsiTheme="majorHAnsi"/>
        </w:rPr>
        <w:t>)</w:t>
      </w:r>
      <w:r w:rsidR="00E10FF4">
        <w:rPr>
          <w:rFonts w:asciiTheme="majorHAnsi" w:hAnsiTheme="majorHAnsi"/>
          <w:noProof/>
        </w:rPr>
        <w:t>[</w:t>
      </w:r>
      <w:proofErr w:type="gramEnd"/>
      <w:r w:rsidR="00E10FF4">
        <w:rPr>
          <w:rFonts w:asciiTheme="majorHAnsi" w:hAnsiTheme="majorHAnsi"/>
          <w:noProof/>
        </w:rPr>
        <w:t>1]</w:t>
      </w:r>
      <w:r w:rsidR="00A30B19">
        <w:rPr>
          <w:rFonts w:asciiTheme="majorHAnsi" w:hAnsiTheme="majorHAnsi"/>
        </w:rPr>
        <w:t xml:space="preserve">. </w:t>
      </w:r>
      <w:r w:rsidRPr="003A3D06">
        <w:rPr>
          <w:rFonts w:asciiTheme="majorHAnsi" w:hAnsiTheme="majorHAnsi"/>
        </w:rPr>
        <w:t xml:space="preserve">Duplicate full-mouth measurements of probing depth (PD), gingival recession (GR) and gingival height (GH) were performed, one hour apart (n = 9). All periodontal measurements </w:t>
      </w:r>
      <w:proofErr w:type="gramStart"/>
      <w:r w:rsidRPr="003A3D06">
        <w:rPr>
          <w:rFonts w:asciiTheme="majorHAnsi" w:hAnsiTheme="majorHAnsi"/>
        </w:rPr>
        <w:t>were rounded</w:t>
      </w:r>
      <w:proofErr w:type="gramEnd"/>
      <w:r w:rsidRPr="003A3D06">
        <w:rPr>
          <w:rFonts w:asciiTheme="majorHAnsi" w:hAnsiTheme="majorHAnsi"/>
        </w:rPr>
        <w:t xml:space="preserve"> to the nearest millimeter. PD </w:t>
      </w:r>
      <w:proofErr w:type="gramStart"/>
      <w:r w:rsidRPr="003A3D06">
        <w:rPr>
          <w:rFonts w:asciiTheme="majorHAnsi" w:hAnsiTheme="majorHAnsi"/>
        </w:rPr>
        <w:t>was defined</w:t>
      </w:r>
      <w:proofErr w:type="gramEnd"/>
      <w:r w:rsidRPr="003A3D06">
        <w:rPr>
          <w:rFonts w:asciiTheme="majorHAnsi" w:hAnsiTheme="majorHAnsi"/>
        </w:rPr>
        <w:t xml:space="preserve"> as the distance from the free gingival margin (FGM) to the base of the probable gingival sulcus. The GR </w:t>
      </w:r>
      <w:proofErr w:type="gramStart"/>
      <w:r w:rsidRPr="003A3D06">
        <w:rPr>
          <w:rFonts w:asciiTheme="majorHAnsi" w:hAnsiTheme="majorHAnsi"/>
        </w:rPr>
        <w:t>was measured</w:t>
      </w:r>
      <w:proofErr w:type="gramEnd"/>
      <w:r w:rsidRPr="003A3D06">
        <w:rPr>
          <w:rFonts w:asciiTheme="majorHAnsi" w:hAnsiTheme="majorHAnsi"/>
        </w:rPr>
        <w:t xml:space="preserve"> as the distance between </w:t>
      </w:r>
      <w:proofErr w:type="spellStart"/>
      <w:r w:rsidRPr="003A3D06">
        <w:rPr>
          <w:rFonts w:asciiTheme="majorHAnsi" w:hAnsiTheme="majorHAnsi"/>
        </w:rPr>
        <w:t>cemento</w:t>
      </w:r>
      <w:proofErr w:type="spellEnd"/>
      <w:r w:rsidRPr="003A3D06">
        <w:rPr>
          <w:rFonts w:asciiTheme="majorHAnsi" w:hAnsiTheme="majorHAnsi"/>
        </w:rPr>
        <w:t xml:space="preserve">-enamel junction (CEJ) and FGM if the FGM was located apical to the CEJ. In case that the FGM was located coronal to the CEJ, the GH </w:t>
      </w:r>
      <w:proofErr w:type="gramStart"/>
      <w:r w:rsidRPr="003A3D06">
        <w:rPr>
          <w:rFonts w:asciiTheme="majorHAnsi" w:hAnsiTheme="majorHAnsi"/>
        </w:rPr>
        <w:t>was measured</w:t>
      </w:r>
      <w:proofErr w:type="gramEnd"/>
      <w:r w:rsidRPr="003A3D06">
        <w:rPr>
          <w:rFonts w:asciiTheme="majorHAnsi" w:hAnsiTheme="majorHAnsi"/>
        </w:rPr>
        <w:t xml:space="preserve"> as the distance from the FGM to the CEJ. Clinical attachment level (CAL) </w:t>
      </w:r>
      <w:proofErr w:type="gramStart"/>
      <w:r w:rsidRPr="003A3D06">
        <w:rPr>
          <w:rFonts w:asciiTheme="majorHAnsi" w:hAnsiTheme="majorHAnsi"/>
        </w:rPr>
        <w:t>was measured</w:t>
      </w:r>
      <w:proofErr w:type="gramEnd"/>
      <w:r w:rsidRPr="003A3D06">
        <w:rPr>
          <w:rFonts w:asciiTheme="majorHAnsi" w:hAnsiTheme="majorHAnsi"/>
        </w:rPr>
        <w:t xml:space="preserve"> indirectly by calculating PD plus GR or PD minus GH depending on the localization of the FGM. The intra-examiner percentage accuracy and reproducibility for each of the duplicate measurements </w:t>
      </w:r>
      <w:proofErr w:type="gramStart"/>
      <w:r w:rsidRPr="003A3D06">
        <w:rPr>
          <w:rFonts w:asciiTheme="majorHAnsi" w:hAnsiTheme="majorHAnsi"/>
        </w:rPr>
        <w:t>was calculated</w:t>
      </w:r>
      <w:proofErr w:type="gramEnd"/>
      <w:r w:rsidRPr="003A3D06">
        <w:rPr>
          <w:rFonts w:asciiTheme="majorHAnsi" w:hAnsiTheme="majorHAnsi"/>
        </w:rPr>
        <w:t xml:space="preserve"> separately for each site and analyzed using repeated measures analysis of variance (ANOVA). The intra-class correlation coefficient (ICC) ranged between 0.83 – 0.91 for PD and 0.93 – 0.98 for CAL.</w:t>
      </w:r>
    </w:p>
    <w:p w14:paraId="042AD92D" w14:textId="2DA7B0F4" w:rsidR="00B160EB" w:rsidRPr="003A3D06" w:rsidRDefault="128F2D00" w:rsidP="00F02B77">
      <w:pPr>
        <w:pStyle w:val="Heading2"/>
        <w:rPr>
          <w:bCs/>
        </w:rPr>
      </w:pPr>
      <w:r w:rsidRPr="128F2D00">
        <w:t>Oral examination on periodontal status</w:t>
      </w:r>
    </w:p>
    <w:p w14:paraId="0B1A14E9" w14:textId="2F7A1C05" w:rsidR="128F2D00" w:rsidRDefault="128F2D00" w:rsidP="128F2D00"/>
    <w:p w14:paraId="74877EB4" w14:textId="03BFE6EF" w:rsidR="00B160EB" w:rsidRPr="003A3D06" w:rsidRDefault="00B160EB" w:rsidP="00395BCA">
      <w:pPr>
        <w:spacing w:line="480" w:lineRule="auto"/>
        <w:rPr>
          <w:rFonts w:asciiTheme="majorHAnsi" w:hAnsiTheme="majorHAnsi"/>
        </w:rPr>
      </w:pPr>
      <w:r w:rsidRPr="003A3D06">
        <w:rPr>
          <w:rFonts w:asciiTheme="majorHAnsi" w:hAnsiTheme="majorHAnsi"/>
        </w:rPr>
        <w:t>All RA patients underwent a comprehensive periodontal examination including registration of PD, CAL, bleeding on probing (BoP) and accumulation of dental plaque (PI) assessed at six sites per tooth (</w:t>
      </w:r>
      <w:proofErr w:type="spellStart"/>
      <w:r w:rsidRPr="003A3D06">
        <w:rPr>
          <w:rFonts w:asciiTheme="majorHAnsi" w:hAnsiTheme="majorHAnsi"/>
        </w:rPr>
        <w:t>disto</w:t>
      </w:r>
      <w:proofErr w:type="spellEnd"/>
      <w:r w:rsidRPr="003A3D06">
        <w:rPr>
          <w:rFonts w:asciiTheme="majorHAnsi" w:hAnsiTheme="majorHAnsi"/>
        </w:rPr>
        <w:t xml:space="preserve">-buccal, buccal, </w:t>
      </w:r>
      <w:proofErr w:type="spellStart"/>
      <w:r w:rsidRPr="003A3D06">
        <w:rPr>
          <w:rFonts w:asciiTheme="majorHAnsi" w:hAnsiTheme="majorHAnsi"/>
        </w:rPr>
        <w:t>mesio</w:t>
      </w:r>
      <w:proofErr w:type="spellEnd"/>
      <w:r w:rsidRPr="003A3D06">
        <w:rPr>
          <w:rFonts w:asciiTheme="majorHAnsi" w:hAnsiTheme="majorHAnsi"/>
        </w:rPr>
        <w:t xml:space="preserve">-buccal, </w:t>
      </w:r>
      <w:proofErr w:type="spellStart"/>
      <w:r w:rsidRPr="003A3D06">
        <w:rPr>
          <w:rFonts w:asciiTheme="majorHAnsi" w:hAnsiTheme="majorHAnsi"/>
        </w:rPr>
        <w:t>mesio</w:t>
      </w:r>
      <w:proofErr w:type="spellEnd"/>
      <w:r w:rsidRPr="003A3D06">
        <w:rPr>
          <w:rFonts w:asciiTheme="majorHAnsi" w:hAnsiTheme="majorHAnsi"/>
        </w:rPr>
        <w:t xml:space="preserve">-oral, oral, </w:t>
      </w:r>
      <w:proofErr w:type="spellStart"/>
      <w:r w:rsidRPr="003A3D06">
        <w:rPr>
          <w:rFonts w:asciiTheme="majorHAnsi" w:hAnsiTheme="majorHAnsi"/>
        </w:rPr>
        <w:t>disto</w:t>
      </w:r>
      <w:proofErr w:type="spellEnd"/>
      <w:r w:rsidRPr="003A3D06">
        <w:rPr>
          <w:rFonts w:asciiTheme="majorHAnsi" w:hAnsiTheme="majorHAnsi"/>
        </w:rPr>
        <w:t>-oral) using a manual periodontal probe with 2 mm increments (PCP-26, Hu-</w:t>
      </w:r>
      <w:proofErr w:type="spellStart"/>
      <w:r w:rsidRPr="003A3D06">
        <w:rPr>
          <w:rFonts w:asciiTheme="majorHAnsi" w:hAnsiTheme="majorHAnsi"/>
        </w:rPr>
        <w:t>Friedy</w:t>
      </w:r>
      <w:proofErr w:type="spellEnd"/>
      <w:r w:rsidRPr="003A3D06">
        <w:rPr>
          <w:rFonts w:asciiTheme="majorHAnsi" w:hAnsiTheme="majorHAnsi"/>
        </w:rPr>
        <w:t xml:space="preserve">®, Chicago, IL, USA). Third molars </w:t>
      </w:r>
      <w:proofErr w:type="gramStart"/>
      <w:r w:rsidRPr="003A3D06">
        <w:rPr>
          <w:rFonts w:asciiTheme="majorHAnsi" w:hAnsiTheme="majorHAnsi"/>
        </w:rPr>
        <w:t>were excluded</w:t>
      </w:r>
      <w:proofErr w:type="gramEnd"/>
      <w:r w:rsidRPr="003A3D06">
        <w:rPr>
          <w:rFonts w:asciiTheme="majorHAnsi" w:hAnsiTheme="majorHAnsi"/>
        </w:rPr>
        <w:t xml:space="preserve"> (except when in position of second molars). The BoP, registered as present or absent, </w:t>
      </w:r>
      <w:proofErr w:type="gramStart"/>
      <w:r w:rsidRPr="003A3D06">
        <w:rPr>
          <w:rFonts w:asciiTheme="majorHAnsi" w:hAnsiTheme="majorHAnsi"/>
        </w:rPr>
        <w:t>was assessed</w:t>
      </w:r>
      <w:proofErr w:type="gramEnd"/>
      <w:r w:rsidRPr="003A3D06">
        <w:rPr>
          <w:rFonts w:asciiTheme="majorHAnsi" w:hAnsiTheme="majorHAnsi"/>
        </w:rPr>
        <w:t xml:space="preserve"> based on </w:t>
      </w:r>
      <w:r w:rsidRPr="003A3D06">
        <w:rPr>
          <w:rFonts w:asciiTheme="majorHAnsi" w:hAnsiTheme="majorHAnsi"/>
        </w:rPr>
        <w:lastRenderedPageBreak/>
        <w:t>gingival bleeding within 30 sec following periodontal probing to the base of the probable ging</w:t>
      </w:r>
      <w:r w:rsidR="00291A21">
        <w:rPr>
          <w:rFonts w:asciiTheme="majorHAnsi" w:hAnsiTheme="majorHAnsi"/>
        </w:rPr>
        <w:t xml:space="preserve">ival sulcus, as a modification </w:t>
      </w:r>
      <w:r w:rsidRPr="003A3D06">
        <w:rPr>
          <w:rFonts w:asciiTheme="majorHAnsi" w:hAnsiTheme="majorHAnsi"/>
        </w:rPr>
        <w:t xml:space="preserve">of the method of </w:t>
      </w:r>
      <w:proofErr w:type="spellStart"/>
      <w:r w:rsidRPr="003A3D06">
        <w:rPr>
          <w:rFonts w:asciiTheme="majorHAnsi" w:hAnsiTheme="majorHAnsi"/>
        </w:rPr>
        <w:t>Ainamo</w:t>
      </w:r>
      <w:proofErr w:type="spellEnd"/>
      <w:r w:rsidRPr="003A3D06">
        <w:rPr>
          <w:rFonts w:asciiTheme="majorHAnsi" w:hAnsiTheme="majorHAnsi"/>
        </w:rPr>
        <w:t xml:space="preserve"> &amp; Bay </w:t>
      </w:r>
      <w:r w:rsidR="00E10FF4">
        <w:rPr>
          <w:rFonts w:asciiTheme="majorHAnsi" w:hAnsiTheme="majorHAnsi"/>
          <w:noProof/>
        </w:rPr>
        <w:t>[2]</w:t>
      </w:r>
      <w:r w:rsidRPr="003A3D06">
        <w:rPr>
          <w:rFonts w:asciiTheme="majorHAnsi" w:hAnsiTheme="majorHAnsi"/>
        </w:rPr>
        <w:t xml:space="preserve">. Based on the percentage of the dichotomous scores, a gingival BoP index was calculated. Dental plaque </w:t>
      </w:r>
      <w:proofErr w:type="gramStart"/>
      <w:r w:rsidRPr="003A3D06">
        <w:rPr>
          <w:rFonts w:asciiTheme="majorHAnsi" w:hAnsiTheme="majorHAnsi"/>
        </w:rPr>
        <w:t>was stained</w:t>
      </w:r>
      <w:proofErr w:type="gramEnd"/>
      <w:r w:rsidRPr="003A3D06">
        <w:rPr>
          <w:rFonts w:asciiTheme="majorHAnsi" w:hAnsiTheme="majorHAnsi"/>
        </w:rPr>
        <w:t xml:space="preserve"> with fluorescent disclosing solution (Plaque Test, </w:t>
      </w:r>
      <w:proofErr w:type="spellStart"/>
      <w:r w:rsidRPr="003A3D06">
        <w:rPr>
          <w:rFonts w:asciiTheme="majorHAnsi" w:hAnsiTheme="majorHAnsi"/>
        </w:rPr>
        <w:t>Ivoclar</w:t>
      </w:r>
      <w:proofErr w:type="spellEnd"/>
      <w:r w:rsidRPr="003A3D06">
        <w:rPr>
          <w:rFonts w:asciiTheme="majorHAnsi" w:hAnsiTheme="majorHAnsi"/>
        </w:rPr>
        <w:t xml:space="preserve"> </w:t>
      </w:r>
      <w:proofErr w:type="spellStart"/>
      <w:r w:rsidRPr="003A3D06">
        <w:rPr>
          <w:rFonts w:asciiTheme="majorHAnsi" w:hAnsiTheme="majorHAnsi"/>
        </w:rPr>
        <w:t>Vivadent</w:t>
      </w:r>
      <w:proofErr w:type="spellEnd"/>
      <w:r w:rsidRPr="003A3D06">
        <w:rPr>
          <w:rFonts w:asciiTheme="majorHAnsi" w:hAnsiTheme="majorHAnsi"/>
        </w:rPr>
        <w:t xml:space="preserve"> AG, Liechtenstein) and </w:t>
      </w:r>
      <w:r w:rsidR="00410CF0" w:rsidRPr="003A3D06">
        <w:rPr>
          <w:rFonts w:asciiTheme="majorHAnsi" w:hAnsiTheme="majorHAnsi"/>
        </w:rPr>
        <w:t>visualized</w:t>
      </w:r>
      <w:r w:rsidRPr="003A3D06">
        <w:rPr>
          <w:rFonts w:asciiTheme="majorHAnsi" w:hAnsiTheme="majorHAnsi"/>
        </w:rPr>
        <w:t xml:space="preserve"> using ultraviolet light (</w:t>
      </w:r>
      <w:proofErr w:type="spellStart"/>
      <w:r w:rsidRPr="003A3D06">
        <w:rPr>
          <w:rFonts w:asciiTheme="majorHAnsi" w:hAnsiTheme="majorHAnsi"/>
        </w:rPr>
        <w:t>Satelec</w:t>
      </w:r>
      <w:proofErr w:type="spellEnd"/>
      <w:r w:rsidRPr="003A3D06">
        <w:rPr>
          <w:rFonts w:asciiTheme="majorHAnsi" w:hAnsiTheme="majorHAnsi"/>
        </w:rPr>
        <w:t xml:space="preserve"> Mini LED, </w:t>
      </w:r>
      <w:proofErr w:type="spellStart"/>
      <w:r w:rsidRPr="003A3D06">
        <w:rPr>
          <w:rFonts w:asciiTheme="majorHAnsi" w:hAnsiTheme="majorHAnsi"/>
        </w:rPr>
        <w:t>Kaltenbach</w:t>
      </w:r>
      <w:proofErr w:type="spellEnd"/>
      <w:r w:rsidRPr="003A3D06">
        <w:rPr>
          <w:rFonts w:asciiTheme="majorHAnsi" w:hAnsiTheme="majorHAnsi"/>
        </w:rPr>
        <w:t xml:space="preserve"> &amp; Voigt GmbH, Germany) according to manufacturer’s recommendations. As a supplement to staining, the periodontal probe </w:t>
      </w:r>
      <w:proofErr w:type="gramStart"/>
      <w:r w:rsidRPr="003A3D06">
        <w:rPr>
          <w:rFonts w:asciiTheme="majorHAnsi" w:hAnsiTheme="majorHAnsi"/>
        </w:rPr>
        <w:t>was used</w:t>
      </w:r>
      <w:proofErr w:type="gramEnd"/>
      <w:r w:rsidRPr="003A3D06">
        <w:rPr>
          <w:rFonts w:asciiTheme="majorHAnsi" w:hAnsiTheme="majorHAnsi"/>
        </w:rPr>
        <w:t xml:space="preserve"> to discriminate between plaque and pellicle. The PI </w:t>
      </w:r>
      <w:proofErr w:type="gramStart"/>
      <w:r w:rsidRPr="003A3D06">
        <w:rPr>
          <w:rFonts w:asciiTheme="majorHAnsi" w:hAnsiTheme="majorHAnsi"/>
        </w:rPr>
        <w:t>was calculated</w:t>
      </w:r>
      <w:proofErr w:type="gramEnd"/>
      <w:r w:rsidRPr="003A3D06">
        <w:rPr>
          <w:rFonts w:asciiTheme="majorHAnsi" w:hAnsiTheme="majorHAnsi"/>
        </w:rPr>
        <w:t xml:space="preserve"> as percentage of stained tooth surfaces </w:t>
      </w:r>
      <w:r w:rsidR="00E10FF4">
        <w:rPr>
          <w:rFonts w:asciiTheme="majorHAnsi" w:hAnsiTheme="majorHAnsi"/>
          <w:noProof/>
        </w:rPr>
        <w:t>[3]</w:t>
      </w:r>
      <w:r w:rsidRPr="003A3D06">
        <w:rPr>
          <w:rFonts w:asciiTheme="majorHAnsi" w:hAnsiTheme="majorHAnsi"/>
        </w:rPr>
        <w:t xml:space="preserve">. The degree of tooth mobility </w:t>
      </w:r>
      <w:proofErr w:type="gramStart"/>
      <w:r w:rsidRPr="003A3D06">
        <w:rPr>
          <w:rFonts w:asciiTheme="majorHAnsi" w:hAnsiTheme="majorHAnsi"/>
        </w:rPr>
        <w:t>was recorded</w:t>
      </w:r>
      <w:proofErr w:type="gramEnd"/>
      <w:r w:rsidRPr="003A3D06">
        <w:rPr>
          <w:rFonts w:asciiTheme="majorHAnsi" w:hAnsiTheme="majorHAnsi"/>
        </w:rPr>
        <w:t xml:space="preserve"> using the Miller index </w:t>
      </w:r>
      <w:r w:rsidR="00E10FF4">
        <w:rPr>
          <w:rFonts w:asciiTheme="majorHAnsi" w:hAnsiTheme="majorHAnsi"/>
          <w:noProof/>
        </w:rPr>
        <w:t>[4]</w:t>
      </w:r>
      <w:r w:rsidRPr="003A3D06">
        <w:rPr>
          <w:rFonts w:asciiTheme="majorHAnsi" w:hAnsiTheme="majorHAnsi"/>
        </w:rPr>
        <w:t xml:space="preserve">. For multi-rooted </w:t>
      </w:r>
      <w:proofErr w:type="gramStart"/>
      <w:r w:rsidRPr="003A3D06">
        <w:rPr>
          <w:rFonts w:asciiTheme="majorHAnsi" w:hAnsiTheme="majorHAnsi"/>
        </w:rPr>
        <w:t>teeth</w:t>
      </w:r>
      <w:proofErr w:type="gramEnd"/>
      <w:r w:rsidRPr="003A3D06">
        <w:rPr>
          <w:rFonts w:asciiTheme="majorHAnsi" w:hAnsiTheme="majorHAnsi"/>
        </w:rPr>
        <w:t xml:space="preserve"> the degree of furcation involvement was obtained </w:t>
      </w:r>
      <w:r w:rsidR="00E10FF4">
        <w:rPr>
          <w:rFonts w:asciiTheme="majorHAnsi" w:hAnsiTheme="majorHAnsi"/>
          <w:noProof/>
        </w:rPr>
        <w:t>[5]</w:t>
      </w:r>
      <w:r w:rsidRPr="003A3D06">
        <w:rPr>
          <w:rFonts w:asciiTheme="majorHAnsi" w:hAnsiTheme="majorHAnsi"/>
        </w:rPr>
        <w:t xml:space="preserve">. After clinical examination, a full mouth series of intra-oral radiographs </w:t>
      </w:r>
      <w:proofErr w:type="gramStart"/>
      <w:r w:rsidRPr="003A3D06">
        <w:rPr>
          <w:rFonts w:asciiTheme="majorHAnsi" w:hAnsiTheme="majorHAnsi"/>
        </w:rPr>
        <w:t>were taken</w:t>
      </w:r>
      <w:proofErr w:type="gramEnd"/>
      <w:r w:rsidRPr="003A3D06">
        <w:rPr>
          <w:rFonts w:asciiTheme="majorHAnsi" w:hAnsiTheme="majorHAnsi"/>
        </w:rPr>
        <w:t xml:space="preserve"> for patients with PD ≥ 4mm. Minor series containing molar/premolar bitewing radiographs and periapical radiographs of the upper and lower front teeth were taken for patients with PD ≤ 3 mm.</w:t>
      </w:r>
    </w:p>
    <w:p w14:paraId="35F77E72" w14:textId="77777777" w:rsidR="00B160EB" w:rsidRPr="003A3D06" w:rsidRDefault="00B160EB" w:rsidP="00395BCA">
      <w:pPr>
        <w:spacing w:line="480" w:lineRule="auto"/>
        <w:rPr>
          <w:rFonts w:asciiTheme="majorHAnsi" w:hAnsiTheme="majorHAnsi"/>
          <w:b/>
        </w:rPr>
      </w:pPr>
    </w:p>
    <w:p w14:paraId="4D8D67A0" w14:textId="77777777" w:rsidR="00B160EB" w:rsidRPr="00F02B77" w:rsidRDefault="00B160EB" w:rsidP="00F02B77">
      <w:pPr>
        <w:pStyle w:val="Heading2"/>
      </w:pPr>
      <w:r w:rsidRPr="00F02B77">
        <w:t>Sample processing and 16S rDNA amplicon sequencing</w:t>
      </w:r>
    </w:p>
    <w:p w14:paraId="302C2B8D" w14:textId="77777777" w:rsidR="00B160EB" w:rsidRPr="003A3D06" w:rsidRDefault="00B160EB" w:rsidP="00395BCA">
      <w:pPr>
        <w:spacing w:line="480" w:lineRule="auto"/>
        <w:rPr>
          <w:rFonts w:asciiTheme="majorHAnsi" w:hAnsiTheme="majorHAnsi"/>
        </w:rPr>
      </w:pPr>
    </w:p>
    <w:p w14:paraId="3F72D5D2" w14:textId="40053277" w:rsidR="00B160EB" w:rsidRPr="003A3D06" w:rsidRDefault="00B160EB" w:rsidP="00395BCA">
      <w:pPr>
        <w:spacing w:line="480" w:lineRule="auto"/>
        <w:rPr>
          <w:rFonts w:asciiTheme="majorHAnsi" w:hAnsiTheme="majorHAnsi"/>
        </w:rPr>
      </w:pPr>
      <w:r w:rsidRPr="003A3D06">
        <w:rPr>
          <w:rFonts w:asciiTheme="majorHAnsi" w:hAnsiTheme="majorHAnsi"/>
          <w:bCs/>
        </w:rPr>
        <w:t xml:space="preserve">The tubes containing subgingival plaque were thawed and centrifuged for 15 min at </w:t>
      </w:r>
      <w:proofErr w:type="gramStart"/>
      <w:r w:rsidRPr="003A3D06">
        <w:rPr>
          <w:rFonts w:asciiTheme="majorHAnsi" w:hAnsiTheme="majorHAnsi"/>
          <w:bCs/>
        </w:rPr>
        <w:t>15871 x</w:t>
      </w:r>
      <w:proofErr w:type="gramEnd"/>
      <w:r w:rsidRPr="003A3D06">
        <w:rPr>
          <w:rFonts w:asciiTheme="majorHAnsi" w:hAnsiTheme="majorHAnsi"/>
          <w:bCs/>
        </w:rPr>
        <w:t xml:space="preserve"> g. The supernatant was removed and the pellet was </w:t>
      </w:r>
      <w:proofErr w:type="spellStart"/>
      <w:r w:rsidRPr="003A3D06">
        <w:rPr>
          <w:rFonts w:asciiTheme="majorHAnsi" w:hAnsiTheme="majorHAnsi"/>
          <w:bCs/>
        </w:rPr>
        <w:t>resuspended</w:t>
      </w:r>
      <w:proofErr w:type="spellEnd"/>
      <w:r w:rsidRPr="003A3D06">
        <w:rPr>
          <w:rFonts w:asciiTheme="majorHAnsi" w:hAnsiTheme="majorHAnsi"/>
          <w:bCs/>
        </w:rPr>
        <w:t xml:space="preserve"> in 150 µl sterile </w:t>
      </w:r>
      <w:proofErr w:type="spellStart"/>
      <w:r w:rsidRPr="003A3D06">
        <w:rPr>
          <w:rFonts w:asciiTheme="majorHAnsi" w:hAnsiTheme="majorHAnsi"/>
          <w:bCs/>
        </w:rPr>
        <w:t>Tris</w:t>
      </w:r>
      <w:proofErr w:type="spellEnd"/>
      <w:r w:rsidRPr="003A3D06">
        <w:rPr>
          <w:rFonts w:asciiTheme="majorHAnsi" w:hAnsiTheme="majorHAnsi"/>
          <w:bCs/>
        </w:rPr>
        <w:t>-EDTA (TE) buffer and transferred to a 2</w:t>
      </w:r>
      <w:r w:rsidRPr="003A3D06">
        <w:rPr>
          <w:rFonts w:asciiTheme="majorHAnsi" w:hAnsiTheme="majorHAnsi"/>
        </w:rPr>
        <w:t xml:space="preserve"> ml </w:t>
      </w:r>
      <w:proofErr w:type="spellStart"/>
      <w:r w:rsidRPr="003A3D06">
        <w:rPr>
          <w:rFonts w:asciiTheme="majorHAnsi" w:hAnsiTheme="majorHAnsi"/>
        </w:rPr>
        <w:t>deepwell</w:t>
      </w:r>
      <w:proofErr w:type="spellEnd"/>
      <w:r w:rsidRPr="003A3D06">
        <w:rPr>
          <w:rFonts w:asciiTheme="majorHAnsi" w:hAnsiTheme="majorHAnsi"/>
        </w:rPr>
        <w:t xml:space="preserve"> plate (</w:t>
      </w:r>
      <w:proofErr w:type="spellStart"/>
      <w:r w:rsidRPr="003A3D06">
        <w:rPr>
          <w:rFonts w:asciiTheme="majorHAnsi" w:hAnsiTheme="majorHAnsi"/>
        </w:rPr>
        <w:t>Axygen</w:t>
      </w:r>
      <w:proofErr w:type="spellEnd"/>
      <w:r w:rsidRPr="003A3D06">
        <w:rPr>
          <w:rFonts w:asciiTheme="majorHAnsi" w:hAnsiTheme="majorHAnsi"/>
        </w:rPr>
        <w:t xml:space="preserve"> scientific </w:t>
      </w:r>
      <w:proofErr w:type="spellStart"/>
      <w:proofErr w:type="gramStart"/>
      <w:r w:rsidRPr="003A3D06">
        <w:rPr>
          <w:rFonts w:asciiTheme="majorHAnsi" w:hAnsiTheme="majorHAnsi"/>
        </w:rPr>
        <w:t>inc</w:t>
      </w:r>
      <w:proofErr w:type="spellEnd"/>
      <w:proofErr w:type="gramEnd"/>
      <w:r w:rsidRPr="003A3D06">
        <w:rPr>
          <w:rFonts w:asciiTheme="majorHAnsi" w:hAnsiTheme="majorHAnsi"/>
        </w:rPr>
        <w:t xml:space="preserve">, CA, USA). The </w:t>
      </w:r>
      <w:proofErr w:type="spellStart"/>
      <w:r w:rsidRPr="003A3D06">
        <w:rPr>
          <w:rFonts w:asciiTheme="majorHAnsi" w:hAnsiTheme="majorHAnsi"/>
        </w:rPr>
        <w:t>deepwell</w:t>
      </w:r>
      <w:proofErr w:type="spellEnd"/>
      <w:r w:rsidRPr="003A3D06">
        <w:rPr>
          <w:rFonts w:asciiTheme="majorHAnsi" w:hAnsiTheme="majorHAnsi"/>
        </w:rPr>
        <w:t xml:space="preserve"> plate contained 500 µl 0.1 mm </w:t>
      </w:r>
      <w:proofErr w:type="spellStart"/>
      <w:r w:rsidRPr="003A3D06">
        <w:rPr>
          <w:rFonts w:asciiTheme="majorHAnsi" w:hAnsiTheme="majorHAnsi"/>
        </w:rPr>
        <w:t>Zyrconia</w:t>
      </w:r>
      <w:proofErr w:type="spellEnd"/>
      <w:r w:rsidRPr="003A3D06">
        <w:rPr>
          <w:rFonts w:asciiTheme="majorHAnsi" w:hAnsiTheme="majorHAnsi"/>
        </w:rPr>
        <w:t xml:space="preserve"> beads, </w:t>
      </w:r>
      <w:proofErr w:type="gramStart"/>
      <w:r w:rsidRPr="003A3D06">
        <w:rPr>
          <w:rFonts w:asciiTheme="majorHAnsi" w:hAnsiTheme="majorHAnsi"/>
        </w:rPr>
        <w:t>500 µl</w:t>
      </w:r>
      <w:proofErr w:type="gramEnd"/>
      <w:r w:rsidRPr="003A3D06">
        <w:rPr>
          <w:rFonts w:asciiTheme="majorHAnsi" w:hAnsiTheme="majorHAnsi"/>
        </w:rPr>
        <w:t xml:space="preserve"> phenol (</w:t>
      </w:r>
      <w:proofErr w:type="spellStart"/>
      <w:r w:rsidRPr="003A3D06">
        <w:rPr>
          <w:rFonts w:asciiTheme="majorHAnsi" w:hAnsiTheme="majorHAnsi"/>
        </w:rPr>
        <w:t>Rotiphenol</w:t>
      </w:r>
      <w:proofErr w:type="spellEnd"/>
      <w:r w:rsidRPr="003A3D06">
        <w:rPr>
          <w:rFonts w:asciiTheme="majorHAnsi" w:hAnsiTheme="majorHAnsi"/>
        </w:rPr>
        <w:t xml:space="preserve">, Carl Roth </w:t>
      </w:r>
      <w:proofErr w:type="spellStart"/>
      <w:r w:rsidRPr="003A3D06">
        <w:rPr>
          <w:rFonts w:asciiTheme="majorHAnsi" w:hAnsiTheme="majorHAnsi"/>
        </w:rPr>
        <w:t>GMBH&amp;Co</w:t>
      </w:r>
      <w:proofErr w:type="spellEnd"/>
      <w:r w:rsidRPr="003A3D06">
        <w:rPr>
          <w:rFonts w:asciiTheme="majorHAnsi" w:hAnsiTheme="majorHAnsi"/>
        </w:rPr>
        <w:t xml:space="preserve">. KG, Germany) and 350 </w:t>
      </w:r>
      <w:r w:rsidRPr="003A3D06">
        <w:rPr>
          <w:rFonts w:asciiTheme="majorHAnsi" w:hAnsiTheme="majorHAnsi"/>
          <w:bCs/>
        </w:rPr>
        <w:t>µl</w:t>
      </w:r>
      <w:r w:rsidRPr="003A3D06">
        <w:rPr>
          <w:rFonts w:asciiTheme="majorHAnsi" w:hAnsiTheme="majorHAnsi"/>
        </w:rPr>
        <w:t xml:space="preserve"> lysis buffer (</w:t>
      </w:r>
      <w:proofErr w:type="spellStart"/>
      <w:r w:rsidRPr="003A3D06">
        <w:rPr>
          <w:rFonts w:asciiTheme="majorHAnsi" w:hAnsiTheme="majorHAnsi"/>
        </w:rPr>
        <w:t>MagMini</w:t>
      </w:r>
      <w:proofErr w:type="spellEnd"/>
      <w:r w:rsidRPr="003A3D06">
        <w:rPr>
          <w:rFonts w:asciiTheme="majorHAnsi" w:hAnsiTheme="majorHAnsi"/>
        </w:rPr>
        <w:t xml:space="preserve"> DNA isolation kit, LCG Genomics Ltd, UK). The </w:t>
      </w:r>
      <w:proofErr w:type="spellStart"/>
      <w:r w:rsidRPr="003A3D06">
        <w:rPr>
          <w:rFonts w:asciiTheme="majorHAnsi" w:hAnsiTheme="majorHAnsi"/>
        </w:rPr>
        <w:t>deepwell</w:t>
      </w:r>
      <w:proofErr w:type="spellEnd"/>
      <w:r w:rsidRPr="003A3D06">
        <w:rPr>
          <w:rFonts w:asciiTheme="majorHAnsi" w:hAnsiTheme="majorHAnsi"/>
        </w:rPr>
        <w:t xml:space="preserve"> plate was sealed with a silicone lid (</w:t>
      </w:r>
      <w:proofErr w:type="spellStart"/>
      <w:r w:rsidRPr="003A3D06">
        <w:rPr>
          <w:rFonts w:asciiTheme="majorHAnsi" w:hAnsiTheme="majorHAnsi"/>
        </w:rPr>
        <w:t>Axygen</w:t>
      </w:r>
      <w:proofErr w:type="spellEnd"/>
      <w:r w:rsidRPr="003A3D06">
        <w:rPr>
          <w:rFonts w:asciiTheme="majorHAnsi" w:hAnsiTheme="majorHAnsi"/>
        </w:rPr>
        <w:t xml:space="preserve"> Scientific </w:t>
      </w:r>
      <w:proofErr w:type="spellStart"/>
      <w:r w:rsidRPr="003A3D06">
        <w:rPr>
          <w:rFonts w:asciiTheme="majorHAnsi" w:hAnsiTheme="majorHAnsi"/>
        </w:rPr>
        <w:t>inc</w:t>
      </w:r>
      <w:proofErr w:type="spellEnd"/>
      <w:r w:rsidRPr="003A3D06">
        <w:rPr>
          <w:rFonts w:asciiTheme="majorHAnsi" w:hAnsiTheme="majorHAnsi"/>
        </w:rPr>
        <w:t xml:space="preserve">, CA, USA) and </w:t>
      </w:r>
      <w:r w:rsidRPr="003A3D06">
        <w:rPr>
          <w:rFonts w:asciiTheme="majorHAnsi" w:hAnsiTheme="majorHAnsi"/>
          <w:bCs/>
        </w:rPr>
        <w:t xml:space="preserve">placed in a Mini-BeadBeater-96 ( </w:t>
      </w:r>
      <w:proofErr w:type="spellStart"/>
      <w:r w:rsidRPr="003A3D06">
        <w:rPr>
          <w:rFonts w:asciiTheme="majorHAnsi" w:hAnsiTheme="majorHAnsi"/>
          <w:bCs/>
        </w:rPr>
        <w:t>BioSpec</w:t>
      </w:r>
      <w:proofErr w:type="spellEnd"/>
      <w:r w:rsidRPr="003A3D06">
        <w:rPr>
          <w:rFonts w:asciiTheme="majorHAnsi" w:hAnsiTheme="majorHAnsi"/>
          <w:bCs/>
        </w:rPr>
        <w:t xml:space="preserve"> products, Bartlesville, OK, USA) for 2 min at 2100 oscillations/min. DNA was extracted using the Mag Mini DNA Isolation Kit. </w:t>
      </w:r>
      <w:r w:rsidRPr="003A3D06">
        <w:rPr>
          <w:rFonts w:asciiTheme="majorHAnsi" w:hAnsiTheme="majorHAnsi"/>
        </w:rPr>
        <w:t xml:space="preserve">Bacterial DNA concentration after purification </w:t>
      </w:r>
      <w:proofErr w:type="gramStart"/>
      <w:r w:rsidRPr="003A3D06">
        <w:rPr>
          <w:rFonts w:asciiTheme="majorHAnsi" w:hAnsiTheme="majorHAnsi"/>
        </w:rPr>
        <w:t xml:space="preserve">was </w:t>
      </w:r>
      <w:r w:rsidRPr="003A3D06">
        <w:rPr>
          <w:rFonts w:asciiTheme="majorHAnsi" w:hAnsiTheme="majorHAnsi"/>
        </w:rPr>
        <w:lastRenderedPageBreak/>
        <w:t>determined</w:t>
      </w:r>
      <w:proofErr w:type="gramEnd"/>
      <w:r w:rsidRPr="003A3D06">
        <w:rPr>
          <w:rFonts w:asciiTheme="majorHAnsi" w:hAnsiTheme="majorHAnsi"/>
        </w:rPr>
        <w:t xml:space="preserve"> by quantitative polymerase chain reaction (qPCR), with primers specific to the bacterial 16S </w:t>
      </w:r>
      <w:proofErr w:type="spellStart"/>
      <w:r w:rsidRPr="003A3D06">
        <w:rPr>
          <w:rFonts w:asciiTheme="majorHAnsi" w:hAnsiTheme="majorHAnsi"/>
        </w:rPr>
        <w:t>rRNA</w:t>
      </w:r>
      <w:proofErr w:type="spellEnd"/>
      <w:r w:rsidRPr="003A3D06">
        <w:rPr>
          <w:rFonts w:asciiTheme="majorHAnsi" w:hAnsiTheme="majorHAnsi"/>
        </w:rPr>
        <w:t xml:space="preserve"> gene </w:t>
      </w:r>
      <w:r w:rsidR="00E10FF4">
        <w:rPr>
          <w:rFonts w:asciiTheme="majorHAnsi" w:hAnsiTheme="majorHAnsi"/>
          <w:noProof/>
        </w:rPr>
        <w:t>[6]</w:t>
      </w:r>
      <w:r w:rsidRPr="003A3D06">
        <w:rPr>
          <w:rFonts w:asciiTheme="majorHAnsi" w:hAnsiTheme="majorHAnsi"/>
        </w:rPr>
        <w:t xml:space="preserve">. </w:t>
      </w:r>
    </w:p>
    <w:p w14:paraId="735BEFE7" w14:textId="77777777" w:rsidR="00B160EB" w:rsidRPr="003A3D06" w:rsidRDefault="00B160EB" w:rsidP="00395BCA">
      <w:pPr>
        <w:spacing w:line="480" w:lineRule="auto"/>
        <w:rPr>
          <w:rFonts w:asciiTheme="majorHAnsi" w:hAnsiTheme="majorHAnsi"/>
        </w:rPr>
      </w:pPr>
    </w:p>
    <w:p w14:paraId="16CDBD28" w14:textId="4AFC526E" w:rsidR="00B160EB" w:rsidRPr="003A3D06" w:rsidRDefault="00B160EB" w:rsidP="00395BCA">
      <w:pPr>
        <w:spacing w:line="480" w:lineRule="auto"/>
        <w:rPr>
          <w:rFonts w:asciiTheme="majorHAnsi" w:hAnsiTheme="majorHAnsi"/>
        </w:rPr>
      </w:pPr>
      <w:r w:rsidRPr="003A3D06">
        <w:rPr>
          <w:rFonts w:asciiTheme="majorHAnsi" w:hAnsiTheme="majorHAnsi"/>
        </w:rPr>
        <w:t xml:space="preserve">The V4 hypervariable region of the 16S </w:t>
      </w:r>
      <w:proofErr w:type="spellStart"/>
      <w:r w:rsidRPr="003A3D06">
        <w:rPr>
          <w:rFonts w:asciiTheme="majorHAnsi" w:hAnsiTheme="majorHAnsi"/>
        </w:rPr>
        <w:t>rRNA</w:t>
      </w:r>
      <w:proofErr w:type="spellEnd"/>
      <w:r w:rsidRPr="003A3D06">
        <w:rPr>
          <w:rFonts w:asciiTheme="majorHAnsi" w:hAnsiTheme="majorHAnsi"/>
        </w:rPr>
        <w:t xml:space="preserve"> gene was amplified as described previously </w:t>
      </w:r>
      <w:r w:rsidR="00E10FF4">
        <w:rPr>
          <w:rFonts w:asciiTheme="majorHAnsi" w:hAnsiTheme="majorHAnsi"/>
          <w:noProof/>
        </w:rPr>
        <w:t>[7]</w:t>
      </w:r>
      <w:r w:rsidRPr="003A3D06">
        <w:rPr>
          <w:rFonts w:asciiTheme="majorHAnsi" w:hAnsiTheme="majorHAnsi"/>
        </w:rPr>
        <w:t xml:space="preserve"> with the adaptation that we performed 33 amplification cycles. Paired-end sequencing (250 cycles) of the DNA was conducted on the </w:t>
      </w:r>
      <w:proofErr w:type="spellStart"/>
      <w:r w:rsidRPr="003A3D06">
        <w:rPr>
          <w:rFonts w:asciiTheme="majorHAnsi" w:hAnsiTheme="majorHAnsi"/>
        </w:rPr>
        <w:t>MiSeq</w:t>
      </w:r>
      <w:proofErr w:type="spellEnd"/>
      <w:r w:rsidRPr="003A3D06">
        <w:rPr>
          <w:rFonts w:asciiTheme="majorHAnsi" w:hAnsiTheme="majorHAnsi"/>
        </w:rPr>
        <w:t xml:space="preserve"> platform (Illumina, San Diego, CA, USA) at </w:t>
      </w:r>
      <w:proofErr w:type="spellStart"/>
      <w:r w:rsidRPr="003A3D06">
        <w:rPr>
          <w:rFonts w:asciiTheme="majorHAnsi" w:hAnsiTheme="majorHAnsi"/>
        </w:rPr>
        <w:t>VUmc</w:t>
      </w:r>
      <w:proofErr w:type="spellEnd"/>
      <w:r w:rsidRPr="003A3D06">
        <w:rPr>
          <w:rFonts w:asciiTheme="majorHAnsi" w:hAnsiTheme="majorHAnsi"/>
        </w:rPr>
        <w:t xml:space="preserve"> Cancer Center Amsterdam (the Netherlands). The flow cell was loaded with </w:t>
      </w:r>
      <w:proofErr w:type="gramStart"/>
      <w:r w:rsidRPr="003A3D06">
        <w:rPr>
          <w:rFonts w:asciiTheme="majorHAnsi" w:hAnsiTheme="majorHAnsi"/>
        </w:rPr>
        <w:t>7</w:t>
      </w:r>
      <w:proofErr w:type="gramEnd"/>
      <w:r w:rsidRPr="003A3D06">
        <w:rPr>
          <w:rFonts w:asciiTheme="majorHAnsi" w:hAnsiTheme="majorHAnsi"/>
        </w:rPr>
        <w:t> </w:t>
      </w:r>
      <w:proofErr w:type="spellStart"/>
      <w:r w:rsidRPr="003A3D06">
        <w:rPr>
          <w:rFonts w:asciiTheme="majorHAnsi" w:hAnsiTheme="majorHAnsi"/>
        </w:rPr>
        <w:t>pmol</w:t>
      </w:r>
      <w:proofErr w:type="spellEnd"/>
      <w:r w:rsidRPr="003A3D06">
        <w:rPr>
          <w:rFonts w:asciiTheme="majorHAnsi" w:hAnsiTheme="majorHAnsi"/>
        </w:rPr>
        <w:t xml:space="preserve"> DNA containing 50 % </w:t>
      </w:r>
      <w:proofErr w:type="spellStart"/>
      <w:r w:rsidRPr="003A3D06">
        <w:rPr>
          <w:rFonts w:asciiTheme="majorHAnsi" w:hAnsiTheme="majorHAnsi"/>
        </w:rPr>
        <w:t>PhiX</w:t>
      </w:r>
      <w:proofErr w:type="spellEnd"/>
      <w:r w:rsidRPr="003A3D06">
        <w:rPr>
          <w:rFonts w:asciiTheme="majorHAnsi" w:hAnsiTheme="majorHAnsi"/>
        </w:rPr>
        <w:t xml:space="preserve"> (Illumina sequencing control).</w:t>
      </w:r>
    </w:p>
    <w:p w14:paraId="5F184B60" w14:textId="77777777" w:rsidR="00B160EB" w:rsidRPr="003A3D06" w:rsidRDefault="00B160EB" w:rsidP="00395BCA">
      <w:pPr>
        <w:spacing w:line="480" w:lineRule="auto"/>
        <w:rPr>
          <w:rFonts w:asciiTheme="majorHAnsi" w:hAnsiTheme="majorHAnsi"/>
        </w:rPr>
      </w:pPr>
    </w:p>
    <w:p w14:paraId="4E7CA527" w14:textId="66996EB0" w:rsidR="00B160EB" w:rsidRPr="00F02B77" w:rsidRDefault="00B160EB" w:rsidP="00F02B77">
      <w:pPr>
        <w:pStyle w:val="Heading2"/>
      </w:pPr>
      <w:r w:rsidRPr="00525ABC">
        <w:rPr>
          <w:i/>
        </w:rPr>
        <w:t>P</w:t>
      </w:r>
      <w:r w:rsidR="00291A21" w:rsidRPr="00525ABC">
        <w:rPr>
          <w:i/>
        </w:rPr>
        <w:t>orphyromonas</w:t>
      </w:r>
      <w:r w:rsidRPr="00525ABC">
        <w:rPr>
          <w:i/>
        </w:rPr>
        <w:t xml:space="preserve"> gingivalis</w:t>
      </w:r>
      <w:r w:rsidRPr="00F02B77">
        <w:t xml:space="preserve"> specific qPCR</w:t>
      </w:r>
    </w:p>
    <w:p w14:paraId="543318DB" w14:textId="77777777" w:rsidR="00B160EB" w:rsidRPr="003A3D06" w:rsidRDefault="00B160EB" w:rsidP="00395BCA">
      <w:pPr>
        <w:spacing w:line="480" w:lineRule="auto"/>
        <w:rPr>
          <w:rFonts w:asciiTheme="majorHAnsi" w:hAnsiTheme="majorHAnsi"/>
        </w:rPr>
      </w:pPr>
    </w:p>
    <w:p w14:paraId="7309B008" w14:textId="3BFD126D" w:rsidR="00B160EB" w:rsidRDefault="00B160EB" w:rsidP="00395BCA">
      <w:pPr>
        <w:spacing w:line="480" w:lineRule="auto"/>
        <w:rPr>
          <w:rFonts w:asciiTheme="majorHAnsi" w:hAnsiTheme="majorHAnsi"/>
        </w:rPr>
      </w:pPr>
      <w:r w:rsidRPr="003A3D06">
        <w:rPr>
          <w:rFonts w:asciiTheme="majorHAnsi" w:hAnsiTheme="majorHAnsi"/>
          <w:i/>
        </w:rPr>
        <w:t>P. gingivalis</w:t>
      </w:r>
      <w:r w:rsidRPr="003A3D06">
        <w:rPr>
          <w:rFonts w:asciiTheme="majorHAnsi" w:hAnsiTheme="majorHAnsi"/>
        </w:rPr>
        <w:t xml:space="preserve"> in the samples was quantified in duplicate by </w:t>
      </w:r>
      <w:proofErr w:type="spellStart"/>
      <w:r w:rsidRPr="003A3D06">
        <w:rPr>
          <w:rFonts w:asciiTheme="majorHAnsi" w:hAnsiTheme="majorHAnsi"/>
        </w:rPr>
        <w:t>monoplex</w:t>
      </w:r>
      <w:proofErr w:type="spellEnd"/>
      <w:r w:rsidRPr="003A3D06">
        <w:rPr>
          <w:rFonts w:asciiTheme="majorHAnsi" w:hAnsiTheme="majorHAnsi"/>
        </w:rPr>
        <w:t xml:space="preserve"> qPCR using the </w:t>
      </w:r>
      <w:proofErr w:type="spellStart"/>
      <w:r w:rsidRPr="003A3D06">
        <w:rPr>
          <w:rFonts w:asciiTheme="majorHAnsi" w:hAnsiTheme="majorHAnsi"/>
        </w:rPr>
        <w:t>Lightcycler</w:t>
      </w:r>
      <w:proofErr w:type="spellEnd"/>
      <w:r w:rsidRPr="003A3D06">
        <w:rPr>
          <w:rFonts w:asciiTheme="majorHAnsi" w:hAnsiTheme="majorHAnsi"/>
        </w:rPr>
        <w:t xml:space="preserve"> 480-II instrument (Roche Diagnostics, Almere, </w:t>
      </w:r>
      <w:proofErr w:type="gramStart"/>
      <w:r w:rsidRPr="003A3D06">
        <w:rPr>
          <w:rFonts w:asciiTheme="majorHAnsi" w:hAnsiTheme="majorHAnsi"/>
        </w:rPr>
        <w:t>the</w:t>
      </w:r>
      <w:proofErr w:type="gramEnd"/>
      <w:r w:rsidRPr="003A3D06">
        <w:rPr>
          <w:rFonts w:asciiTheme="majorHAnsi" w:hAnsiTheme="majorHAnsi"/>
        </w:rPr>
        <w:t xml:space="preserve"> Netherlands). The qPCR was carried out in 20 µl reaction mix containing 10 µl </w:t>
      </w:r>
      <w:proofErr w:type="spellStart"/>
      <w:r w:rsidRPr="003A3D06">
        <w:rPr>
          <w:rFonts w:asciiTheme="majorHAnsi" w:hAnsiTheme="majorHAnsi"/>
        </w:rPr>
        <w:t>Lightcycler</w:t>
      </w:r>
      <w:proofErr w:type="spellEnd"/>
      <w:r w:rsidRPr="003A3D06">
        <w:rPr>
          <w:rFonts w:asciiTheme="majorHAnsi" w:hAnsiTheme="majorHAnsi"/>
        </w:rPr>
        <w:t xml:space="preserve">® 480 Probes Master (Roche Diagnostics), 4 µl sample, 1.8 </w:t>
      </w:r>
      <w:proofErr w:type="spellStart"/>
      <w:r w:rsidRPr="003A3D06">
        <w:rPr>
          <w:rFonts w:asciiTheme="majorHAnsi" w:hAnsiTheme="majorHAnsi"/>
        </w:rPr>
        <w:t>pmol</w:t>
      </w:r>
      <w:proofErr w:type="spellEnd"/>
      <w:r w:rsidRPr="003A3D06">
        <w:rPr>
          <w:rFonts w:asciiTheme="majorHAnsi" w:hAnsiTheme="majorHAnsi"/>
        </w:rPr>
        <w:t xml:space="preserve"> forward and reverse primer (F, GCGCTCAACGTTCAGCC, -R, CACGAATTCCGCCTGC) and 0.4 </w:t>
      </w:r>
      <w:proofErr w:type="spellStart"/>
      <w:r w:rsidRPr="003A3D06">
        <w:rPr>
          <w:rFonts w:asciiTheme="majorHAnsi" w:hAnsiTheme="majorHAnsi"/>
        </w:rPr>
        <w:t>pmol</w:t>
      </w:r>
      <w:proofErr w:type="spellEnd"/>
      <w:r w:rsidRPr="003A3D06">
        <w:rPr>
          <w:rFonts w:asciiTheme="majorHAnsi" w:hAnsiTheme="majorHAnsi"/>
        </w:rPr>
        <w:t xml:space="preserve"> probe (P, Cyan500-CACTGAACTCAAGCCCGGCAGTTTCAA-BBQ) </w:t>
      </w:r>
      <w:r>
        <w:rPr>
          <w:rFonts w:asciiTheme="majorHAnsi" w:hAnsiTheme="majorHAnsi"/>
          <w:noProof/>
        </w:rPr>
        <w:t>(8)</w:t>
      </w:r>
      <w:r w:rsidRPr="003A3D06">
        <w:rPr>
          <w:rFonts w:asciiTheme="majorHAnsi" w:hAnsiTheme="majorHAnsi"/>
        </w:rPr>
        <w:t xml:space="preserve">. PCR conditions </w:t>
      </w:r>
      <w:proofErr w:type="gramStart"/>
      <w:r w:rsidRPr="003A3D06">
        <w:rPr>
          <w:rFonts w:asciiTheme="majorHAnsi" w:hAnsiTheme="majorHAnsi"/>
        </w:rPr>
        <w:t>were:</w:t>
      </w:r>
      <w:proofErr w:type="gramEnd"/>
      <w:r w:rsidRPr="003A3D06">
        <w:rPr>
          <w:rFonts w:asciiTheme="majorHAnsi" w:hAnsiTheme="majorHAnsi"/>
        </w:rPr>
        <w:t xml:space="preserve"> 5 min 95°C pre-incubation followed by 45 cycles of detection at 95°C for 10 s, at 60°C for 20 s and at 72°C for 30 s. To quantify the PCR results, a standard curve of </w:t>
      </w:r>
      <w:r w:rsidRPr="003A3D06">
        <w:rPr>
          <w:rFonts w:asciiTheme="majorHAnsi" w:hAnsiTheme="majorHAnsi"/>
          <w:i/>
        </w:rPr>
        <w:t>P. gingivalis</w:t>
      </w:r>
      <w:r w:rsidRPr="003A3D06">
        <w:rPr>
          <w:rFonts w:asciiTheme="majorHAnsi" w:hAnsiTheme="majorHAnsi"/>
        </w:rPr>
        <w:t xml:space="preserve"> strain W83 </w:t>
      </w:r>
      <w:proofErr w:type="gramStart"/>
      <w:r w:rsidRPr="003A3D06">
        <w:rPr>
          <w:rFonts w:asciiTheme="majorHAnsi" w:hAnsiTheme="majorHAnsi"/>
        </w:rPr>
        <w:t>was generated</w:t>
      </w:r>
      <w:proofErr w:type="gramEnd"/>
      <w:r w:rsidRPr="003A3D06">
        <w:rPr>
          <w:rFonts w:asciiTheme="majorHAnsi" w:hAnsiTheme="majorHAnsi"/>
        </w:rPr>
        <w:t xml:space="preserve">. Water </w:t>
      </w:r>
      <w:proofErr w:type="gramStart"/>
      <w:r w:rsidRPr="003A3D06">
        <w:rPr>
          <w:rFonts w:asciiTheme="majorHAnsi" w:hAnsiTheme="majorHAnsi"/>
        </w:rPr>
        <w:t>was used</w:t>
      </w:r>
      <w:proofErr w:type="gramEnd"/>
      <w:r w:rsidRPr="003A3D06">
        <w:rPr>
          <w:rFonts w:asciiTheme="majorHAnsi" w:hAnsiTheme="majorHAnsi"/>
        </w:rPr>
        <w:t xml:space="preserve"> as a negative control for PCR.</w:t>
      </w:r>
    </w:p>
    <w:p w14:paraId="76B8A966" w14:textId="77777777" w:rsidR="00474ED2" w:rsidRDefault="00474ED2" w:rsidP="00395BCA">
      <w:pPr>
        <w:spacing w:line="480" w:lineRule="auto"/>
        <w:rPr>
          <w:rFonts w:asciiTheme="majorHAnsi" w:hAnsiTheme="majorHAnsi"/>
        </w:rPr>
      </w:pPr>
    </w:p>
    <w:p w14:paraId="26C9535C" w14:textId="77777777" w:rsidR="00B160EB" w:rsidRPr="00F02B77" w:rsidRDefault="00B160EB" w:rsidP="00F02B77">
      <w:pPr>
        <w:pStyle w:val="Heading2"/>
      </w:pPr>
      <w:r w:rsidRPr="00F02B77">
        <w:t>Sequencing data processing</w:t>
      </w:r>
    </w:p>
    <w:p w14:paraId="0D95B2CA" w14:textId="77777777" w:rsidR="00B160EB" w:rsidRPr="003A3D06" w:rsidRDefault="00B160EB" w:rsidP="00395BCA">
      <w:pPr>
        <w:spacing w:line="480" w:lineRule="auto"/>
        <w:rPr>
          <w:rFonts w:asciiTheme="majorHAnsi" w:hAnsiTheme="majorHAnsi"/>
        </w:rPr>
      </w:pPr>
    </w:p>
    <w:p w14:paraId="44D58D40" w14:textId="1D3B8BB6" w:rsidR="00B160EB" w:rsidRPr="003A3D06" w:rsidRDefault="00B160EB" w:rsidP="00395BCA">
      <w:pPr>
        <w:spacing w:line="480" w:lineRule="auto"/>
        <w:rPr>
          <w:rFonts w:asciiTheme="majorHAnsi" w:hAnsiTheme="majorHAnsi"/>
        </w:rPr>
      </w:pPr>
      <w:r w:rsidRPr="003A3D06">
        <w:rPr>
          <w:rFonts w:asciiTheme="majorHAnsi" w:hAnsiTheme="majorHAnsi"/>
        </w:rPr>
        <w:t xml:space="preserve">The paired-end sequencing reads were </w:t>
      </w:r>
      <w:proofErr w:type="gramStart"/>
      <w:r w:rsidRPr="003A3D06">
        <w:rPr>
          <w:rFonts w:asciiTheme="majorHAnsi" w:hAnsiTheme="majorHAnsi"/>
        </w:rPr>
        <w:t>merged,</w:t>
      </w:r>
      <w:proofErr w:type="gramEnd"/>
      <w:r w:rsidRPr="003A3D06">
        <w:rPr>
          <w:rFonts w:asciiTheme="majorHAnsi" w:hAnsiTheme="majorHAnsi"/>
        </w:rPr>
        <w:t xml:space="preserve"> processed and clustered using USEARCH version 8.0.1623 </w:t>
      </w:r>
      <w:r w:rsidR="00E10FF4">
        <w:rPr>
          <w:rFonts w:asciiTheme="majorHAnsi" w:hAnsiTheme="majorHAnsi"/>
          <w:noProof/>
        </w:rPr>
        <w:t>[9]</w:t>
      </w:r>
      <w:r w:rsidRPr="003A3D06">
        <w:rPr>
          <w:rFonts w:asciiTheme="majorHAnsi" w:hAnsiTheme="majorHAnsi"/>
        </w:rPr>
        <w:t xml:space="preserve">. The sequences were quality filtered using maximum expected error rate of 0.5 (no ambiguous bases allowed) and maximum length of the merged reads of 258. Before clustering, the sorted reads were checked against the Illumina </w:t>
      </w:r>
      <w:proofErr w:type="spellStart"/>
      <w:r w:rsidRPr="003A3D06">
        <w:rPr>
          <w:rFonts w:asciiTheme="majorHAnsi" w:hAnsiTheme="majorHAnsi"/>
        </w:rPr>
        <w:t>PhiX</w:t>
      </w:r>
      <w:proofErr w:type="spellEnd"/>
      <w:r w:rsidRPr="003A3D06">
        <w:rPr>
          <w:rFonts w:asciiTheme="majorHAnsi" w:hAnsiTheme="majorHAnsi"/>
        </w:rPr>
        <w:t xml:space="preserve"> RTA reference, using both local and global alignment (USEARCH with -id 0.5 -</w:t>
      </w:r>
      <w:proofErr w:type="spellStart"/>
      <w:r w:rsidRPr="003A3D06">
        <w:rPr>
          <w:rFonts w:asciiTheme="majorHAnsi" w:hAnsiTheme="majorHAnsi"/>
        </w:rPr>
        <w:t>query_cov</w:t>
      </w:r>
      <w:proofErr w:type="spellEnd"/>
      <w:r w:rsidRPr="003A3D06">
        <w:rPr>
          <w:rFonts w:asciiTheme="majorHAnsi" w:hAnsiTheme="majorHAnsi"/>
        </w:rPr>
        <w:t xml:space="preserve"> 0.5) to exclude the possibility that </w:t>
      </w:r>
      <w:proofErr w:type="spellStart"/>
      <w:r w:rsidRPr="003A3D06">
        <w:rPr>
          <w:rFonts w:asciiTheme="majorHAnsi" w:hAnsiTheme="majorHAnsi"/>
        </w:rPr>
        <w:t>PhiX</w:t>
      </w:r>
      <w:proofErr w:type="spellEnd"/>
      <w:r w:rsidRPr="003A3D06">
        <w:rPr>
          <w:rFonts w:asciiTheme="majorHAnsi" w:hAnsiTheme="majorHAnsi"/>
        </w:rPr>
        <w:t xml:space="preserve"> reads were included during clustering. The merged sequences were clustered into operational taxonomic units (OTUs) using the following adaptations: </w:t>
      </w:r>
      <w:proofErr w:type="spellStart"/>
      <w:r w:rsidRPr="003A3D06">
        <w:rPr>
          <w:rFonts w:asciiTheme="majorHAnsi" w:hAnsiTheme="majorHAnsi"/>
        </w:rPr>
        <w:t>cluster_otus</w:t>
      </w:r>
      <w:proofErr w:type="spellEnd"/>
      <w:r w:rsidRPr="003A3D06">
        <w:rPr>
          <w:rFonts w:asciiTheme="majorHAnsi" w:hAnsiTheme="majorHAnsi"/>
        </w:rPr>
        <w:t xml:space="preserve"> with </w:t>
      </w:r>
      <w:r w:rsidRPr="003A3D06">
        <w:rPr>
          <w:rFonts w:asciiTheme="majorHAnsi" w:hAnsiTheme="majorHAnsi"/>
        </w:rPr>
        <w:noBreakHyphen/>
      </w:r>
      <w:proofErr w:type="spellStart"/>
      <w:r w:rsidRPr="003A3D06">
        <w:rPr>
          <w:rFonts w:asciiTheme="majorHAnsi" w:hAnsiTheme="majorHAnsi"/>
        </w:rPr>
        <w:t>uparse_maxdball</w:t>
      </w:r>
      <w:proofErr w:type="spellEnd"/>
      <w:r w:rsidRPr="003A3D06">
        <w:rPr>
          <w:rFonts w:asciiTheme="majorHAnsi" w:hAnsiTheme="majorHAnsi"/>
        </w:rPr>
        <w:t xml:space="preserve"> 1200, only de novo chimera checking, </w:t>
      </w:r>
      <w:proofErr w:type="spellStart"/>
      <w:r w:rsidRPr="003A3D06">
        <w:rPr>
          <w:rFonts w:asciiTheme="majorHAnsi" w:hAnsiTheme="majorHAnsi"/>
        </w:rPr>
        <w:t>usearch_global</w:t>
      </w:r>
      <w:proofErr w:type="spellEnd"/>
      <w:r w:rsidRPr="003A3D06">
        <w:rPr>
          <w:rFonts w:asciiTheme="majorHAnsi" w:hAnsiTheme="majorHAnsi"/>
        </w:rPr>
        <w:t xml:space="preserve"> with −</w:t>
      </w:r>
      <w:proofErr w:type="spellStart"/>
      <w:r w:rsidRPr="003A3D06">
        <w:rPr>
          <w:rFonts w:asciiTheme="majorHAnsi" w:hAnsiTheme="majorHAnsi"/>
        </w:rPr>
        <w:t>maxaccepts</w:t>
      </w:r>
      <w:proofErr w:type="spellEnd"/>
      <w:r w:rsidRPr="003A3D06">
        <w:rPr>
          <w:rFonts w:asciiTheme="majorHAnsi" w:hAnsiTheme="majorHAnsi"/>
        </w:rPr>
        <w:t xml:space="preserve"> 8 –</w:t>
      </w:r>
      <w:proofErr w:type="spellStart"/>
      <w:r w:rsidRPr="003A3D06">
        <w:rPr>
          <w:rFonts w:asciiTheme="majorHAnsi" w:hAnsiTheme="majorHAnsi"/>
        </w:rPr>
        <w:t>maxrejects</w:t>
      </w:r>
      <w:proofErr w:type="spellEnd"/>
      <w:r w:rsidRPr="003A3D06">
        <w:rPr>
          <w:rFonts w:asciiTheme="majorHAnsi" w:hAnsiTheme="majorHAnsi"/>
        </w:rPr>
        <w:t xml:space="preserve"> 64 –</w:t>
      </w:r>
      <w:proofErr w:type="spellStart"/>
      <w:r w:rsidRPr="003A3D06">
        <w:rPr>
          <w:rFonts w:asciiTheme="majorHAnsi" w:hAnsiTheme="majorHAnsi"/>
        </w:rPr>
        <w:t>maxhits</w:t>
      </w:r>
      <w:proofErr w:type="spellEnd"/>
      <w:r w:rsidRPr="003A3D06">
        <w:rPr>
          <w:rFonts w:asciiTheme="majorHAnsi" w:hAnsiTheme="majorHAnsi"/>
        </w:rPr>
        <w:t xml:space="preserve"> 1. QIIME version 1.8.0 </w:t>
      </w:r>
      <w:r w:rsidR="00E10FF4">
        <w:rPr>
          <w:rFonts w:asciiTheme="majorHAnsi" w:hAnsiTheme="majorHAnsi"/>
          <w:noProof/>
        </w:rPr>
        <w:t>[10]</w:t>
      </w:r>
      <w:r w:rsidRPr="003A3D06">
        <w:rPr>
          <w:rFonts w:asciiTheme="majorHAnsi" w:hAnsiTheme="majorHAnsi"/>
        </w:rPr>
        <w:t xml:space="preserve"> was used to select the most abundant sequence of each OTU as representative sequence and assign a taxonomy to it, using the RDP classifier </w:t>
      </w:r>
      <w:r w:rsidR="00E10FF4">
        <w:rPr>
          <w:rFonts w:asciiTheme="majorHAnsi" w:hAnsiTheme="majorHAnsi"/>
          <w:noProof/>
        </w:rPr>
        <w:t>[11]</w:t>
      </w:r>
      <w:r w:rsidRPr="003A3D06">
        <w:rPr>
          <w:rFonts w:asciiTheme="majorHAnsi" w:hAnsiTheme="majorHAnsi"/>
        </w:rPr>
        <w:t xml:space="preserve"> (min confidence 0.8) and the SILVA 119 database </w:t>
      </w:r>
      <w:r w:rsidR="00E10FF4">
        <w:rPr>
          <w:rFonts w:asciiTheme="majorHAnsi" w:hAnsiTheme="majorHAnsi"/>
          <w:noProof/>
        </w:rPr>
        <w:t>[12]</w:t>
      </w:r>
      <w:hyperlink r:id="rId4" w:anchor="CR46" w:tooltip="View reference" w:history="1"/>
      <w:r w:rsidRPr="003A3D06">
        <w:rPr>
          <w:rFonts w:asciiTheme="majorHAnsi" w:hAnsiTheme="majorHAnsi"/>
        </w:rPr>
        <w:t xml:space="preserve">. The alignment of the 97% representative 16S ribosomal DNA sequence set, provided by the QIIME developers, was first trimmed to the V4 region and the alignment </w:t>
      </w:r>
      <w:proofErr w:type="gramStart"/>
      <w:r w:rsidRPr="003A3D06">
        <w:rPr>
          <w:rFonts w:asciiTheme="majorHAnsi" w:hAnsiTheme="majorHAnsi"/>
        </w:rPr>
        <w:t>was converted</w:t>
      </w:r>
      <w:proofErr w:type="gramEnd"/>
      <w:r w:rsidRPr="003A3D06">
        <w:rPr>
          <w:rFonts w:asciiTheme="majorHAnsi" w:hAnsiTheme="majorHAnsi"/>
        </w:rPr>
        <w:t xml:space="preserve"> to a set of gap-free non-redundant sequences. This set </w:t>
      </w:r>
      <w:proofErr w:type="gramStart"/>
      <w:r w:rsidRPr="003A3D06">
        <w:rPr>
          <w:rFonts w:asciiTheme="majorHAnsi" w:hAnsiTheme="majorHAnsi"/>
        </w:rPr>
        <w:t>was used</w:t>
      </w:r>
      <w:proofErr w:type="gramEnd"/>
      <w:r w:rsidRPr="003A3D06">
        <w:rPr>
          <w:rFonts w:asciiTheme="majorHAnsi" w:hAnsiTheme="majorHAnsi"/>
        </w:rPr>
        <w:t xml:space="preserve"> to retrain the RDP classifier. </w:t>
      </w:r>
      <w:proofErr w:type="gramStart"/>
      <w:r w:rsidRPr="003A3D06">
        <w:rPr>
          <w:rFonts w:asciiTheme="majorHAnsi" w:hAnsiTheme="majorHAnsi"/>
        </w:rPr>
        <w:t>To further classify</w:t>
      </w:r>
      <w:proofErr w:type="gramEnd"/>
      <w:r w:rsidRPr="003A3D06">
        <w:rPr>
          <w:rFonts w:asciiTheme="majorHAnsi" w:hAnsiTheme="majorHAnsi"/>
        </w:rPr>
        <w:t xml:space="preserve"> the OTUs, the OTU representative sequences were also assigned a taxonomy using the Human Oral Microbiome Database (HOMD) </w:t>
      </w:r>
      <w:r w:rsidR="00E10FF4">
        <w:rPr>
          <w:rFonts w:asciiTheme="majorHAnsi" w:hAnsiTheme="majorHAnsi"/>
          <w:noProof/>
        </w:rPr>
        <w:t>[13]</w:t>
      </w:r>
      <w:r w:rsidRPr="003A3D06">
        <w:rPr>
          <w:rFonts w:asciiTheme="majorHAnsi" w:hAnsiTheme="majorHAnsi"/>
        </w:rPr>
        <w:t xml:space="preserve">. The alignment of HOMD 16S </w:t>
      </w:r>
      <w:proofErr w:type="spellStart"/>
      <w:r w:rsidRPr="003A3D06">
        <w:rPr>
          <w:rFonts w:asciiTheme="majorHAnsi" w:hAnsiTheme="majorHAnsi"/>
        </w:rPr>
        <w:t>rRNA</w:t>
      </w:r>
      <w:proofErr w:type="spellEnd"/>
      <w:r w:rsidRPr="003A3D06">
        <w:rPr>
          <w:rFonts w:asciiTheme="majorHAnsi" w:hAnsiTheme="majorHAnsi"/>
        </w:rPr>
        <w:t xml:space="preserve"> </w:t>
      </w:r>
      <w:proofErr w:type="spellStart"/>
      <w:r w:rsidRPr="003A3D06">
        <w:rPr>
          <w:rFonts w:asciiTheme="majorHAnsi" w:hAnsiTheme="majorHAnsi"/>
        </w:rPr>
        <w:t>RefSeq</w:t>
      </w:r>
      <w:proofErr w:type="spellEnd"/>
      <w:r w:rsidRPr="003A3D06">
        <w:rPr>
          <w:rFonts w:asciiTheme="majorHAnsi" w:hAnsiTheme="majorHAnsi"/>
        </w:rPr>
        <w:t xml:space="preserve"> version 14.51 </w:t>
      </w:r>
      <w:proofErr w:type="gramStart"/>
      <w:r w:rsidRPr="003A3D06">
        <w:rPr>
          <w:rFonts w:asciiTheme="majorHAnsi" w:hAnsiTheme="majorHAnsi"/>
        </w:rPr>
        <w:t>was trimmed to the V4 region and used as</w:t>
      </w:r>
      <w:proofErr w:type="gramEnd"/>
      <w:r w:rsidRPr="003A3D06">
        <w:rPr>
          <w:rFonts w:asciiTheme="majorHAnsi" w:hAnsiTheme="majorHAnsi"/>
        </w:rPr>
        <w:t xml:space="preserve"> described above for the SILVA database. The </w:t>
      </w:r>
      <w:proofErr w:type="gramStart"/>
      <w:r w:rsidRPr="003A3D06">
        <w:rPr>
          <w:rFonts w:asciiTheme="majorHAnsi" w:hAnsiTheme="majorHAnsi"/>
        </w:rPr>
        <w:t>OTUs  that</w:t>
      </w:r>
      <w:proofErr w:type="gramEnd"/>
      <w:r w:rsidRPr="003A3D06">
        <w:rPr>
          <w:rFonts w:asciiTheme="majorHAnsi" w:hAnsiTheme="majorHAnsi"/>
        </w:rPr>
        <w:t xml:space="preserve"> originated from quality controls (DNA extraction blanks and PCR blanks) were removed from the OTU table. The OTU table </w:t>
      </w:r>
      <w:proofErr w:type="gramStart"/>
      <w:r w:rsidRPr="003A3D06">
        <w:rPr>
          <w:rFonts w:asciiTheme="majorHAnsi" w:hAnsiTheme="majorHAnsi"/>
        </w:rPr>
        <w:t>was randomly subsampled</w:t>
      </w:r>
      <w:proofErr w:type="gramEnd"/>
      <w:r w:rsidRPr="003A3D06">
        <w:rPr>
          <w:rFonts w:asciiTheme="majorHAnsi" w:hAnsiTheme="majorHAnsi"/>
        </w:rPr>
        <w:t xml:space="preserve"> to an equal depth per sample using QIIME.</w:t>
      </w:r>
    </w:p>
    <w:p w14:paraId="31422566" w14:textId="77777777" w:rsidR="00B160EB" w:rsidRPr="003A3D06" w:rsidRDefault="00B160EB" w:rsidP="00395BCA">
      <w:pPr>
        <w:spacing w:line="480" w:lineRule="auto"/>
        <w:rPr>
          <w:rFonts w:asciiTheme="majorHAnsi" w:hAnsiTheme="majorHAnsi"/>
        </w:rPr>
      </w:pPr>
    </w:p>
    <w:p w14:paraId="730D29F5" w14:textId="77777777" w:rsidR="00B160EB" w:rsidRPr="00F02B77" w:rsidRDefault="00B160EB" w:rsidP="00F02B77">
      <w:pPr>
        <w:pStyle w:val="Heading2"/>
      </w:pPr>
      <w:r w:rsidRPr="00F02B77">
        <w:t>Statistical analyses</w:t>
      </w:r>
    </w:p>
    <w:p w14:paraId="0E698617" w14:textId="77777777" w:rsidR="00B160EB" w:rsidRPr="003A3D06" w:rsidRDefault="00B160EB" w:rsidP="00395BCA">
      <w:pPr>
        <w:spacing w:line="480" w:lineRule="auto"/>
        <w:rPr>
          <w:rFonts w:asciiTheme="majorHAnsi" w:hAnsiTheme="majorHAnsi"/>
        </w:rPr>
      </w:pPr>
    </w:p>
    <w:p w14:paraId="6372F660" w14:textId="77777777" w:rsidR="00B160EB" w:rsidRPr="003A3D06" w:rsidRDefault="00B160EB" w:rsidP="00395BCA">
      <w:pPr>
        <w:spacing w:line="480" w:lineRule="auto"/>
        <w:rPr>
          <w:rFonts w:asciiTheme="majorHAnsi" w:hAnsiTheme="majorHAnsi"/>
        </w:rPr>
      </w:pPr>
      <w:r w:rsidRPr="003A3D06">
        <w:rPr>
          <w:rFonts w:asciiTheme="majorHAnsi" w:hAnsiTheme="majorHAnsi"/>
        </w:rPr>
        <w:t xml:space="preserve">The distribution of the variables </w:t>
      </w:r>
      <w:proofErr w:type="gramStart"/>
      <w:r w:rsidRPr="003A3D06">
        <w:rPr>
          <w:rFonts w:asciiTheme="majorHAnsi" w:hAnsiTheme="majorHAnsi"/>
        </w:rPr>
        <w:t>was tested</w:t>
      </w:r>
      <w:proofErr w:type="gramEnd"/>
      <w:r w:rsidRPr="003A3D06">
        <w:rPr>
          <w:rFonts w:asciiTheme="majorHAnsi" w:hAnsiTheme="majorHAnsi"/>
        </w:rPr>
        <w:t xml:space="preserve"> using the Shapiro-Wilk test for normality with a critical alpha value of 5%.  Mean and standard deviation, and median and range </w:t>
      </w:r>
      <w:proofErr w:type="gramStart"/>
      <w:r w:rsidRPr="003A3D06">
        <w:rPr>
          <w:rFonts w:asciiTheme="majorHAnsi" w:hAnsiTheme="majorHAnsi"/>
        </w:rPr>
        <w:t>were calculated</w:t>
      </w:r>
      <w:proofErr w:type="gramEnd"/>
      <w:r w:rsidRPr="003A3D06">
        <w:rPr>
          <w:rFonts w:asciiTheme="majorHAnsi" w:hAnsiTheme="majorHAnsi"/>
        </w:rPr>
        <w:t xml:space="preserve"> for continuous variables. The Wilcoxon rank-sum test </w:t>
      </w:r>
      <w:proofErr w:type="gramStart"/>
      <w:r w:rsidRPr="003A3D06">
        <w:rPr>
          <w:rFonts w:asciiTheme="majorHAnsi" w:hAnsiTheme="majorHAnsi"/>
        </w:rPr>
        <w:t>was applied</w:t>
      </w:r>
      <w:proofErr w:type="gramEnd"/>
      <w:r w:rsidRPr="003A3D06">
        <w:rPr>
          <w:rFonts w:asciiTheme="majorHAnsi" w:hAnsiTheme="majorHAnsi"/>
        </w:rPr>
        <w:t xml:space="preserve"> for not normally distributed continuous variables. Student t-test (for continuous variables) and Pearson chi-square test (for categorical variables) </w:t>
      </w:r>
      <w:proofErr w:type="gramStart"/>
      <w:r w:rsidRPr="003A3D06">
        <w:rPr>
          <w:rFonts w:asciiTheme="majorHAnsi" w:hAnsiTheme="majorHAnsi"/>
        </w:rPr>
        <w:t>were used</w:t>
      </w:r>
      <w:proofErr w:type="gramEnd"/>
      <w:r w:rsidRPr="003A3D06">
        <w:rPr>
          <w:rFonts w:asciiTheme="majorHAnsi" w:hAnsiTheme="majorHAnsi"/>
        </w:rPr>
        <w:t xml:space="preserve"> to assess differences between the groups. These analyses were performed using the statistical software STATA® version 14.0 for Microsoft® Windows® (</w:t>
      </w:r>
      <w:proofErr w:type="spellStart"/>
      <w:r w:rsidRPr="003A3D06">
        <w:rPr>
          <w:rFonts w:asciiTheme="majorHAnsi" w:hAnsiTheme="majorHAnsi"/>
        </w:rPr>
        <w:t>StataCorp</w:t>
      </w:r>
      <w:proofErr w:type="spellEnd"/>
      <w:r w:rsidRPr="003A3D06">
        <w:rPr>
          <w:rFonts w:asciiTheme="majorHAnsi" w:hAnsiTheme="majorHAnsi"/>
        </w:rPr>
        <w:t xml:space="preserve"> LP, Texas, </w:t>
      </w:r>
      <w:proofErr w:type="gramStart"/>
      <w:r w:rsidRPr="003A3D06">
        <w:rPr>
          <w:rFonts w:asciiTheme="majorHAnsi" w:hAnsiTheme="majorHAnsi"/>
        </w:rPr>
        <w:t>USA</w:t>
      </w:r>
      <w:proofErr w:type="gramEnd"/>
      <w:r w:rsidRPr="003A3D06">
        <w:rPr>
          <w:rFonts w:asciiTheme="majorHAnsi" w:hAnsiTheme="majorHAnsi"/>
        </w:rPr>
        <w:t>).</w:t>
      </w:r>
    </w:p>
    <w:p w14:paraId="3F559EBC" w14:textId="77777777" w:rsidR="00B160EB" w:rsidRPr="003A3D06" w:rsidRDefault="00B160EB" w:rsidP="00395BCA">
      <w:pPr>
        <w:spacing w:line="480" w:lineRule="auto"/>
        <w:rPr>
          <w:rFonts w:asciiTheme="majorHAnsi" w:hAnsiTheme="majorHAnsi"/>
        </w:rPr>
      </w:pPr>
    </w:p>
    <w:p w14:paraId="259A7B7B" w14:textId="72D891AF" w:rsidR="00B160EB" w:rsidRPr="003A3D06" w:rsidRDefault="00B160EB" w:rsidP="00395BCA">
      <w:pPr>
        <w:spacing w:line="480" w:lineRule="auto"/>
        <w:rPr>
          <w:rFonts w:asciiTheme="majorHAnsi" w:hAnsiTheme="majorHAnsi"/>
        </w:rPr>
      </w:pPr>
      <w:r w:rsidRPr="003A3D06">
        <w:rPr>
          <w:rFonts w:asciiTheme="majorHAnsi" w:hAnsiTheme="majorHAnsi"/>
        </w:rPr>
        <w:t>Nonmetric multidimensional scaling (</w:t>
      </w:r>
      <w:proofErr w:type="spellStart"/>
      <w:r w:rsidRPr="003A3D06">
        <w:rPr>
          <w:rFonts w:asciiTheme="majorHAnsi" w:hAnsiTheme="majorHAnsi"/>
        </w:rPr>
        <w:t>nMDS</w:t>
      </w:r>
      <w:proofErr w:type="spellEnd"/>
      <w:r w:rsidRPr="003A3D06">
        <w:rPr>
          <w:rFonts w:asciiTheme="majorHAnsi" w:hAnsiTheme="majorHAnsi"/>
        </w:rPr>
        <w:t xml:space="preserve">) plots based on Bray-Curtis distance </w:t>
      </w:r>
      <w:proofErr w:type="gramStart"/>
      <w:r w:rsidRPr="003A3D06">
        <w:rPr>
          <w:rFonts w:asciiTheme="majorHAnsi" w:hAnsiTheme="majorHAnsi"/>
        </w:rPr>
        <w:t>were used</w:t>
      </w:r>
      <w:proofErr w:type="gramEnd"/>
      <w:r w:rsidRPr="003A3D06">
        <w:rPr>
          <w:rFonts w:asciiTheme="majorHAnsi" w:hAnsiTheme="majorHAnsi"/>
        </w:rPr>
        <w:t xml:space="preserve"> to visualize similarity between groups of samples. Stress value &lt;0.2 (</w:t>
      </w:r>
      <w:proofErr w:type="spellStart"/>
      <w:r w:rsidRPr="003A3D06">
        <w:rPr>
          <w:rFonts w:asciiTheme="majorHAnsi" w:hAnsiTheme="majorHAnsi"/>
        </w:rPr>
        <w:t>Kruskal’s</w:t>
      </w:r>
      <w:proofErr w:type="spellEnd"/>
      <w:r w:rsidRPr="003A3D06">
        <w:rPr>
          <w:rFonts w:asciiTheme="majorHAnsi" w:hAnsiTheme="majorHAnsi"/>
        </w:rPr>
        <w:t xml:space="preserve"> stress formula 1) was used as an acceptable threshold </w:t>
      </w:r>
      <w:r w:rsidR="00E10FF4">
        <w:rPr>
          <w:rFonts w:asciiTheme="majorHAnsi" w:hAnsiTheme="majorHAnsi"/>
          <w:noProof/>
        </w:rPr>
        <w:t>[14]</w:t>
      </w:r>
      <w:r w:rsidRPr="003A3D06">
        <w:rPr>
          <w:rFonts w:asciiTheme="majorHAnsi" w:hAnsiTheme="majorHAnsi"/>
        </w:rPr>
        <w:t xml:space="preserve">. One-way </w:t>
      </w:r>
      <w:proofErr w:type="spellStart"/>
      <w:r w:rsidRPr="003A3D06">
        <w:rPr>
          <w:rFonts w:asciiTheme="majorHAnsi" w:hAnsiTheme="majorHAnsi"/>
        </w:rPr>
        <w:t>permutational</w:t>
      </w:r>
      <w:proofErr w:type="spellEnd"/>
      <w:r w:rsidRPr="003A3D06">
        <w:rPr>
          <w:rFonts w:asciiTheme="majorHAnsi" w:hAnsiTheme="majorHAnsi"/>
        </w:rPr>
        <w:t xml:space="preserve"> multivariate analysis of variance (PERMANOVA) with Bray-Curtis distance measure was used to assess differences in microbiome profiles among different groups of categorical variables and among the groups obtained from continuous variables categorized into </w:t>
      </w:r>
      <w:proofErr w:type="spellStart"/>
      <w:r w:rsidRPr="003A3D06">
        <w:rPr>
          <w:rFonts w:asciiTheme="majorHAnsi" w:hAnsiTheme="majorHAnsi"/>
        </w:rPr>
        <w:t>tertiles</w:t>
      </w:r>
      <w:proofErr w:type="spellEnd"/>
      <w:r w:rsidRPr="003A3D06">
        <w:rPr>
          <w:rFonts w:asciiTheme="majorHAnsi" w:hAnsiTheme="majorHAnsi"/>
        </w:rPr>
        <w:t xml:space="preserve"> (lowest, middle and highest </w:t>
      </w:r>
      <w:proofErr w:type="spellStart"/>
      <w:r w:rsidRPr="003A3D06">
        <w:rPr>
          <w:rFonts w:asciiTheme="majorHAnsi" w:hAnsiTheme="majorHAnsi"/>
        </w:rPr>
        <w:t>tertile</w:t>
      </w:r>
      <w:proofErr w:type="spellEnd"/>
      <w:r w:rsidRPr="003A3D06">
        <w:rPr>
          <w:rFonts w:asciiTheme="majorHAnsi" w:hAnsiTheme="majorHAnsi"/>
        </w:rPr>
        <w:t xml:space="preserve">). If more than two groups </w:t>
      </w:r>
      <w:proofErr w:type="gramStart"/>
      <w:r w:rsidRPr="003A3D06">
        <w:rPr>
          <w:rFonts w:asciiTheme="majorHAnsi" w:hAnsiTheme="majorHAnsi"/>
        </w:rPr>
        <w:t>were compared</w:t>
      </w:r>
      <w:proofErr w:type="gramEnd"/>
      <w:r w:rsidRPr="003A3D06">
        <w:rPr>
          <w:rFonts w:asciiTheme="majorHAnsi" w:hAnsiTheme="majorHAnsi"/>
        </w:rPr>
        <w:t xml:space="preserve">, the p-value was corrected using </w:t>
      </w:r>
      <w:proofErr w:type="spellStart"/>
      <w:r w:rsidRPr="003A3D06">
        <w:rPr>
          <w:rFonts w:asciiTheme="majorHAnsi" w:hAnsiTheme="majorHAnsi"/>
        </w:rPr>
        <w:t>Bonferroni</w:t>
      </w:r>
      <w:proofErr w:type="spellEnd"/>
      <w:r w:rsidRPr="003A3D06">
        <w:rPr>
          <w:rFonts w:asciiTheme="majorHAnsi" w:hAnsiTheme="majorHAnsi"/>
        </w:rPr>
        <w:t xml:space="preserve"> correction.  Canonical correspondence analysis (CCA) </w:t>
      </w:r>
      <w:proofErr w:type="gramStart"/>
      <w:r w:rsidRPr="003A3D06">
        <w:rPr>
          <w:rFonts w:asciiTheme="majorHAnsi" w:hAnsiTheme="majorHAnsi"/>
        </w:rPr>
        <w:t>was used</w:t>
      </w:r>
      <w:proofErr w:type="gramEnd"/>
      <w:r w:rsidRPr="003A3D06">
        <w:rPr>
          <w:rFonts w:asciiTheme="majorHAnsi" w:hAnsiTheme="majorHAnsi"/>
        </w:rPr>
        <w:t xml:space="preserve"> to visualize the relation of microbiome composition with continuous variables. This analysis results in an ordination plot that displays variation in community composition explained by environmental variables and visualized the distribution of samples and individual OTUs in relation to these environmental variables </w:t>
      </w:r>
      <w:r w:rsidR="00E10FF4">
        <w:rPr>
          <w:rFonts w:asciiTheme="majorHAnsi" w:hAnsiTheme="majorHAnsi"/>
          <w:noProof/>
        </w:rPr>
        <w:t>[15]</w:t>
      </w:r>
      <w:r w:rsidRPr="003A3D06">
        <w:rPr>
          <w:rFonts w:asciiTheme="majorHAnsi" w:hAnsiTheme="majorHAnsi"/>
        </w:rPr>
        <w:t xml:space="preserve">. The significance of the variance of each of the CCA axes </w:t>
      </w:r>
      <w:proofErr w:type="gramStart"/>
      <w:r w:rsidRPr="003A3D06">
        <w:rPr>
          <w:rFonts w:asciiTheme="majorHAnsi" w:hAnsiTheme="majorHAnsi"/>
        </w:rPr>
        <w:t>was calculated</w:t>
      </w:r>
      <w:proofErr w:type="gramEnd"/>
      <w:r w:rsidRPr="003A3D06">
        <w:rPr>
          <w:rFonts w:asciiTheme="majorHAnsi" w:hAnsiTheme="majorHAnsi"/>
        </w:rPr>
        <w:t xml:space="preserve"> by permuting the data 100 times. To assess microbiome diversity, the Shannon Diversity index </w:t>
      </w:r>
      <w:proofErr w:type="gramStart"/>
      <w:r w:rsidRPr="003A3D06">
        <w:rPr>
          <w:rFonts w:asciiTheme="majorHAnsi" w:hAnsiTheme="majorHAnsi"/>
        </w:rPr>
        <w:t>was used</w:t>
      </w:r>
      <w:proofErr w:type="gramEnd"/>
      <w:r w:rsidRPr="003A3D06">
        <w:rPr>
          <w:rFonts w:asciiTheme="majorHAnsi" w:hAnsiTheme="majorHAnsi"/>
        </w:rPr>
        <w:t xml:space="preserve">. All above analyses </w:t>
      </w:r>
      <w:proofErr w:type="gramStart"/>
      <w:r w:rsidRPr="003A3D06">
        <w:rPr>
          <w:rFonts w:asciiTheme="majorHAnsi" w:hAnsiTheme="majorHAnsi"/>
        </w:rPr>
        <w:t>were performed</w:t>
      </w:r>
      <w:proofErr w:type="gramEnd"/>
      <w:r w:rsidRPr="003A3D06">
        <w:rPr>
          <w:rFonts w:asciiTheme="majorHAnsi" w:hAnsiTheme="majorHAnsi"/>
        </w:rPr>
        <w:t xml:space="preserve"> in PAST, version 3.16 </w:t>
      </w:r>
      <w:r w:rsidR="00E10FF4">
        <w:rPr>
          <w:rFonts w:asciiTheme="majorHAnsi" w:hAnsiTheme="majorHAnsi"/>
          <w:noProof/>
        </w:rPr>
        <w:t>[16]</w:t>
      </w:r>
      <w:r w:rsidRPr="003A3D06">
        <w:rPr>
          <w:rFonts w:asciiTheme="majorHAnsi" w:hAnsiTheme="majorHAnsi"/>
        </w:rPr>
        <w:t>.</w:t>
      </w:r>
    </w:p>
    <w:p w14:paraId="73F84283" w14:textId="77777777" w:rsidR="00B160EB" w:rsidRPr="003A3D06" w:rsidRDefault="00B160EB" w:rsidP="00395BCA">
      <w:pPr>
        <w:spacing w:line="480" w:lineRule="auto"/>
        <w:rPr>
          <w:rFonts w:asciiTheme="majorHAnsi" w:hAnsiTheme="majorHAnsi"/>
        </w:rPr>
      </w:pPr>
    </w:p>
    <w:p w14:paraId="61624B67" w14:textId="4F7A5813" w:rsidR="00B160EB" w:rsidRPr="003A3D06" w:rsidRDefault="00B160EB" w:rsidP="00395BCA">
      <w:pPr>
        <w:spacing w:line="480" w:lineRule="auto"/>
        <w:rPr>
          <w:rFonts w:asciiTheme="majorHAnsi" w:hAnsiTheme="majorHAnsi"/>
        </w:rPr>
      </w:pPr>
      <w:r w:rsidRPr="003A3D06">
        <w:rPr>
          <w:rFonts w:asciiTheme="majorHAnsi" w:hAnsiTheme="majorHAnsi"/>
        </w:rPr>
        <w:t>Linear Discriminant Analysis Effect Size (</w:t>
      </w:r>
      <w:proofErr w:type="spellStart"/>
      <w:r w:rsidRPr="003A3D06">
        <w:rPr>
          <w:rFonts w:asciiTheme="majorHAnsi" w:hAnsiTheme="majorHAnsi"/>
        </w:rPr>
        <w:t>LEfSe</w:t>
      </w:r>
      <w:proofErr w:type="spellEnd"/>
      <w:r w:rsidRPr="003A3D06">
        <w:rPr>
          <w:rFonts w:asciiTheme="majorHAnsi" w:hAnsiTheme="majorHAnsi"/>
        </w:rPr>
        <w:t xml:space="preserve">) </w:t>
      </w:r>
      <w:proofErr w:type="gramStart"/>
      <w:r w:rsidRPr="003A3D06">
        <w:rPr>
          <w:rFonts w:asciiTheme="majorHAnsi" w:hAnsiTheme="majorHAnsi"/>
        </w:rPr>
        <w:t>was used</w:t>
      </w:r>
      <w:proofErr w:type="gramEnd"/>
      <w:r w:rsidRPr="003A3D06">
        <w:rPr>
          <w:rFonts w:asciiTheme="majorHAnsi" w:hAnsiTheme="majorHAnsi"/>
        </w:rPr>
        <w:t xml:space="preserve"> to determine which OTUs contributed to the observed significant differences among different groups of samples in PERMANOVA results </w:t>
      </w:r>
      <w:r w:rsidR="00E10FF4">
        <w:rPr>
          <w:rFonts w:asciiTheme="majorHAnsi" w:hAnsiTheme="majorHAnsi"/>
          <w:noProof/>
        </w:rPr>
        <w:t>[17]</w:t>
      </w:r>
      <w:r w:rsidRPr="003A3D06">
        <w:rPr>
          <w:rFonts w:asciiTheme="majorHAnsi" w:hAnsiTheme="majorHAnsi"/>
        </w:rPr>
        <w:t xml:space="preserve">. The default settings were used (factorial </w:t>
      </w:r>
      <w:proofErr w:type="spellStart"/>
      <w:r w:rsidRPr="003A3D06">
        <w:rPr>
          <w:rFonts w:asciiTheme="majorHAnsi" w:hAnsiTheme="majorHAnsi"/>
        </w:rPr>
        <w:t>Kruskal</w:t>
      </w:r>
      <w:proofErr w:type="spellEnd"/>
      <w:r w:rsidRPr="003A3D06">
        <w:rPr>
          <w:rFonts w:asciiTheme="majorHAnsi" w:hAnsiTheme="majorHAnsi"/>
        </w:rPr>
        <w:t xml:space="preserve">-Wallis test among classes: α = 0.05, threshold on the logarithmic LDA score for discriminative features: 2.0, and the strategy for multi-class analysis was set to be all-against-all). Only OTUs with at least 100 reads were included in the analyses. </w:t>
      </w:r>
    </w:p>
    <w:p w14:paraId="1EAA9793" w14:textId="77777777" w:rsidR="00B160EB" w:rsidRPr="003A3D06" w:rsidRDefault="00B160EB" w:rsidP="00395BCA">
      <w:pPr>
        <w:spacing w:line="480" w:lineRule="auto"/>
        <w:rPr>
          <w:rFonts w:asciiTheme="majorHAnsi" w:hAnsiTheme="majorHAnsi"/>
        </w:rPr>
      </w:pPr>
    </w:p>
    <w:p w14:paraId="227B21E7" w14:textId="5A81EE09" w:rsidR="00B160EB" w:rsidRPr="003A3D06" w:rsidRDefault="00B160EB" w:rsidP="00395BCA">
      <w:pPr>
        <w:autoSpaceDE w:val="0"/>
        <w:autoSpaceDN w:val="0"/>
        <w:adjustRightInd w:val="0"/>
        <w:spacing w:line="480" w:lineRule="auto"/>
        <w:rPr>
          <w:rFonts w:asciiTheme="majorHAnsi" w:hAnsiTheme="majorHAnsi"/>
        </w:rPr>
      </w:pPr>
      <w:r w:rsidRPr="003A3D06">
        <w:rPr>
          <w:rFonts w:asciiTheme="majorHAnsi" w:hAnsiTheme="majorHAnsi"/>
        </w:rPr>
        <w:t xml:space="preserve">Assessment of significant patterns of microbial co-occurrence or mutual exclusion at the genus or higher taxonomic level </w:t>
      </w:r>
      <w:proofErr w:type="gramStart"/>
      <w:r w:rsidRPr="003A3D06">
        <w:rPr>
          <w:rFonts w:asciiTheme="majorHAnsi" w:hAnsiTheme="majorHAnsi"/>
        </w:rPr>
        <w:t>was performed</w:t>
      </w:r>
      <w:proofErr w:type="gramEnd"/>
      <w:r w:rsidRPr="003A3D06">
        <w:rPr>
          <w:rFonts w:asciiTheme="majorHAnsi" w:hAnsiTheme="majorHAnsi"/>
        </w:rPr>
        <w:t xml:space="preserve"> using </w:t>
      </w:r>
      <w:proofErr w:type="spellStart"/>
      <w:r w:rsidRPr="003A3D06">
        <w:rPr>
          <w:rFonts w:asciiTheme="majorHAnsi" w:hAnsiTheme="majorHAnsi"/>
        </w:rPr>
        <w:t>CoNet</w:t>
      </w:r>
      <w:proofErr w:type="spellEnd"/>
      <w:r w:rsidRPr="003A3D06">
        <w:rPr>
          <w:rFonts w:asciiTheme="majorHAnsi" w:hAnsiTheme="majorHAnsi"/>
        </w:rPr>
        <w:t xml:space="preserve"> v.1.0b6 </w:t>
      </w:r>
      <w:r>
        <w:rPr>
          <w:rFonts w:asciiTheme="majorHAnsi" w:hAnsiTheme="majorHAnsi"/>
          <w:noProof/>
        </w:rPr>
        <w:t>(18)</w:t>
      </w:r>
      <w:r w:rsidRPr="003A3D06">
        <w:rPr>
          <w:rFonts w:asciiTheme="majorHAnsi" w:hAnsiTheme="majorHAnsi"/>
        </w:rPr>
        <w:t xml:space="preserve"> and visualized in </w:t>
      </w:r>
      <w:proofErr w:type="spellStart"/>
      <w:r w:rsidRPr="003A3D06">
        <w:rPr>
          <w:rFonts w:asciiTheme="majorHAnsi" w:hAnsiTheme="majorHAnsi"/>
        </w:rPr>
        <w:t>Cytoscape</w:t>
      </w:r>
      <w:proofErr w:type="spellEnd"/>
      <w:r w:rsidRPr="003A3D06">
        <w:rPr>
          <w:rFonts w:asciiTheme="majorHAnsi" w:hAnsiTheme="majorHAnsi"/>
        </w:rPr>
        <w:t xml:space="preserve"> v. 3.3.0. For this, a dataset of relative abundances of reads at the genus level including the 52 most abundant (average abundance 0.05% or above) genera or higher taxa, and the remaining taxa collectively termed “Others”, was used. An ensemble approach </w:t>
      </w:r>
      <w:proofErr w:type="gramStart"/>
      <w:r w:rsidRPr="003A3D06">
        <w:rPr>
          <w:rFonts w:asciiTheme="majorHAnsi" w:hAnsiTheme="majorHAnsi"/>
        </w:rPr>
        <w:t>was used</w:t>
      </w:r>
      <w:proofErr w:type="gramEnd"/>
      <w:r w:rsidRPr="003A3D06">
        <w:rPr>
          <w:rFonts w:asciiTheme="majorHAnsi" w:hAnsiTheme="majorHAnsi"/>
        </w:rPr>
        <w:t xml:space="preserve">, where two measures of correlation (Pearson and Spearman) and two measures of dissimilarity (Bray Curtis and </w:t>
      </w:r>
      <w:proofErr w:type="spellStart"/>
      <w:r w:rsidRPr="003A3D06">
        <w:rPr>
          <w:rFonts w:asciiTheme="majorHAnsi" w:hAnsiTheme="majorHAnsi"/>
        </w:rPr>
        <w:t>Kullback-Leibler</w:t>
      </w:r>
      <w:proofErr w:type="spellEnd"/>
      <w:r w:rsidRPr="003A3D06">
        <w:rPr>
          <w:rFonts w:asciiTheme="majorHAnsi" w:hAnsiTheme="majorHAnsi"/>
        </w:rPr>
        <w:t xml:space="preserve">) were combined as described by Faust et al. </w:t>
      </w:r>
      <w:r w:rsidR="00E10FF4">
        <w:rPr>
          <w:rFonts w:asciiTheme="majorHAnsi" w:hAnsiTheme="majorHAnsi"/>
          <w:noProof/>
        </w:rPr>
        <w:t>[18]</w:t>
      </w:r>
      <w:r w:rsidRPr="003A3D06">
        <w:rPr>
          <w:rFonts w:asciiTheme="majorHAnsi" w:hAnsiTheme="majorHAnsi"/>
        </w:rPr>
        <w:t xml:space="preserve">, with a threshold of 0.5 and at least two methods supporting an association. The data matrix was randomized by 100 </w:t>
      </w:r>
      <w:proofErr w:type="gramStart"/>
      <w:r w:rsidRPr="003A3D06">
        <w:rPr>
          <w:rFonts w:asciiTheme="majorHAnsi" w:hAnsiTheme="majorHAnsi"/>
        </w:rPr>
        <w:t>row-wise</w:t>
      </w:r>
      <w:proofErr w:type="gramEnd"/>
      <w:r w:rsidRPr="003A3D06">
        <w:rPr>
          <w:rFonts w:asciiTheme="majorHAnsi" w:hAnsiTheme="majorHAnsi"/>
        </w:rPr>
        <w:t xml:space="preserve"> permutations and P values were adjusted by </w:t>
      </w:r>
      <w:proofErr w:type="spellStart"/>
      <w:r w:rsidRPr="003A3D06">
        <w:rPr>
          <w:rFonts w:asciiTheme="majorHAnsi" w:hAnsiTheme="majorHAnsi"/>
        </w:rPr>
        <w:t>Benjamini</w:t>
      </w:r>
      <w:proofErr w:type="spellEnd"/>
      <w:r w:rsidRPr="003A3D06">
        <w:rPr>
          <w:rFonts w:asciiTheme="majorHAnsi" w:hAnsiTheme="majorHAnsi"/>
        </w:rPr>
        <w:t xml:space="preserve">-Hochberg FDR </w:t>
      </w:r>
      <w:r w:rsidR="00E10FF4">
        <w:rPr>
          <w:rFonts w:asciiTheme="majorHAnsi" w:hAnsiTheme="majorHAnsi"/>
          <w:noProof/>
        </w:rPr>
        <w:t>[19]</w:t>
      </w:r>
      <w:r w:rsidRPr="003A3D06">
        <w:rPr>
          <w:rFonts w:asciiTheme="majorHAnsi" w:hAnsiTheme="majorHAnsi"/>
        </w:rPr>
        <w:t xml:space="preserve"> correction, retaining only </w:t>
      </w:r>
      <w:r w:rsidRPr="003A3D06">
        <w:rPr>
          <w:rFonts w:asciiTheme="majorHAnsi" w:hAnsiTheme="majorHAnsi"/>
          <w:i/>
        </w:rPr>
        <w:t>P</w:t>
      </w:r>
      <w:r w:rsidRPr="003A3D06">
        <w:rPr>
          <w:rFonts w:asciiTheme="majorHAnsi" w:hAnsiTheme="majorHAnsi"/>
        </w:rPr>
        <w:t>&lt;0.05.</w:t>
      </w:r>
    </w:p>
    <w:p w14:paraId="6AD0A30D" w14:textId="77777777" w:rsidR="00B160EB" w:rsidRPr="003A3D06" w:rsidRDefault="00B160EB" w:rsidP="00395BCA">
      <w:pPr>
        <w:autoSpaceDE w:val="0"/>
        <w:autoSpaceDN w:val="0"/>
        <w:adjustRightInd w:val="0"/>
        <w:spacing w:line="480" w:lineRule="auto"/>
        <w:rPr>
          <w:rFonts w:asciiTheme="majorHAnsi" w:hAnsiTheme="majorHAnsi"/>
        </w:rPr>
      </w:pPr>
    </w:p>
    <w:p w14:paraId="0E15E0AC" w14:textId="77777777" w:rsidR="00B160EB" w:rsidRPr="00F02B77" w:rsidRDefault="00B160EB" w:rsidP="00F02B77">
      <w:pPr>
        <w:pStyle w:val="Heading2"/>
      </w:pPr>
      <w:r w:rsidRPr="00F02B77">
        <w:rPr>
          <w:rStyle w:val="Heading1Char"/>
          <w:b/>
          <w:bCs w:val="0"/>
          <w:color w:val="auto"/>
          <w:sz w:val="32"/>
          <w:szCs w:val="26"/>
        </w:rPr>
        <w:t>References</w:t>
      </w:r>
    </w:p>
    <w:p w14:paraId="72497517" w14:textId="77777777" w:rsidR="00B160EB" w:rsidRPr="003A3D06" w:rsidRDefault="00B160EB" w:rsidP="00395BCA">
      <w:pPr>
        <w:spacing w:line="480" w:lineRule="auto"/>
        <w:rPr>
          <w:rFonts w:asciiTheme="majorHAnsi" w:hAnsiTheme="majorHAnsi"/>
        </w:rPr>
      </w:pPr>
    </w:p>
    <w:p w14:paraId="32659327" w14:textId="77777777" w:rsidR="00B160EB" w:rsidRPr="00765543" w:rsidRDefault="00B160EB" w:rsidP="00B160EB">
      <w:pPr>
        <w:pStyle w:val="EndNoteBibliography"/>
        <w:ind w:left="708" w:hanging="708"/>
        <w:rPr>
          <w:rFonts w:asciiTheme="majorHAnsi" w:hAnsiTheme="majorHAnsi"/>
        </w:rPr>
      </w:pPr>
      <w:r w:rsidRPr="00765543">
        <w:rPr>
          <w:rFonts w:asciiTheme="majorHAnsi" w:hAnsiTheme="majorHAnsi"/>
        </w:rPr>
        <w:t>1.</w:t>
      </w:r>
      <w:r w:rsidRPr="00765543">
        <w:rPr>
          <w:rFonts w:asciiTheme="majorHAnsi" w:hAnsiTheme="majorHAnsi"/>
        </w:rPr>
        <w:tab/>
        <w:t>Kingman A, Albandar JM. Methodological aspects of epidemiological studies of periodontal diseases. Periodontol 2000 2002;29:11-30.</w:t>
      </w:r>
    </w:p>
    <w:p w14:paraId="51C7A33D" w14:textId="022E4A3B" w:rsidR="00B160EB" w:rsidRPr="00765543" w:rsidRDefault="00B160EB" w:rsidP="00B160EB">
      <w:pPr>
        <w:pStyle w:val="EndNoteBibliography"/>
        <w:ind w:left="708" w:hanging="708"/>
        <w:rPr>
          <w:rFonts w:asciiTheme="majorHAnsi" w:hAnsiTheme="majorHAnsi"/>
        </w:rPr>
      </w:pPr>
      <w:r w:rsidRPr="00765543">
        <w:rPr>
          <w:rFonts w:asciiTheme="majorHAnsi" w:hAnsiTheme="majorHAnsi"/>
        </w:rPr>
        <w:t>2.</w:t>
      </w:r>
      <w:r w:rsidRPr="00765543">
        <w:rPr>
          <w:rFonts w:asciiTheme="majorHAnsi" w:hAnsiTheme="majorHAnsi"/>
        </w:rPr>
        <w:tab/>
        <w:t>Ainamo J, Bay I. Problems and proposals for recording gingivitis and plaque. Int Dent J 1975;25</w:t>
      </w:r>
      <w:r w:rsidR="009958CD">
        <w:rPr>
          <w:rFonts w:asciiTheme="majorHAnsi" w:hAnsiTheme="majorHAnsi"/>
        </w:rPr>
        <w:t>(4)</w:t>
      </w:r>
      <w:r w:rsidRPr="00765543">
        <w:rPr>
          <w:rFonts w:asciiTheme="majorHAnsi" w:hAnsiTheme="majorHAnsi"/>
        </w:rPr>
        <w:t>:229-35.</w:t>
      </w:r>
    </w:p>
    <w:p w14:paraId="5D4C65BE" w14:textId="52E35B7F" w:rsidR="00B160EB" w:rsidRPr="00765543" w:rsidRDefault="00B160EB" w:rsidP="00B160EB">
      <w:pPr>
        <w:pStyle w:val="EndNoteBibliography"/>
        <w:ind w:left="708" w:hanging="708"/>
        <w:rPr>
          <w:rFonts w:asciiTheme="majorHAnsi" w:hAnsiTheme="majorHAnsi"/>
        </w:rPr>
      </w:pPr>
      <w:r w:rsidRPr="00765543">
        <w:rPr>
          <w:rFonts w:asciiTheme="majorHAnsi" w:hAnsiTheme="majorHAnsi"/>
        </w:rPr>
        <w:t>3.</w:t>
      </w:r>
      <w:r w:rsidRPr="00765543">
        <w:rPr>
          <w:rFonts w:asciiTheme="majorHAnsi" w:hAnsiTheme="majorHAnsi"/>
        </w:rPr>
        <w:tab/>
        <w:t>O'Leary TJ, Drake RB, Naylor JE. The plaque control record. J Periodontol 1972;43</w:t>
      </w:r>
      <w:r w:rsidR="009958CD">
        <w:rPr>
          <w:rFonts w:asciiTheme="majorHAnsi" w:hAnsiTheme="majorHAnsi"/>
        </w:rPr>
        <w:t>(1)</w:t>
      </w:r>
      <w:r w:rsidRPr="00765543">
        <w:rPr>
          <w:rFonts w:asciiTheme="majorHAnsi" w:hAnsiTheme="majorHAnsi"/>
        </w:rPr>
        <w:t>:38.</w:t>
      </w:r>
    </w:p>
    <w:p w14:paraId="47E461ED" w14:textId="77777777" w:rsidR="00B160EB" w:rsidRPr="00765543" w:rsidRDefault="00B160EB" w:rsidP="00B160EB">
      <w:pPr>
        <w:pStyle w:val="EndNoteBibliography"/>
        <w:rPr>
          <w:rFonts w:asciiTheme="majorHAnsi" w:hAnsiTheme="majorHAnsi"/>
        </w:rPr>
      </w:pPr>
      <w:r w:rsidRPr="003E456F">
        <w:rPr>
          <w:rFonts w:asciiTheme="majorHAnsi" w:hAnsiTheme="majorHAnsi"/>
        </w:rPr>
        <w:t>4.</w:t>
      </w:r>
      <w:r w:rsidRPr="003E456F">
        <w:rPr>
          <w:rFonts w:asciiTheme="majorHAnsi" w:hAnsiTheme="majorHAnsi"/>
        </w:rPr>
        <w:tab/>
        <w:t>Miller S. Textbook of Periodontia. Philadelphia: Blakiston Company 1938.</w:t>
      </w:r>
    </w:p>
    <w:p w14:paraId="4E27C422" w14:textId="1B2C4FC8" w:rsidR="00B160EB" w:rsidRPr="00765543" w:rsidRDefault="00B160EB" w:rsidP="00B160EB">
      <w:pPr>
        <w:pStyle w:val="EndNoteBibliography"/>
        <w:ind w:left="708" w:hanging="708"/>
        <w:rPr>
          <w:rFonts w:asciiTheme="majorHAnsi" w:hAnsiTheme="majorHAnsi"/>
        </w:rPr>
      </w:pPr>
      <w:r w:rsidRPr="00765543">
        <w:rPr>
          <w:rFonts w:asciiTheme="majorHAnsi" w:hAnsiTheme="majorHAnsi"/>
        </w:rPr>
        <w:t>5.</w:t>
      </w:r>
      <w:r w:rsidRPr="00765543">
        <w:rPr>
          <w:rFonts w:asciiTheme="majorHAnsi" w:hAnsiTheme="majorHAnsi"/>
        </w:rPr>
        <w:tab/>
        <w:t>Hamp SE, Nyman S, Lindhe J. Periodontal treatment of multirooted teeth. Results after 5 years. J Clin Periodontol 1975;2</w:t>
      </w:r>
      <w:r w:rsidR="009958CD">
        <w:rPr>
          <w:rFonts w:asciiTheme="majorHAnsi" w:hAnsiTheme="majorHAnsi"/>
        </w:rPr>
        <w:t>(3)</w:t>
      </w:r>
      <w:r w:rsidRPr="00765543">
        <w:rPr>
          <w:rFonts w:asciiTheme="majorHAnsi" w:hAnsiTheme="majorHAnsi"/>
        </w:rPr>
        <w:t>:126-35.</w:t>
      </w:r>
    </w:p>
    <w:p w14:paraId="696782B4" w14:textId="534F841F" w:rsidR="00B160EB" w:rsidRPr="00765543" w:rsidRDefault="00B160EB" w:rsidP="00B160EB">
      <w:pPr>
        <w:pStyle w:val="EndNoteBibliography"/>
        <w:ind w:left="708" w:hanging="708"/>
        <w:rPr>
          <w:rFonts w:asciiTheme="majorHAnsi" w:hAnsiTheme="majorHAnsi"/>
        </w:rPr>
      </w:pPr>
      <w:r>
        <w:rPr>
          <w:rFonts w:asciiTheme="majorHAnsi" w:hAnsiTheme="majorHAnsi"/>
        </w:rPr>
        <w:t>6</w:t>
      </w:r>
      <w:r w:rsidRPr="00765543">
        <w:rPr>
          <w:rFonts w:asciiTheme="majorHAnsi" w:hAnsiTheme="majorHAnsi"/>
        </w:rPr>
        <w:t>.</w:t>
      </w:r>
      <w:r w:rsidRPr="00765543">
        <w:rPr>
          <w:rFonts w:asciiTheme="majorHAnsi" w:hAnsiTheme="majorHAnsi"/>
        </w:rPr>
        <w:tab/>
        <w:t>Ciric L, Pratten J, Wilson M, Spratt D. Development of a novel multi-triplex qPCR method for the assessment of bacterial community structure in oral populations. Environ Microbiol Rep 2010;2</w:t>
      </w:r>
      <w:r w:rsidR="009958CD">
        <w:rPr>
          <w:rFonts w:asciiTheme="majorHAnsi" w:hAnsiTheme="majorHAnsi"/>
        </w:rPr>
        <w:t>(6)</w:t>
      </w:r>
      <w:r w:rsidRPr="00765543">
        <w:rPr>
          <w:rFonts w:asciiTheme="majorHAnsi" w:hAnsiTheme="majorHAnsi"/>
        </w:rPr>
        <w:t>:770-4.</w:t>
      </w:r>
    </w:p>
    <w:p w14:paraId="1E4CFA98" w14:textId="77777777" w:rsidR="00B160EB" w:rsidRPr="00765543" w:rsidRDefault="00B160EB" w:rsidP="00B160EB">
      <w:pPr>
        <w:pStyle w:val="EndNoteBibliography"/>
        <w:ind w:left="708" w:hanging="708"/>
        <w:rPr>
          <w:rFonts w:asciiTheme="majorHAnsi" w:hAnsiTheme="majorHAnsi"/>
        </w:rPr>
      </w:pPr>
      <w:r>
        <w:rPr>
          <w:rFonts w:asciiTheme="majorHAnsi" w:hAnsiTheme="majorHAnsi"/>
        </w:rPr>
        <w:t>7</w:t>
      </w:r>
      <w:r w:rsidRPr="00765543">
        <w:rPr>
          <w:rFonts w:asciiTheme="majorHAnsi" w:hAnsiTheme="majorHAnsi"/>
        </w:rPr>
        <w:t>.</w:t>
      </w:r>
      <w:r w:rsidRPr="00765543">
        <w:rPr>
          <w:rFonts w:asciiTheme="majorHAnsi" w:hAnsiTheme="majorHAnsi"/>
        </w:rPr>
        <w:tab/>
        <w:t>O'Donnell LE, Robertson D, Nile CJ, Cross LJ, Riggio M, Sherriff A, et al. The Oral Microbiome of Denture Wearers Is Influenced by Levels of Natural Dentition. PLoS One 2015;10:e0137717.</w:t>
      </w:r>
    </w:p>
    <w:p w14:paraId="24CFE1ED" w14:textId="7DE1BA21" w:rsidR="00B160EB" w:rsidRPr="00765543" w:rsidRDefault="00B160EB" w:rsidP="00B160EB">
      <w:pPr>
        <w:pStyle w:val="EndNoteBibliography"/>
        <w:ind w:left="708" w:hanging="708"/>
        <w:rPr>
          <w:rFonts w:asciiTheme="majorHAnsi" w:hAnsiTheme="majorHAnsi"/>
        </w:rPr>
      </w:pPr>
      <w:r>
        <w:rPr>
          <w:rFonts w:asciiTheme="majorHAnsi" w:hAnsiTheme="majorHAnsi"/>
        </w:rPr>
        <w:t>8</w:t>
      </w:r>
      <w:r w:rsidRPr="00765543">
        <w:rPr>
          <w:rFonts w:asciiTheme="majorHAnsi" w:hAnsiTheme="majorHAnsi"/>
        </w:rPr>
        <w:t>.</w:t>
      </w:r>
      <w:r w:rsidRPr="00765543">
        <w:rPr>
          <w:rFonts w:asciiTheme="majorHAnsi" w:hAnsiTheme="majorHAnsi"/>
        </w:rPr>
        <w:tab/>
        <w:t xml:space="preserve">Boutaga K, van Winkelhoff AJ, Vandenbroucke-Grauls CM, Savelkoul PH. Comparison of real-time PCR and culture for detection </w:t>
      </w:r>
      <w:r w:rsidRPr="00D95416">
        <w:rPr>
          <w:rFonts w:asciiTheme="majorHAnsi" w:hAnsiTheme="majorHAnsi"/>
        </w:rPr>
        <w:t xml:space="preserve">of </w:t>
      </w:r>
      <w:r w:rsidRPr="00F1044B">
        <w:rPr>
          <w:rFonts w:asciiTheme="majorHAnsi" w:hAnsiTheme="majorHAnsi"/>
          <w:i/>
        </w:rPr>
        <w:t>Porphyromonas gingivalis</w:t>
      </w:r>
      <w:r w:rsidRPr="00765543">
        <w:rPr>
          <w:rFonts w:asciiTheme="majorHAnsi" w:hAnsiTheme="majorHAnsi"/>
        </w:rPr>
        <w:t xml:space="preserve"> in subgingival plaque samples. J Clin Microbiol 2003;41</w:t>
      </w:r>
      <w:r w:rsidR="009958CD">
        <w:rPr>
          <w:rFonts w:asciiTheme="majorHAnsi" w:hAnsiTheme="majorHAnsi"/>
        </w:rPr>
        <w:t>(11)</w:t>
      </w:r>
      <w:r w:rsidRPr="00765543">
        <w:rPr>
          <w:rFonts w:asciiTheme="majorHAnsi" w:hAnsiTheme="majorHAnsi"/>
        </w:rPr>
        <w:t>:4950-4.</w:t>
      </w:r>
    </w:p>
    <w:p w14:paraId="21799E4B" w14:textId="51052D1C" w:rsidR="00B160EB" w:rsidRPr="00765543" w:rsidRDefault="00B160EB" w:rsidP="00B160EB">
      <w:pPr>
        <w:pStyle w:val="EndNoteBibliography"/>
        <w:ind w:left="708" w:hanging="708"/>
        <w:rPr>
          <w:rFonts w:asciiTheme="majorHAnsi" w:hAnsiTheme="majorHAnsi"/>
        </w:rPr>
      </w:pPr>
      <w:r>
        <w:rPr>
          <w:rFonts w:asciiTheme="majorHAnsi" w:hAnsiTheme="majorHAnsi"/>
        </w:rPr>
        <w:t>9</w:t>
      </w:r>
      <w:r w:rsidRPr="00765543">
        <w:rPr>
          <w:rFonts w:asciiTheme="majorHAnsi" w:hAnsiTheme="majorHAnsi"/>
        </w:rPr>
        <w:t>.</w:t>
      </w:r>
      <w:r w:rsidRPr="00765543">
        <w:rPr>
          <w:rFonts w:asciiTheme="majorHAnsi" w:hAnsiTheme="majorHAnsi"/>
        </w:rPr>
        <w:tab/>
        <w:t>Edgar RC. UPARSE: highly accurate OTU sequences from microbial amplicon reads. Nat Methods 2013;10</w:t>
      </w:r>
      <w:r w:rsidR="009958CD">
        <w:rPr>
          <w:rFonts w:asciiTheme="majorHAnsi" w:hAnsiTheme="majorHAnsi"/>
        </w:rPr>
        <w:t>(10)</w:t>
      </w:r>
      <w:r w:rsidRPr="00765543">
        <w:rPr>
          <w:rFonts w:asciiTheme="majorHAnsi" w:hAnsiTheme="majorHAnsi"/>
        </w:rPr>
        <w:t>:996-8.</w:t>
      </w:r>
    </w:p>
    <w:p w14:paraId="442EBAEE" w14:textId="21CCD7E7" w:rsidR="00B160EB" w:rsidRPr="00765543" w:rsidRDefault="00B160EB" w:rsidP="00B160EB">
      <w:pPr>
        <w:pStyle w:val="EndNoteBibliography"/>
        <w:ind w:left="708" w:hanging="708"/>
        <w:rPr>
          <w:rFonts w:asciiTheme="majorHAnsi" w:hAnsiTheme="majorHAnsi"/>
        </w:rPr>
      </w:pPr>
      <w:r>
        <w:rPr>
          <w:rFonts w:asciiTheme="majorHAnsi" w:hAnsiTheme="majorHAnsi"/>
        </w:rPr>
        <w:t>10</w:t>
      </w:r>
      <w:r w:rsidRPr="00765543">
        <w:rPr>
          <w:rFonts w:asciiTheme="majorHAnsi" w:hAnsiTheme="majorHAnsi"/>
        </w:rPr>
        <w:t>.</w:t>
      </w:r>
      <w:r w:rsidRPr="00765543">
        <w:rPr>
          <w:rFonts w:asciiTheme="majorHAnsi" w:hAnsiTheme="majorHAnsi"/>
        </w:rPr>
        <w:tab/>
        <w:t>Caporaso JG, Kuczynski J, Stombaugh J, Bittinger K, Bushman FD, Costello EK, et al. QIIME allows analysis of high-throughput community sequencing data. Nat Methods 2010;7</w:t>
      </w:r>
      <w:r w:rsidR="009958CD">
        <w:rPr>
          <w:rFonts w:asciiTheme="majorHAnsi" w:hAnsiTheme="majorHAnsi"/>
        </w:rPr>
        <w:t>(5)</w:t>
      </w:r>
      <w:r w:rsidRPr="00765543">
        <w:rPr>
          <w:rFonts w:asciiTheme="majorHAnsi" w:hAnsiTheme="majorHAnsi"/>
        </w:rPr>
        <w:t>:335-6.</w:t>
      </w:r>
    </w:p>
    <w:p w14:paraId="5D4C3646" w14:textId="77777777" w:rsidR="00B160EB" w:rsidRPr="00765543" w:rsidRDefault="00B160EB" w:rsidP="00B160EB">
      <w:pPr>
        <w:pStyle w:val="EndNoteBibliography"/>
        <w:ind w:left="708" w:hanging="708"/>
        <w:rPr>
          <w:rFonts w:asciiTheme="majorHAnsi" w:hAnsiTheme="majorHAnsi"/>
        </w:rPr>
      </w:pPr>
      <w:r>
        <w:rPr>
          <w:rFonts w:asciiTheme="majorHAnsi" w:hAnsiTheme="majorHAnsi"/>
        </w:rPr>
        <w:t>11</w:t>
      </w:r>
      <w:r w:rsidRPr="00765543">
        <w:rPr>
          <w:rFonts w:asciiTheme="majorHAnsi" w:hAnsiTheme="majorHAnsi"/>
        </w:rPr>
        <w:t>.</w:t>
      </w:r>
      <w:r w:rsidRPr="00765543">
        <w:rPr>
          <w:rFonts w:asciiTheme="majorHAnsi" w:hAnsiTheme="majorHAnsi"/>
        </w:rPr>
        <w:tab/>
        <w:t>Cole JR, Wang Q, Cardenas E, Fish J, Chai B, Farris RJ, et al. The Ribosomal Database Project: improved alignments and new tools for rRNA analysis. Nucleic Acids Res 2009;37:D141-5.</w:t>
      </w:r>
    </w:p>
    <w:p w14:paraId="648CC8B2" w14:textId="362C8C1E" w:rsidR="00B160EB" w:rsidRPr="00765543" w:rsidRDefault="00B160EB" w:rsidP="00B160EB">
      <w:pPr>
        <w:pStyle w:val="EndNoteBibliography"/>
        <w:ind w:left="708" w:hanging="708"/>
        <w:rPr>
          <w:rFonts w:asciiTheme="majorHAnsi" w:hAnsiTheme="majorHAnsi"/>
        </w:rPr>
      </w:pPr>
      <w:r w:rsidRPr="00B160EB">
        <w:rPr>
          <w:rFonts w:asciiTheme="majorHAnsi" w:hAnsiTheme="majorHAnsi"/>
        </w:rPr>
        <w:t>12.</w:t>
      </w:r>
      <w:r w:rsidRPr="00B160EB">
        <w:rPr>
          <w:rFonts w:asciiTheme="majorHAnsi" w:hAnsiTheme="majorHAnsi"/>
        </w:rPr>
        <w:tab/>
        <w:t xml:space="preserve">Pruesse E, Quast C, Knittel K, Fuchs BM, Ludwig W, Peplies J, et al. </w:t>
      </w:r>
      <w:r w:rsidRPr="00765543">
        <w:rPr>
          <w:rFonts w:asciiTheme="majorHAnsi" w:hAnsiTheme="majorHAnsi"/>
        </w:rPr>
        <w:t>SILVA: a comprehensive online resource for quality checked and aligned ribosomal RNA sequence data compatible with ARB. Nucleic Acids Res 2007;35</w:t>
      </w:r>
      <w:r w:rsidR="009958CD">
        <w:rPr>
          <w:rFonts w:asciiTheme="majorHAnsi" w:hAnsiTheme="majorHAnsi"/>
        </w:rPr>
        <w:t>(21)</w:t>
      </w:r>
      <w:r w:rsidRPr="00765543">
        <w:rPr>
          <w:rFonts w:asciiTheme="majorHAnsi" w:hAnsiTheme="majorHAnsi"/>
        </w:rPr>
        <w:t>:7188-96.</w:t>
      </w:r>
    </w:p>
    <w:p w14:paraId="5A55AAC3" w14:textId="77777777" w:rsidR="00B160EB" w:rsidRPr="00765543" w:rsidRDefault="00B160EB" w:rsidP="00B160EB">
      <w:pPr>
        <w:pStyle w:val="EndNoteBibliography"/>
        <w:ind w:left="708" w:hanging="708"/>
        <w:rPr>
          <w:rFonts w:asciiTheme="majorHAnsi" w:hAnsiTheme="majorHAnsi"/>
        </w:rPr>
      </w:pPr>
      <w:r>
        <w:rPr>
          <w:rFonts w:asciiTheme="majorHAnsi" w:hAnsiTheme="majorHAnsi"/>
        </w:rPr>
        <w:t>13</w:t>
      </w:r>
      <w:r w:rsidRPr="00765543">
        <w:rPr>
          <w:rFonts w:asciiTheme="majorHAnsi" w:hAnsiTheme="majorHAnsi"/>
        </w:rPr>
        <w:t>.</w:t>
      </w:r>
      <w:r w:rsidRPr="00765543">
        <w:rPr>
          <w:rFonts w:asciiTheme="majorHAnsi" w:hAnsiTheme="majorHAnsi"/>
        </w:rPr>
        <w:tab/>
        <w:t>Chen T, Yu WH, Izard J, Baranova OV, Lakshmanan A, Dewhirst FE. The Human Oral Microbiome Database: a web accessible resource for investigating oral microbe taxonomic and genomic information. Database 2010;2010:baq013.</w:t>
      </w:r>
    </w:p>
    <w:p w14:paraId="266C909F" w14:textId="076AB625" w:rsidR="00B160EB" w:rsidRPr="00765543" w:rsidRDefault="00B160EB" w:rsidP="00B160EB">
      <w:pPr>
        <w:pStyle w:val="EndNoteBibliography"/>
        <w:ind w:left="708" w:hanging="708"/>
        <w:rPr>
          <w:rFonts w:asciiTheme="majorHAnsi" w:hAnsiTheme="majorHAnsi"/>
        </w:rPr>
      </w:pPr>
      <w:r>
        <w:rPr>
          <w:rFonts w:asciiTheme="majorHAnsi" w:hAnsiTheme="majorHAnsi"/>
        </w:rPr>
        <w:t>14</w:t>
      </w:r>
      <w:r w:rsidRPr="00765543">
        <w:rPr>
          <w:rFonts w:asciiTheme="majorHAnsi" w:hAnsiTheme="majorHAnsi"/>
        </w:rPr>
        <w:t>.</w:t>
      </w:r>
      <w:r w:rsidRPr="00765543">
        <w:rPr>
          <w:rFonts w:asciiTheme="majorHAnsi" w:hAnsiTheme="majorHAnsi"/>
        </w:rPr>
        <w:tab/>
        <w:t>Clarke KR. Non-parametric multivariate analyses of changes in community structure. Aust J Ecol. 1993;18</w:t>
      </w:r>
      <w:r w:rsidR="009958CD">
        <w:rPr>
          <w:rFonts w:asciiTheme="majorHAnsi" w:hAnsiTheme="majorHAnsi"/>
        </w:rPr>
        <w:t>(1)</w:t>
      </w:r>
      <w:r w:rsidRPr="00765543">
        <w:rPr>
          <w:rFonts w:asciiTheme="majorHAnsi" w:hAnsiTheme="majorHAnsi"/>
        </w:rPr>
        <w:t>:26.</w:t>
      </w:r>
    </w:p>
    <w:p w14:paraId="01727E8B" w14:textId="5262C2B6" w:rsidR="00B160EB" w:rsidRPr="00765543" w:rsidRDefault="00B160EB" w:rsidP="00B160EB">
      <w:pPr>
        <w:pStyle w:val="EndNoteBibliography"/>
        <w:ind w:left="708" w:hanging="708"/>
        <w:rPr>
          <w:rFonts w:asciiTheme="majorHAnsi" w:hAnsiTheme="majorHAnsi"/>
        </w:rPr>
      </w:pPr>
      <w:r>
        <w:rPr>
          <w:rFonts w:asciiTheme="majorHAnsi" w:hAnsiTheme="majorHAnsi"/>
        </w:rPr>
        <w:t>15</w:t>
      </w:r>
      <w:r w:rsidRPr="00765543">
        <w:rPr>
          <w:rFonts w:asciiTheme="majorHAnsi" w:hAnsiTheme="majorHAnsi"/>
        </w:rPr>
        <w:t>.</w:t>
      </w:r>
      <w:r w:rsidRPr="00765543">
        <w:rPr>
          <w:rFonts w:asciiTheme="majorHAnsi" w:hAnsiTheme="majorHAnsi"/>
        </w:rPr>
        <w:tab/>
        <w:t>Ter Braak CJF. Canonical Correspondence Analysis: A New Eigenvector Technique for Multivariate Direct Gradient Analysis. Ecology 1986;67</w:t>
      </w:r>
      <w:r w:rsidR="009958CD">
        <w:rPr>
          <w:rFonts w:asciiTheme="majorHAnsi" w:hAnsiTheme="majorHAnsi"/>
        </w:rPr>
        <w:t>(5)</w:t>
      </w:r>
      <w:r w:rsidRPr="00765543">
        <w:rPr>
          <w:rFonts w:asciiTheme="majorHAnsi" w:hAnsiTheme="majorHAnsi"/>
        </w:rPr>
        <w:t>:13.</w:t>
      </w:r>
    </w:p>
    <w:p w14:paraId="394A76F7" w14:textId="31255F3C" w:rsidR="00B160EB" w:rsidRPr="00765543" w:rsidRDefault="00B160EB" w:rsidP="00B160EB">
      <w:pPr>
        <w:pStyle w:val="EndNoteBibliography"/>
        <w:ind w:left="708" w:hanging="708"/>
        <w:rPr>
          <w:rFonts w:asciiTheme="majorHAnsi" w:hAnsiTheme="majorHAnsi"/>
        </w:rPr>
      </w:pPr>
      <w:r w:rsidRPr="00B160EB">
        <w:rPr>
          <w:rFonts w:asciiTheme="majorHAnsi" w:hAnsiTheme="majorHAnsi"/>
        </w:rPr>
        <w:t>16.</w:t>
      </w:r>
      <w:r w:rsidRPr="00B160EB">
        <w:rPr>
          <w:rFonts w:asciiTheme="majorHAnsi" w:hAnsiTheme="majorHAnsi"/>
        </w:rPr>
        <w:tab/>
        <w:t xml:space="preserve">Hammer Ø, Harper DAT, Ryan PD. </w:t>
      </w:r>
      <w:r w:rsidRPr="00765543">
        <w:rPr>
          <w:rFonts w:asciiTheme="majorHAnsi" w:hAnsiTheme="majorHAnsi"/>
        </w:rPr>
        <w:t>PAST: paleontological statistics software package for education and data analysis. Palaeontol Electron 2001.</w:t>
      </w:r>
      <w:r w:rsidR="009958CD">
        <w:rPr>
          <w:rFonts w:asciiTheme="majorHAnsi" w:hAnsiTheme="majorHAnsi"/>
        </w:rPr>
        <w:t xml:space="preserve"> Available from: </w:t>
      </w:r>
      <w:r w:rsidR="009958CD" w:rsidRPr="009958CD">
        <w:rPr>
          <w:rFonts w:asciiTheme="majorHAnsi" w:hAnsiTheme="majorHAnsi"/>
        </w:rPr>
        <w:t>http://palaeo-electronica.org/2001_1/past/past.pdf</w:t>
      </w:r>
    </w:p>
    <w:p w14:paraId="216D94EA" w14:textId="123EE094" w:rsidR="00B160EB" w:rsidRPr="00765543" w:rsidRDefault="00B160EB" w:rsidP="00B160EB">
      <w:pPr>
        <w:pStyle w:val="EndNoteBibliography"/>
        <w:ind w:left="708" w:hanging="708"/>
        <w:rPr>
          <w:rFonts w:asciiTheme="majorHAnsi" w:hAnsiTheme="majorHAnsi"/>
        </w:rPr>
      </w:pPr>
      <w:r w:rsidRPr="00525ABC">
        <w:rPr>
          <w:rFonts w:asciiTheme="majorHAnsi" w:hAnsiTheme="majorHAnsi"/>
        </w:rPr>
        <w:t>17.</w:t>
      </w:r>
      <w:r w:rsidRPr="00525ABC">
        <w:rPr>
          <w:rFonts w:asciiTheme="majorHAnsi" w:hAnsiTheme="majorHAnsi"/>
        </w:rPr>
        <w:tab/>
        <w:t xml:space="preserve">Segata N, Izard J, Waldron L, Gevers D, Miropolsky L, Garrett WS, et al. </w:t>
      </w:r>
      <w:r w:rsidRPr="00765543">
        <w:rPr>
          <w:rFonts w:asciiTheme="majorHAnsi" w:hAnsiTheme="majorHAnsi"/>
        </w:rPr>
        <w:t>Metagenomic biomarker discovery and explanation. Genome Biol 2011;12</w:t>
      </w:r>
      <w:r w:rsidR="009958CD">
        <w:rPr>
          <w:rFonts w:asciiTheme="majorHAnsi" w:hAnsiTheme="majorHAnsi"/>
        </w:rPr>
        <w:t>(6)</w:t>
      </w:r>
      <w:r w:rsidRPr="00765543">
        <w:rPr>
          <w:rFonts w:asciiTheme="majorHAnsi" w:hAnsiTheme="majorHAnsi"/>
        </w:rPr>
        <w:t>:R60.</w:t>
      </w:r>
    </w:p>
    <w:p w14:paraId="19CEF1FC" w14:textId="06A0A99C" w:rsidR="00B160EB" w:rsidRPr="00765543" w:rsidRDefault="00B160EB" w:rsidP="00B160EB">
      <w:pPr>
        <w:pStyle w:val="EndNoteBibliography"/>
        <w:ind w:left="708" w:hanging="708"/>
        <w:rPr>
          <w:rFonts w:asciiTheme="majorHAnsi" w:hAnsiTheme="majorHAnsi"/>
        </w:rPr>
      </w:pPr>
      <w:r>
        <w:rPr>
          <w:rFonts w:asciiTheme="majorHAnsi" w:hAnsiTheme="majorHAnsi"/>
        </w:rPr>
        <w:t>18</w:t>
      </w:r>
      <w:r w:rsidRPr="00765543">
        <w:rPr>
          <w:rFonts w:asciiTheme="majorHAnsi" w:hAnsiTheme="majorHAnsi"/>
        </w:rPr>
        <w:t>.</w:t>
      </w:r>
      <w:r w:rsidRPr="00765543">
        <w:rPr>
          <w:rFonts w:asciiTheme="majorHAnsi" w:hAnsiTheme="majorHAnsi"/>
        </w:rPr>
        <w:tab/>
        <w:t>Faust K, Sathirapongsasuti JF, Izard J, Segata N, Gevers D, Raes J, et al. Microbial co-occurrence relationships in the human microbiome. PLoS Comput Biol 2012;8</w:t>
      </w:r>
      <w:r w:rsidR="009958CD">
        <w:rPr>
          <w:rFonts w:asciiTheme="majorHAnsi" w:hAnsiTheme="majorHAnsi"/>
        </w:rPr>
        <w:t>(7)</w:t>
      </w:r>
      <w:r w:rsidRPr="00765543">
        <w:rPr>
          <w:rFonts w:asciiTheme="majorHAnsi" w:hAnsiTheme="majorHAnsi"/>
        </w:rPr>
        <w:t>:e1002606.</w:t>
      </w:r>
    </w:p>
    <w:p w14:paraId="7F62FAC5" w14:textId="16FFA261" w:rsidR="003E6309" w:rsidRDefault="00B160EB" w:rsidP="00D91AAD">
      <w:pPr>
        <w:pStyle w:val="EndNoteBibliography"/>
        <w:ind w:left="708" w:hanging="708"/>
      </w:pPr>
      <w:r>
        <w:rPr>
          <w:rFonts w:asciiTheme="majorHAnsi" w:hAnsiTheme="majorHAnsi"/>
        </w:rPr>
        <w:t>19</w:t>
      </w:r>
      <w:r w:rsidRPr="00765543">
        <w:rPr>
          <w:rFonts w:asciiTheme="majorHAnsi" w:hAnsiTheme="majorHAnsi"/>
        </w:rPr>
        <w:t>.</w:t>
      </w:r>
      <w:r w:rsidRPr="00765543">
        <w:rPr>
          <w:rFonts w:asciiTheme="majorHAnsi" w:hAnsiTheme="majorHAnsi"/>
        </w:rPr>
        <w:tab/>
        <w:t>Benjamini Y, Hochberg Y. Controlling the False Discovery Rate - a Practical and Powerful Approach to Multiple Testing. J Roy Stat Soc B Met 1995;57</w:t>
      </w:r>
      <w:r w:rsidR="009958CD">
        <w:rPr>
          <w:rFonts w:asciiTheme="majorHAnsi" w:hAnsiTheme="majorHAnsi"/>
        </w:rPr>
        <w:t>(1)</w:t>
      </w:r>
      <w:r w:rsidRPr="00765543">
        <w:rPr>
          <w:rFonts w:asciiTheme="majorHAnsi" w:hAnsiTheme="majorHAnsi"/>
        </w:rPr>
        <w:t>:289-300.</w:t>
      </w:r>
      <w:bookmarkStart w:id="0" w:name="_GoBack"/>
      <w:bookmarkEnd w:id="0"/>
    </w:p>
    <w:sectPr w:rsidR="003E6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160EB"/>
    <w:rsid w:val="00291A21"/>
    <w:rsid w:val="003E456F"/>
    <w:rsid w:val="00410CF0"/>
    <w:rsid w:val="00474ED2"/>
    <w:rsid w:val="00525ABC"/>
    <w:rsid w:val="00640439"/>
    <w:rsid w:val="00750FB2"/>
    <w:rsid w:val="007A0F31"/>
    <w:rsid w:val="00866E8B"/>
    <w:rsid w:val="008E4135"/>
    <w:rsid w:val="009606CE"/>
    <w:rsid w:val="009958CD"/>
    <w:rsid w:val="00A30B19"/>
    <w:rsid w:val="00B160EB"/>
    <w:rsid w:val="00BB1607"/>
    <w:rsid w:val="00CB387E"/>
    <w:rsid w:val="00D91AAD"/>
    <w:rsid w:val="00D95416"/>
    <w:rsid w:val="00E10FF4"/>
    <w:rsid w:val="00F02B77"/>
    <w:rsid w:val="00F1044B"/>
    <w:rsid w:val="00FC1B5A"/>
    <w:rsid w:val="128F2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72E4"/>
  <w15:chartTrackingRefBased/>
  <w15:docId w15:val="{D7D3DBE7-97E2-419E-AE96-AC1DC2DC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EB"/>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F02B77"/>
    <w:pPr>
      <w:keepNext/>
      <w:keepLines/>
      <w:spacing w:before="480" w:line="276" w:lineRule="auto"/>
      <w:outlineLvl w:val="0"/>
    </w:pPr>
    <w:rPr>
      <w:rFonts w:asciiTheme="majorHAnsi" w:eastAsiaTheme="majorEastAsia" w:hAnsiTheme="majorHAnsi" w:cstheme="majorBidi"/>
      <w:b/>
      <w:bCs/>
      <w:color w:val="000000" w:themeColor="text1"/>
      <w:sz w:val="36"/>
      <w:szCs w:val="28"/>
      <w:lang w:val="nb-NO"/>
    </w:rPr>
  </w:style>
  <w:style w:type="paragraph" w:styleId="Heading2">
    <w:name w:val="heading 2"/>
    <w:basedOn w:val="Normal"/>
    <w:next w:val="Normal"/>
    <w:link w:val="Heading2Char"/>
    <w:uiPriority w:val="9"/>
    <w:unhideWhenUsed/>
    <w:qFormat/>
    <w:rsid w:val="00F02B77"/>
    <w:pPr>
      <w:keepNext/>
      <w:keepLines/>
      <w:spacing w:before="40"/>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B77"/>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02B77"/>
    <w:rPr>
      <w:rFonts w:asciiTheme="majorHAnsi" w:eastAsiaTheme="majorEastAsia" w:hAnsiTheme="majorHAnsi" w:cstheme="majorBidi"/>
      <w:b/>
      <w:sz w:val="32"/>
      <w:szCs w:val="26"/>
      <w:lang w:val="en-US"/>
    </w:rPr>
  </w:style>
  <w:style w:type="character" w:styleId="CommentReference">
    <w:name w:val="annotation reference"/>
    <w:basedOn w:val="DefaultParagraphFont"/>
    <w:uiPriority w:val="99"/>
    <w:semiHidden/>
    <w:unhideWhenUsed/>
    <w:rsid w:val="00B160EB"/>
    <w:rPr>
      <w:sz w:val="16"/>
      <w:szCs w:val="16"/>
    </w:rPr>
  </w:style>
  <w:style w:type="paragraph" w:styleId="CommentText">
    <w:name w:val="annotation text"/>
    <w:basedOn w:val="Normal"/>
    <w:link w:val="CommentTextChar"/>
    <w:uiPriority w:val="99"/>
    <w:semiHidden/>
    <w:unhideWhenUsed/>
    <w:rsid w:val="00B160EB"/>
    <w:rPr>
      <w:sz w:val="20"/>
      <w:szCs w:val="20"/>
    </w:rPr>
  </w:style>
  <w:style w:type="character" w:customStyle="1" w:styleId="CommentTextChar">
    <w:name w:val="Comment Text Char"/>
    <w:basedOn w:val="DefaultParagraphFont"/>
    <w:link w:val="CommentText"/>
    <w:uiPriority w:val="99"/>
    <w:semiHidden/>
    <w:rsid w:val="00B160EB"/>
    <w:rPr>
      <w:rFonts w:eastAsiaTheme="minorEastAsia"/>
      <w:sz w:val="20"/>
      <w:szCs w:val="20"/>
      <w:lang w:val="en-US"/>
    </w:rPr>
  </w:style>
  <w:style w:type="paragraph" w:customStyle="1" w:styleId="EndNoteBibliography">
    <w:name w:val="EndNote Bibliography"/>
    <w:basedOn w:val="Normal"/>
    <w:link w:val="EndNoteBibliographyChar"/>
    <w:rsid w:val="00B160EB"/>
    <w:rPr>
      <w:rFonts w:ascii="Calibri" w:hAnsi="Calibri"/>
      <w:noProof/>
    </w:rPr>
  </w:style>
  <w:style w:type="character" w:customStyle="1" w:styleId="EndNoteBibliographyChar">
    <w:name w:val="EndNote Bibliography Char"/>
    <w:basedOn w:val="DefaultParagraphFont"/>
    <w:link w:val="EndNoteBibliography"/>
    <w:rsid w:val="00B160EB"/>
    <w:rPr>
      <w:rFonts w:ascii="Calibri" w:eastAsiaTheme="minorEastAsia" w:hAnsi="Calibri"/>
      <w:noProof/>
      <w:sz w:val="24"/>
      <w:szCs w:val="24"/>
      <w:lang w:val="en-US"/>
    </w:rPr>
  </w:style>
  <w:style w:type="paragraph" w:styleId="BalloonText">
    <w:name w:val="Balloon Text"/>
    <w:basedOn w:val="Normal"/>
    <w:link w:val="BalloonTextChar"/>
    <w:uiPriority w:val="99"/>
    <w:semiHidden/>
    <w:unhideWhenUsed/>
    <w:rsid w:val="00B16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EB"/>
    <w:rPr>
      <w:rFonts w:ascii="Segoe UI" w:eastAsiaTheme="minorEastAsia" w:hAnsi="Segoe UI" w:cs="Segoe UI"/>
      <w:sz w:val="18"/>
      <w:szCs w:val="18"/>
      <w:lang w:val="en-US"/>
    </w:rPr>
  </w:style>
  <w:style w:type="paragraph" w:customStyle="1" w:styleId="EndNoteBibliographyTitle">
    <w:name w:val="EndNote Bibliography Title"/>
    <w:basedOn w:val="Normal"/>
    <w:link w:val="EndNoteBibliographyTitleChar"/>
    <w:rsid w:val="00B160EB"/>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160EB"/>
    <w:rPr>
      <w:rFonts w:ascii="Calibri" w:eastAsiaTheme="minorEastAsia" w:hAnsi="Calibri"/>
      <w:noProof/>
      <w:sz w:val="24"/>
      <w:szCs w:val="24"/>
      <w:lang w:val="en-US"/>
    </w:rPr>
  </w:style>
  <w:style w:type="character" w:styleId="Hyperlink">
    <w:name w:val="Hyperlink"/>
    <w:basedOn w:val="DefaultParagraphFont"/>
    <w:uiPriority w:val="99"/>
    <w:unhideWhenUsed/>
    <w:rsid w:val="00B160E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160EB"/>
    <w:rPr>
      <w:b/>
      <w:bCs/>
    </w:rPr>
  </w:style>
  <w:style w:type="character" w:customStyle="1" w:styleId="CommentSubjectChar">
    <w:name w:val="Comment Subject Char"/>
    <w:basedOn w:val="CommentTextChar"/>
    <w:link w:val="CommentSubject"/>
    <w:uiPriority w:val="99"/>
    <w:semiHidden/>
    <w:rsid w:val="00B160EB"/>
    <w:rPr>
      <w:rFonts w:eastAsiaTheme="minorEastAsia"/>
      <w:b/>
      <w:bCs/>
      <w:sz w:val="20"/>
      <w:szCs w:val="20"/>
      <w:lang w:val="en-US"/>
    </w:rPr>
  </w:style>
  <w:style w:type="character" w:styleId="LineNumber">
    <w:name w:val="line number"/>
    <w:basedOn w:val="DefaultParagraphFont"/>
    <w:uiPriority w:val="99"/>
    <w:semiHidden/>
    <w:unhideWhenUsed/>
    <w:rsid w:val="00F0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springer.com/article/10.1007%2Fs00248-016-0775-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ABCE3F5A.dotm</Template>
  <TotalTime>28</TotalTime>
  <Pages>7</Pages>
  <Words>2087</Words>
  <Characters>11063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Beyer</dc:creator>
  <cp:keywords/>
  <dc:description/>
  <cp:lastModifiedBy>Kathrin Beyer</cp:lastModifiedBy>
  <cp:revision>6</cp:revision>
  <dcterms:created xsi:type="dcterms:W3CDTF">2018-06-29T07:33:00Z</dcterms:created>
  <dcterms:modified xsi:type="dcterms:W3CDTF">2018-07-02T11:02:00Z</dcterms:modified>
</cp:coreProperties>
</file>