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1293" w14:textId="554977AB" w:rsidR="003B499A" w:rsidRDefault="003B499A" w:rsidP="00F25336">
      <w:proofErr w:type="spellStart"/>
      <w:r>
        <w:t>Arkenfold</w:t>
      </w:r>
      <w:proofErr w:type="spellEnd"/>
      <w:r>
        <w:t xml:space="preserve">. </w:t>
      </w:r>
      <w:proofErr w:type="spellStart"/>
      <w:r>
        <w:t>Watersports</w:t>
      </w:r>
      <w:proofErr w:type="spellEnd"/>
      <w:r>
        <w:t xml:space="preserve"> participation survey. London, UK; 2016. </w:t>
      </w:r>
    </w:p>
    <w:p w14:paraId="4C9E7A74" w14:textId="3D2BD2F9" w:rsidR="003B499A" w:rsidRDefault="003B499A" w:rsidP="003B499A">
      <w:pPr>
        <w:ind w:left="284" w:hanging="284"/>
      </w:pPr>
      <w:r>
        <w:t xml:space="preserve">Armstrong M, Brown A, Hargreaves J, Hyder K, </w:t>
      </w:r>
      <w:proofErr w:type="spellStart"/>
      <w:r>
        <w:t>Munday</w:t>
      </w:r>
      <w:proofErr w:type="spellEnd"/>
      <w:r>
        <w:t xml:space="preserve"> M, Proctor S, et al. Sea Angling 2012 – a survey of recreational sea angling activity and economic value in England. London, UK; 2013. </w:t>
      </w:r>
    </w:p>
    <w:p w14:paraId="76CC80F0" w14:textId="24803C69" w:rsidR="003B499A" w:rsidRDefault="003B499A" w:rsidP="003B499A">
      <w:pPr>
        <w:ind w:left="284" w:hanging="284"/>
      </w:pPr>
      <w:proofErr w:type="spellStart"/>
      <w:r>
        <w:t>Capizzano</w:t>
      </w:r>
      <w:proofErr w:type="spellEnd"/>
      <w:r>
        <w:t xml:space="preserve"> CW, </w:t>
      </w:r>
      <w:proofErr w:type="spellStart"/>
      <w:r>
        <w:t>Mandelman</w:t>
      </w:r>
      <w:proofErr w:type="spellEnd"/>
      <w:r>
        <w:t xml:space="preserve"> JW, Hoffman WS, Dean MJ, Zemeckis DR, Benoît HP, et al. Estimating and mitigating the discard mortality of Atlantic cod (</w:t>
      </w:r>
      <w:r w:rsidRPr="00E51D7E">
        <w:rPr>
          <w:i/>
        </w:rPr>
        <w:t>Gadus morhua</w:t>
      </w:r>
      <w:r>
        <w:t xml:space="preserve">) in the Gulf of Maine recreational rod-and-reel fishery. ICES J Mar Sci J du Cons. 2016;73: 2342–2355. </w:t>
      </w:r>
    </w:p>
    <w:p w14:paraId="1E7B7E5C" w14:textId="682FB230" w:rsidR="003B499A" w:rsidRDefault="003B499A" w:rsidP="003B499A">
      <w:pPr>
        <w:ind w:left="284" w:hanging="284"/>
      </w:pPr>
      <w:r>
        <w:t xml:space="preserve">Depestele J, Desender M, Benoît HP, </w:t>
      </w:r>
      <w:proofErr w:type="spellStart"/>
      <w:r>
        <w:t>Polet</w:t>
      </w:r>
      <w:proofErr w:type="spellEnd"/>
      <w:r>
        <w:t xml:space="preserve"> H, </w:t>
      </w:r>
      <w:proofErr w:type="spellStart"/>
      <w:r>
        <w:t>Vincx</w:t>
      </w:r>
      <w:proofErr w:type="spellEnd"/>
      <w:r>
        <w:t xml:space="preserve"> M. Short-term survival of discarded target fish and non-target invertebrate species in the “</w:t>
      </w:r>
      <w:proofErr w:type="spellStart"/>
      <w:r>
        <w:t>eurocutter</w:t>
      </w:r>
      <w:proofErr w:type="spellEnd"/>
      <w:r>
        <w:t xml:space="preserve">” beam trawl fishery of the southern North Sea. Fish Res. 2014;154: 82–92. </w:t>
      </w:r>
    </w:p>
    <w:p w14:paraId="02AB5CFA" w14:textId="169EE123" w:rsidR="003B499A" w:rsidRDefault="003B499A" w:rsidP="003B499A">
      <w:pPr>
        <w:ind w:left="284" w:hanging="284"/>
      </w:pPr>
      <w:r>
        <w:t xml:space="preserve">Ferter K, Weltersbach MS, Strehlow H V, </w:t>
      </w:r>
      <w:proofErr w:type="spellStart"/>
      <w:r>
        <w:t>Vølstad</w:t>
      </w:r>
      <w:proofErr w:type="spellEnd"/>
      <w:r>
        <w:t xml:space="preserve"> JH, </w:t>
      </w:r>
      <w:proofErr w:type="spellStart"/>
      <w:r>
        <w:t>Alós</w:t>
      </w:r>
      <w:proofErr w:type="spellEnd"/>
      <w:r>
        <w:t xml:space="preserve"> J, </w:t>
      </w:r>
      <w:proofErr w:type="spellStart"/>
      <w:r>
        <w:t>Arlinghaus</w:t>
      </w:r>
      <w:proofErr w:type="spellEnd"/>
      <w:r>
        <w:t xml:space="preserve"> R, et al. Unexpectedly high catch-and-Release rates in European marine recreational fisheries. ICES J Mar Sci. 2013;70: 1319–1329. </w:t>
      </w:r>
    </w:p>
    <w:p w14:paraId="031A963A" w14:textId="0460F4E0" w:rsidR="003B499A" w:rsidRDefault="003B499A" w:rsidP="003B499A">
      <w:pPr>
        <w:ind w:left="284" w:hanging="284"/>
      </w:pPr>
      <w:r>
        <w:t xml:space="preserve">Herfaut J, </w:t>
      </w:r>
      <w:proofErr w:type="spellStart"/>
      <w:r>
        <w:t>Levrel</w:t>
      </w:r>
      <w:proofErr w:type="spellEnd"/>
      <w:r>
        <w:t xml:space="preserve"> H, </w:t>
      </w:r>
      <w:proofErr w:type="spellStart"/>
      <w:r>
        <w:t>Thébaud</w:t>
      </w:r>
      <w:proofErr w:type="spellEnd"/>
      <w:r>
        <w:t xml:space="preserve"> O, </w:t>
      </w:r>
      <w:proofErr w:type="spellStart"/>
      <w:r>
        <w:t>Véron</w:t>
      </w:r>
      <w:proofErr w:type="spellEnd"/>
      <w:r>
        <w:t xml:space="preserve"> G. The nationwide assessment of marine recreational fishing: A French example. Ocean Coast </w:t>
      </w:r>
      <w:proofErr w:type="spellStart"/>
      <w:r>
        <w:t>Manag</w:t>
      </w:r>
      <w:proofErr w:type="spellEnd"/>
      <w:r>
        <w:t xml:space="preserve">. 2013;78: 121–131. </w:t>
      </w:r>
    </w:p>
    <w:p w14:paraId="2E01D36A" w14:textId="15D76C43" w:rsidR="003B499A" w:rsidRDefault="003B499A" w:rsidP="003B499A">
      <w:pPr>
        <w:ind w:left="284" w:hanging="284"/>
      </w:pPr>
      <w:r>
        <w:t xml:space="preserve">Hyder K, Weltersbach MS, Armstrong M, Ferter K, Townhill B, </w:t>
      </w:r>
      <w:proofErr w:type="spellStart"/>
      <w:r>
        <w:t>Ahvonen</w:t>
      </w:r>
      <w:proofErr w:type="spellEnd"/>
      <w:r>
        <w:t xml:space="preserve"> A, et al. Recreational sea fishing in Europe in a global context-Participation rates, fishing effort, expenditure, and implications for monitoring and assessment. Fish </w:t>
      </w:r>
      <w:proofErr w:type="spellStart"/>
      <w:r>
        <w:t>Fish</w:t>
      </w:r>
      <w:proofErr w:type="spellEnd"/>
      <w:r>
        <w:t xml:space="preserve">. 2018;19: 225–243. </w:t>
      </w:r>
    </w:p>
    <w:p w14:paraId="171857A8" w14:textId="2D5AF78B" w:rsidR="003B499A" w:rsidRDefault="003B499A" w:rsidP="003B499A">
      <w:pPr>
        <w:ind w:left="284" w:hanging="284"/>
      </w:pPr>
      <w:r>
        <w:t>ICES. Catch statistics [Internet]. 2017. Available: http://www.ices.dk/marine-data/dataset-collections/Pages/Fish-catch-and-stock-assessment.aspx</w:t>
      </w:r>
    </w:p>
    <w:p w14:paraId="1BE7852D" w14:textId="3FDA1B6D" w:rsidR="003B499A" w:rsidRDefault="003B499A" w:rsidP="003B499A">
      <w:pPr>
        <w:ind w:left="284" w:hanging="284"/>
      </w:pPr>
      <w:proofErr w:type="spellStart"/>
      <w:r>
        <w:t>Insee</w:t>
      </w:r>
      <w:proofErr w:type="spellEnd"/>
      <w:r>
        <w:t xml:space="preserve">. Estimation de la population au 1er </w:t>
      </w:r>
      <w:proofErr w:type="spellStart"/>
      <w:r>
        <w:t>janvier</w:t>
      </w:r>
      <w:proofErr w:type="spellEnd"/>
      <w:r>
        <w:t xml:space="preserve"> 2018 [Internet]. 2017 [cited 6 Jun 2017]. Available: https://www.insee.fr/fr/statistiques/1893198</w:t>
      </w:r>
    </w:p>
    <w:p w14:paraId="1BECCB38" w14:textId="06AD426E" w:rsidR="003B499A" w:rsidRDefault="003B499A" w:rsidP="003B499A">
      <w:pPr>
        <w:ind w:left="284" w:hanging="284"/>
      </w:pPr>
      <w:r>
        <w:t xml:space="preserve">Karlsson M, </w:t>
      </w:r>
      <w:proofErr w:type="spellStart"/>
      <w:r>
        <w:t>Ragnarsson</w:t>
      </w:r>
      <w:proofErr w:type="spellEnd"/>
      <w:r>
        <w:t xml:space="preserve"> </w:t>
      </w:r>
      <w:proofErr w:type="spellStart"/>
      <w:r>
        <w:t>Stabo</w:t>
      </w:r>
      <w:proofErr w:type="spellEnd"/>
      <w:r>
        <w:t xml:space="preserve"> H, </w:t>
      </w:r>
      <w:proofErr w:type="spellStart"/>
      <w:r>
        <w:t>Petersson</w:t>
      </w:r>
      <w:proofErr w:type="spellEnd"/>
      <w:r>
        <w:t xml:space="preserve"> E, Carlstrand H, </w:t>
      </w:r>
      <w:proofErr w:type="spellStart"/>
      <w:r>
        <w:t>Thörnqvist</w:t>
      </w:r>
      <w:proofErr w:type="spellEnd"/>
      <w:r>
        <w:t xml:space="preserve"> S. A national data collection framework for recreational fishing. </w:t>
      </w:r>
      <w:proofErr w:type="spellStart"/>
      <w:r>
        <w:t>Drottningholm</w:t>
      </w:r>
      <w:proofErr w:type="spellEnd"/>
      <w:r>
        <w:t xml:space="preserve">, Sweden; 2016. </w:t>
      </w:r>
    </w:p>
    <w:p w14:paraId="663CDBD6" w14:textId="51DC2CBD" w:rsidR="003B499A" w:rsidRDefault="003B499A" w:rsidP="003B499A">
      <w:pPr>
        <w:ind w:left="284" w:hanging="284"/>
      </w:pPr>
      <w:r>
        <w:t xml:space="preserve">Lewin W-C, Strehlow H V, Ferter K, Hyder K, </w:t>
      </w:r>
      <w:proofErr w:type="spellStart"/>
      <w:r>
        <w:t>Niemax</w:t>
      </w:r>
      <w:proofErr w:type="spellEnd"/>
      <w:r>
        <w:t xml:space="preserve"> J, Herrmann J-P, et al. Estimating post-release mortality of European sea bass based on experimental angling. ICES J Mar Sci. 2017; doi:10.1093/</w:t>
      </w:r>
      <w:proofErr w:type="spellStart"/>
      <w:r>
        <w:t>icesjms</w:t>
      </w:r>
      <w:proofErr w:type="spellEnd"/>
      <w:r>
        <w:t>/fsx240</w:t>
      </w:r>
    </w:p>
    <w:p w14:paraId="47CA9F4C" w14:textId="5CAC1CDD" w:rsidR="003B499A" w:rsidRDefault="003B499A" w:rsidP="003B499A">
      <w:pPr>
        <w:ind w:left="284" w:hanging="284"/>
      </w:pPr>
      <w:r>
        <w:t>MMO. UK fleet landings by ICES rectangle [Internet]. 2016 [cited 20 May 2017]. Available: https://www.gov.uk/government/collections/uk-sea-fisheries-annual-statistics</w:t>
      </w:r>
    </w:p>
    <w:p w14:paraId="434DF86E" w14:textId="0B210F12" w:rsidR="003B499A" w:rsidRDefault="003B499A" w:rsidP="003B499A">
      <w:pPr>
        <w:ind w:left="284" w:hanging="284"/>
      </w:pPr>
      <w:r>
        <w:t xml:space="preserve">Persoon K. Who is the recreational fisherman and what does he catch? An overview of recreational fisheries at sea in Belgium. </w:t>
      </w:r>
      <w:proofErr w:type="spellStart"/>
      <w:r>
        <w:t>Instituut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Landbouw-en</w:t>
      </w:r>
      <w:proofErr w:type="spellEnd"/>
      <w:r>
        <w:t xml:space="preserve"> </w:t>
      </w:r>
      <w:proofErr w:type="spellStart"/>
      <w:r>
        <w:t>Visserijonderzoek</w:t>
      </w:r>
      <w:proofErr w:type="spellEnd"/>
      <w:r>
        <w:t>. MSc. Thesis</w:t>
      </w:r>
      <w:r w:rsidR="00647AAB">
        <w:t>. 2015;</w:t>
      </w:r>
      <w:r>
        <w:t xml:space="preserve"> 76pp</w:t>
      </w:r>
      <w:r w:rsidR="00647AAB">
        <w:t>.</w:t>
      </w:r>
      <w:bookmarkStart w:id="0" w:name="_GoBack"/>
      <w:bookmarkEnd w:id="0"/>
      <w:r>
        <w:t xml:space="preserve"> </w:t>
      </w:r>
    </w:p>
    <w:p w14:paraId="21407B4A" w14:textId="78517D48" w:rsidR="003B499A" w:rsidRDefault="003B499A" w:rsidP="003B499A">
      <w:pPr>
        <w:ind w:left="284" w:hanging="284"/>
      </w:pPr>
      <w:r>
        <w:t xml:space="preserve">Rangel M, </w:t>
      </w:r>
      <w:proofErr w:type="spellStart"/>
      <w:r>
        <w:t>Erzini</w:t>
      </w:r>
      <w:proofErr w:type="spellEnd"/>
      <w:r>
        <w:t xml:space="preserve"> K. An assessment of catches and harvest of recreational shore angling in the north of Portugal. Fish </w:t>
      </w:r>
      <w:proofErr w:type="spellStart"/>
      <w:r>
        <w:t>Manag</w:t>
      </w:r>
      <w:proofErr w:type="spellEnd"/>
      <w:r>
        <w:t xml:space="preserve"> Ecol. 2007;14: 343–352. </w:t>
      </w:r>
    </w:p>
    <w:p w14:paraId="41C68BDE" w14:textId="2AED9A9F" w:rsidR="003B499A" w:rsidRDefault="003B499A" w:rsidP="003B499A">
      <w:pPr>
        <w:ind w:left="284" w:hanging="284"/>
      </w:pPr>
      <w:r>
        <w:t xml:space="preserve">Rocklin D, </w:t>
      </w:r>
      <w:proofErr w:type="spellStart"/>
      <w:r>
        <w:t>Levrel H, Drogou</w:t>
      </w:r>
      <w:proofErr w:type="spellEnd"/>
      <w:r>
        <w:t xml:space="preserve"> M, Herfaut J, </w:t>
      </w:r>
      <w:proofErr w:type="spellStart"/>
      <w:r>
        <w:t>Veron</w:t>
      </w:r>
      <w:proofErr w:type="spellEnd"/>
      <w:r>
        <w:t xml:space="preserve"> G. Combining Telephone Surveys and Fishing Catches Self-Report: The French Sea Bass Recreational Fishery Assessment. Stergiou KI, editor. </w:t>
      </w:r>
      <w:proofErr w:type="spellStart"/>
      <w:r>
        <w:t>PLoS</w:t>
      </w:r>
      <w:proofErr w:type="spellEnd"/>
      <w:r>
        <w:t xml:space="preserve"> One. 2014;9: e87271. </w:t>
      </w:r>
    </w:p>
    <w:p w14:paraId="78F09026" w14:textId="101FB19D" w:rsidR="003B499A" w:rsidRDefault="003B499A" w:rsidP="003B499A">
      <w:pPr>
        <w:ind w:left="284" w:hanging="284"/>
      </w:pPr>
      <w:r>
        <w:t xml:space="preserve">Sparrevohn CR, </w:t>
      </w:r>
      <w:proofErr w:type="spellStart"/>
      <w:r>
        <w:t>Storr</w:t>
      </w:r>
      <w:proofErr w:type="spellEnd"/>
      <w:r>
        <w:t xml:space="preserve">-Paulsen M. Using interview-based recall surveys to estimate cod Gadus morhua and eel Anguilla </w:t>
      </w:r>
      <w:proofErr w:type="spellStart"/>
      <w:r>
        <w:t>anguilla</w:t>
      </w:r>
      <w:proofErr w:type="spellEnd"/>
      <w:r>
        <w:t xml:space="preserve"> harvest in Danish recreational fishing. ICES J Mar Sci. 2012;69: 323–330. </w:t>
      </w:r>
    </w:p>
    <w:p w14:paraId="3FD6ED1A" w14:textId="52152455" w:rsidR="003B499A" w:rsidRDefault="003B499A" w:rsidP="003B499A">
      <w:pPr>
        <w:ind w:left="284" w:hanging="284"/>
      </w:pPr>
      <w:r>
        <w:lastRenderedPageBreak/>
        <w:t xml:space="preserve">Strehlow H V., Schultz N, Zimmermann C, Hammer C. Cod catches taken by the German recreational fishery in the western Baltic Sea, 2005-2010: implications for stock assessment and management. ICES J Mar Sci. 2012;69: 1769–1780. </w:t>
      </w:r>
    </w:p>
    <w:p w14:paraId="3352DC7B" w14:textId="41EA3C39" w:rsidR="003B499A" w:rsidRDefault="003B499A" w:rsidP="003B499A">
      <w:pPr>
        <w:ind w:left="284" w:hanging="284"/>
      </w:pPr>
      <w:r>
        <w:t xml:space="preserve">van der Hammen T, de Graaf M. Recreational fishery in the Netherlands: demographics and catch estimates in marine and fresh water. 2013; 33. </w:t>
      </w:r>
    </w:p>
    <w:p w14:paraId="0CE132F4" w14:textId="2316EF62" w:rsidR="003B499A" w:rsidRDefault="003B499A" w:rsidP="003B499A">
      <w:pPr>
        <w:ind w:left="284" w:hanging="284"/>
      </w:pPr>
      <w:r>
        <w:t xml:space="preserve">van der Hammen T, de Graaf M. Recreational fisheries in the Netherlands: analyses of the 2012-2013 online logbook survey, 2013 online screening survey and 2013 random digit dialling screening survey. CVO report: C042/15, Wageningen, Netherlands; 2015. </w:t>
      </w:r>
    </w:p>
    <w:p w14:paraId="366C6D11" w14:textId="4ED3815F" w:rsidR="003B499A" w:rsidRDefault="003B499A" w:rsidP="003B499A">
      <w:pPr>
        <w:ind w:left="284" w:hanging="284"/>
      </w:pPr>
      <w:r>
        <w:t xml:space="preserve">van der Hammen T, de Graaf M, Lyle JM. Estimating catches of marine and freshwater recreational fisheries in the Netherlands using an online panel survey. ICES J Mar Sci. 2016;73: 441–450. </w:t>
      </w:r>
    </w:p>
    <w:p w14:paraId="78A10861" w14:textId="13737170" w:rsidR="003B499A" w:rsidRDefault="003B499A" w:rsidP="003B499A">
      <w:pPr>
        <w:ind w:left="284" w:hanging="284"/>
      </w:pPr>
      <w:r>
        <w:t xml:space="preserve">Veiga P, Ribeiro J, Gonçalves JMS, </w:t>
      </w:r>
      <w:proofErr w:type="spellStart"/>
      <w:r>
        <w:t>Erzini</w:t>
      </w:r>
      <w:proofErr w:type="spellEnd"/>
      <w:r>
        <w:t xml:space="preserve"> K. Quantifying recreational shore angling catch and harvest in southern Portugal (north-east Atlantic Ocean): implications for conservation and integrated fisheries management. J Fish Biol. 2010;76: 2216–2237. </w:t>
      </w:r>
    </w:p>
    <w:p w14:paraId="54CB5DF5" w14:textId="7F770122" w:rsidR="003B499A" w:rsidRDefault="003B499A" w:rsidP="003B499A">
      <w:pPr>
        <w:ind w:left="284" w:hanging="284"/>
      </w:pPr>
      <w:proofErr w:type="spellStart"/>
      <w:r>
        <w:t>Vølstad</w:t>
      </w:r>
      <w:proofErr w:type="spellEnd"/>
      <w:r>
        <w:t xml:space="preserve"> JH, </w:t>
      </w:r>
      <w:proofErr w:type="spellStart"/>
      <w:r>
        <w:t>Korsnrekke</w:t>
      </w:r>
      <w:proofErr w:type="spellEnd"/>
      <w:r>
        <w:t xml:space="preserve"> K, </w:t>
      </w:r>
      <w:proofErr w:type="spellStart"/>
      <w:r>
        <w:t>Nedreaas</w:t>
      </w:r>
      <w:proofErr w:type="spellEnd"/>
      <w:r>
        <w:t xml:space="preserve"> KH, Nilsen M, Nilsson GN, Pennington M, et al. Probability-based surveying using self-sampling to estimate catch and effort in Norway’s coastal tourist fishery. ICES J Mar Sci. 2011;68: 1785–1791. </w:t>
      </w:r>
    </w:p>
    <w:p w14:paraId="18E06F6D" w14:textId="56290A25" w:rsidR="003B499A" w:rsidRDefault="003B499A" w:rsidP="003B499A">
      <w:pPr>
        <w:ind w:left="284" w:hanging="284"/>
      </w:pPr>
      <w:r>
        <w:t xml:space="preserve">Weltersbach MS, Strehlow H V. Dead or alive—estimating post-release mortality of Atlantic cod in the recreational fishery. ICES J Mar Sci. 2013;70: 864–872. </w:t>
      </w:r>
    </w:p>
    <w:p w14:paraId="751F5FE4" w14:textId="5BA7F9DA" w:rsidR="003B499A" w:rsidRDefault="003B499A" w:rsidP="003B499A">
      <w:pPr>
        <w:ind w:left="284" w:hanging="284"/>
      </w:pPr>
      <w:r>
        <w:t xml:space="preserve">WGBFAS. Report of the Baltic Fisheries Assessment Working Group (WGBFAS). Copenhagen, Denmark. ICES CM 2017/ACOM:11; 2017. </w:t>
      </w:r>
    </w:p>
    <w:p w14:paraId="4FAEAFFA" w14:textId="5BD02854" w:rsidR="003B499A" w:rsidRDefault="003B499A" w:rsidP="003B499A">
      <w:pPr>
        <w:ind w:left="284" w:hanging="284"/>
      </w:pPr>
      <w:r>
        <w:t xml:space="preserve">WGBIE. Report of the Working Group for the Bay of Biscay and Iberian waters Ecoregion (WGBIE). Cadiz, Spain. ICES CM 2017/ACOM:12; 2017. </w:t>
      </w:r>
    </w:p>
    <w:p w14:paraId="7BA1F74A" w14:textId="0C90A01F" w:rsidR="003B499A" w:rsidRDefault="003B499A" w:rsidP="003B499A">
      <w:pPr>
        <w:ind w:left="284" w:hanging="284"/>
      </w:pPr>
      <w:r>
        <w:t xml:space="preserve">WGCSE. Report of the Working Group on Celtic Seas Ecoregion (WGCSE). Copenhagen, Denmark. ICES CM 2017/ACOM:13; 2017. </w:t>
      </w:r>
    </w:p>
    <w:p w14:paraId="0F98BA30" w14:textId="507DFE46" w:rsidR="003B499A" w:rsidRDefault="003B499A" w:rsidP="003B499A">
      <w:pPr>
        <w:ind w:left="284" w:hanging="284"/>
      </w:pPr>
      <w:r>
        <w:t xml:space="preserve">WGNSSK. Report of the Working Group on Assessment of Demersal Stocks in the North Sea and Skagerrak (2017). Copenhagen, Denmark. ICES CM 2017/ACOM:21; 2017. </w:t>
      </w:r>
    </w:p>
    <w:p w14:paraId="712B70EB" w14:textId="05600A76" w:rsidR="003B499A" w:rsidRDefault="003B499A" w:rsidP="003B499A">
      <w:pPr>
        <w:ind w:left="284" w:hanging="284"/>
      </w:pPr>
      <w:r>
        <w:t xml:space="preserve">WGRFS. Report of the Working Group on Recreational Fisheries Surveys (WGRFS). Azores, Portugal. ICES CM 2017/EOSG:20; 2017. </w:t>
      </w:r>
    </w:p>
    <w:p w14:paraId="2A97CB07" w14:textId="600A4759" w:rsidR="003B499A" w:rsidRDefault="003B499A" w:rsidP="003B499A">
      <w:pPr>
        <w:ind w:left="284" w:hanging="284"/>
      </w:pPr>
      <w:r>
        <w:t xml:space="preserve">WGWIDE. Report of the Working Group on Widely Distributed Stocks (WGWIDE). Copenhagen, Denmark. ICES CM 2017/ACOM:23; 2017. </w:t>
      </w:r>
    </w:p>
    <w:p w14:paraId="1C549580" w14:textId="319C9B9B" w:rsidR="003B499A" w:rsidRDefault="003B499A" w:rsidP="003B499A">
      <w:pPr>
        <w:ind w:left="284" w:hanging="284"/>
      </w:pPr>
      <w:r>
        <w:t>World Bank. Population, total. In: United Nations Population Division [Internet]. 2017 [cited 6 Jun 2017]. Available: https://data.worldbank.org/indicator/SP.POP.TOTL</w:t>
      </w:r>
    </w:p>
    <w:p w14:paraId="73F80DB0" w14:textId="0E321000" w:rsidR="003B499A" w:rsidRDefault="003B499A" w:rsidP="003B499A">
      <w:pPr>
        <w:ind w:left="284" w:hanging="284"/>
      </w:pPr>
      <w:r>
        <w:t xml:space="preserve">Zarauz L, Prellezo R, Mugerza E, </w:t>
      </w:r>
      <w:proofErr w:type="spellStart"/>
      <w:r>
        <w:t>Artetxe</w:t>
      </w:r>
      <w:proofErr w:type="spellEnd"/>
      <w:r>
        <w:t xml:space="preserve"> I, </w:t>
      </w:r>
      <w:proofErr w:type="spellStart"/>
      <w:r>
        <w:t>Roa</w:t>
      </w:r>
      <w:proofErr w:type="spellEnd"/>
      <w:r>
        <w:t xml:space="preserve"> R, </w:t>
      </w:r>
      <w:proofErr w:type="spellStart"/>
      <w:r>
        <w:t>Ibaibarriaga</w:t>
      </w:r>
      <w:proofErr w:type="spellEnd"/>
      <w:r>
        <w:t xml:space="preserve"> L, et al. Analysis of the recreational and fishing fleet in the Basque Country and its socioeconomic impact. Rev </w:t>
      </w:r>
      <w:proofErr w:type="spellStart"/>
      <w:r>
        <w:t>Investig</w:t>
      </w:r>
      <w:proofErr w:type="spellEnd"/>
      <w:r>
        <w:t xml:space="preserve"> Mar (Marine Res Journal). 2013;20: 38–70. </w:t>
      </w:r>
    </w:p>
    <w:p w14:paraId="4BE62C53" w14:textId="2A1A3B2E" w:rsidR="003B499A" w:rsidRPr="00B45DB0" w:rsidRDefault="003B499A" w:rsidP="003B499A">
      <w:pPr>
        <w:ind w:left="284" w:hanging="284"/>
      </w:pPr>
    </w:p>
    <w:p w14:paraId="73F6AD91" w14:textId="1BE022E3" w:rsidR="00FB3BCA" w:rsidRDefault="00FB3BCA" w:rsidP="00FB3BCA"/>
    <w:sectPr w:rsidR="00FB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5041"/>
    <w:multiLevelType w:val="hybridMultilevel"/>
    <w:tmpl w:val="1B9ED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94"/>
    <w:rsid w:val="000775DC"/>
    <w:rsid w:val="00162C4B"/>
    <w:rsid w:val="0021030A"/>
    <w:rsid w:val="00256733"/>
    <w:rsid w:val="00291403"/>
    <w:rsid w:val="00334313"/>
    <w:rsid w:val="003B499A"/>
    <w:rsid w:val="004314B0"/>
    <w:rsid w:val="004A4976"/>
    <w:rsid w:val="004F376E"/>
    <w:rsid w:val="005A067E"/>
    <w:rsid w:val="006417CB"/>
    <w:rsid w:val="00647AAB"/>
    <w:rsid w:val="007574E4"/>
    <w:rsid w:val="008548E1"/>
    <w:rsid w:val="0087235D"/>
    <w:rsid w:val="008A3A20"/>
    <w:rsid w:val="008F5529"/>
    <w:rsid w:val="0096409E"/>
    <w:rsid w:val="009C3306"/>
    <w:rsid w:val="00A64A94"/>
    <w:rsid w:val="00A8618B"/>
    <w:rsid w:val="00AB41DA"/>
    <w:rsid w:val="00AC5232"/>
    <w:rsid w:val="00B46B85"/>
    <w:rsid w:val="00B6249B"/>
    <w:rsid w:val="00D22BD7"/>
    <w:rsid w:val="00DD38FF"/>
    <w:rsid w:val="00E04BD6"/>
    <w:rsid w:val="00E51D7E"/>
    <w:rsid w:val="00F16ADB"/>
    <w:rsid w:val="00F21AAE"/>
    <w:rsid w:val="00F22186"/>
    <w:rsid w:val="00F25336"/>
    <w:rsid w:val="00F751DB"/>
    <w:rsid w:val="00FB3BCA"/>
    <w:rsid w:val="00FB79A6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A6B"/>
  <w15:chartTrackingRefBased/>
  <w15:docId w15:val="{1D357445-0AD7-47F4-B824-DABE014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5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A0DE-7B91-471A-81A4-5466814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Radford (Cefas)</dc:creator>
  <cp:keywords/>
  <dc:description/>
  <cp:lastModifiedBy>Zachary Radford (Cefas)</cp:lastModifiedBy>
  <cp:revision>18</cp:revision>
  <dcterms:created xsi:type="dcterms:W3CDTF">2018-04-26T11:19:00Z</dcterms:created>
  <dcterms:modified xsi:type="dcterms:W3CDTF">2018-04-27T08:46:00Z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0325190c-6bfe-30d1-b620-478b6bbfb8e3</vt:lpwstr>
  </property>
  <property fmtid="{D5CDD505-2E9C-101B-9397-08002B2CF9AE}" pid="24" name="Mendeley Citation Style_1">
    <vt:lpwstr>http://www.zotero.org/styles/plos-one</vt:lpwstr>
  </property>
</Properties>
</file>