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A0" w:rsidRPr="006B4108" w:rsidRDefault="00A643A0" w:rsidP="00A643A0">
      <w:pPr>
        <w:rPr>
          <w:rFonts w:asciiTheme="minorHAnsi" w:eastAsia="Times New Roman" w:hAnsiTheme="minorHAnsi"/>
          <w:b/>
          <w:bCs/>
          <w:color w:val="000000"/>
          <w:lang w:eastAsia="en-IN"/>
        </w:rPr>
      </w:pPr>
      <w:r w:rsidRPr="006B4108">
        <w:rPr>
          <w:rFonts w:asciiTheme="minorHAnsi" w:hAnsiTheme="minorHAnsi"/>
          <w:b/>
        </w:rPr>
        <w:t xml:space="preserve">S6: </w:t>
      </w:r>
      <w:r w:rsidRPr="006B4108">
        <w:rPr>
          <w:rFonts w:asciiTheme="minorHAnsi" w:eastAsia="Times New Roman" w:hAnsiTheme="minorHAnsi"/>
          <w:b/>
          <w:bCs/>
          <w:color w:val="000000"/>
          <w:lang w:eastAsia="en-IN"/>
        </w:rPr>
        <w:t>Sensitivity and Specificity of LTBI by Latent Class analysis method (with TST ≥10mm)</w:t>
      </w:r>
    </w:p>
    <w:p w:rsidR="00A643A0" w:rsidRPr="00F93F2A" w:rsidRDefault="00A643A0" w:rsidP="00A643A0">
      <w:pPr>
        <w:rPr>
          <w:rFonts w:asciiTheme="minorHAnsi" w:hAnsi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0"/>
        <w:gridCol w:w="3039"/>
        <w:gridCol w:w="2793"/>
      </w:tblGrid>
      <w:tr w:rsidR="005A12BD" w:rsidRPr="00F93F2A" w:rsidTr="008F0F9D">
        <w:trPr>
          <w:trHeight w:val="342"/>
        </w:trPr>
        <w:tc>
          <w:tcPr>
            <w:tcW w:w="1845" w:type="pct"/>
            <w:vAlign w:val="center"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bCs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bCs/>
                <w:color w:val="000000"/>
                <w:lang w:eastAsia="en-IN"/>
              </w:rPr>
              <w:t>Test</w:t>
            </w:r>
          </w:p>
        </w:tc>
        <w:tc>
          <w:tcPr>
            <w:tcW w:w="1644" w:type="pct"/>
            <w:vAlign w:val="center"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bCs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bCs/>
                <w:color w:val="000000"/>
                <w:lang w:eastAsia="en-IN"/>
              </w:rPr>
              <w:t>Sensitivity</w:t>
            </w:r>
          </w:p>
        </w:tc>
        <w:tc>
          <w:tcPr>
            <w:tcW w:w="1511" w:type="pct"/>
            <w:vAlign w:val="center"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bCs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bCs/>
                <w:color w:val="000000"/>
                <w:lang w:eastAsia="en-IN"/>
              </w:rPr>
              <w:t>Specificity</w:t>
            </w:r>
          </w:p>
        </w:tc>
      </w:tr>
      <w:tr w:rsidR="005A12BD" w:rsidRPr="00F93F2A" w:rsidTr="008F0F9D">
        <w:trPr>
          <w:trHeight w:val="20"/>
        </w:trPr>
        <w:tc>
          <w:tcPr>
            <w:tcW w:w="1845" w:type="pct"/>
            <w:vMerge w:val="restar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TST (T) ≥10mm</w:t>
            </w:r>
          </w:p>
        </w:tc>
        <w:tc>
          <w:tcPr>
            <w:tcW w:w="1644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99%</w:t>
            </w:r>
          </w:p>
        </w:tc>
        <w:tc>
          <w:tcPr>
            <w:tcW w:w="1511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42%</w:t>
            </w:r>
          </w:p>
        </w:tc>
      </w:tr>
      <w:tr w:rsidR="005A12BD" w:rsidRPr="00F93F2A" w:rsidTr="008F0F9D">
        <w:trPr>
          <w:trHeight w:val="20"/>
        </w:trPr>
        <w:tc>
          <w:tcPr>
            <w:tcW w:w="1845" w:type="pct"/>
            <w:vMerge/>
            <w:hideMark/>
          </w:tcPr>
          <w:p w:rsidR="005A12BD" w:rsidRPr="00F93F2A" w:rsidRDefault="005A12BD" w:rsidP="008F0F9D">
            <w:pPr>
              <w:spacing w:after="0" w:line="240" w:lineRule="auto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</w:p>
        </w:tc>
        <w:tc>
          <w:tcPr>
            <w:tcW w:w="1644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(79% - 100%)</w:t>
            </w:r>
          </w:p>
        </w:tc>
        <w:tc>
          <w:tcPr>
            <w:tcW w:w="1511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(20% - 67%)</w:t>
            </w:r>
          </w:p>
        </w:tc>
      </w:tr>
      <w:tr w:rsidR="005A12BD" w:rsidRPr="00F93F2A" w:rsidTr="008F0F9D">
        <w:trPr>
          <w:trHeight w:val="20"/>
        </w:trPr>
        <w:tc>
          <w:tcPr>
            <w:tcW w:w="1845" w:type="pct"/>
            <w:vMerge w:val="restar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QFT-GIT (Q)</w:t>
            </w:r>
          </w:p>
        </w:tc>
        <w:tc>
          <w:tcPr>
            <w:tcW w:w="1644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88%</w:t>
            </w:r>
          </w:p>
        </w:tc>
        <w:tc>
          <w:tcPr>
            <w:tcW w:w="1511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79%</w:t>
            </w:r>
          </w:p>
        </w:tc>
      </w:tr>
      <w:tr w:rsidR="005A12BD" w:rsidRPr="00F93F2A" w:rsidTr="008F0F9D">
        <w:trPr>
          <w:trHeight w:val="20"/>
        </w:trPr>
        <w:tc>
          <w:tcPr>
            <w:tcW w:w="1845" w:type="pct"/>
            <w:vMerge/>
            <w:hideMark/>
          </w:tcPr>
          <w:p w:rsidR="005A12BD" w:rsidRPr="00F93F2A" w:rsidRDefault="005A12BD" w:rsidP="008F0F9D">
            <w:pPr>
              <w:spacing w:after="0" w:line="240" w:lineRule="auto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</w:p>
        </w:tc>
        <w:tc>
          <w:tcPr>
            <w:tcW w:w="1644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(76% - 100%)</w:t>
            </w:r>
          </w:p>
        </w:tc>
        <w:tc>
          <w:tcPr>
            <w:tcW w:w="1511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(73% - 84%)</w:t>
            </w:r>
          </w:p>
        </w:tc>
      </w:tr>
      <w:tr w:rsidR="005A12BD" w:rsidRPr="00F93F2A" w:rsidTr="008F0F9D">
        <w:trPr>
          <w:trHeight w:val="20"/>
        </w:trPr>
        <w:tc>
          <w:tcPr>
            <w:tcW w:w="1845" w:type="pct"/>
            <w:vMerge w:val="restar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Exp</w:t>
            </w:r>
            <w:bookmarkStart w:id="0" w:name="_GoBack"/>
            <w:bookmarkEnd w:id="0"/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osure (E)</w:t>
            </w:r>
          </w:p>
        </w:tc>
        <w:tc>
          <w:tcPr>
            <w:tcW w:w="1644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38%</w:t>
            </w:r>
          </w:p>
        </w:tc>
        <w:tc>
          <w:tcPr>
            <w:tcW w:w="1511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71%</w:t>
            </w:r>
          </w:p>
        </w:tc>
      </w:tr>
      <w:tr w:rsidR="005A12BD" w:rsidRPr="00F93F2A" w:rsidTr="008F0F9D">
        <w:trPr>
          <w:trHeight w:val="20"/>
        </w:trPr>
        <w:tc>
          <w:tcPr>
            <w:tcW w:w="1845" w:type="pct"/>
            <w:vMerge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</w:p>
        </w:tc>
        <w:tc>
          <w:tcPr>
            <w:tcW w:w="1644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(31% - 45%)</w:t>
            </w:r>
          </w:p>
        </w:tc>
        <w:tc>
          <w:tcPr>
            <w:tcW w:w="1511" w:type="pct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jc w:val="center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  <w:r w:rsidRPr="00F93F2A">
              <w:rPr>
                <w:rFonts w:asciiTheme="minorHAnsi" w:eastAsia="Times New Roman" w:hAnsiTheme="minorHAnsi" w:cs="Calibri Light"/>
                <w:color w:val="000000"/>
                <w:lang w:eastAsia="en-IN"/>
              </w:rPr>
              <w:t>(64% - 76%)</w:t>
            </w:r>
          </w:p>
        </w:tc>
      </w:tr>
      <w:tr w:rsidR="005A12BD" w:rsidRPr="00F93F2A" w:rsidTr="008F0F9D">
        <w:trPr>
          <w:trHeight w:val="20"/>
        </w:trPr>
        <w:tc>
          <w:tcPr>
            <w:tcW w:w="5000" w:type="pct"/>
            <w:gridSpan w:val="3"/>
            <w:noWrap/>
            <w:hideMark/>
          </w:tcPr>
          <w:p w:rsidR="005A12BD" w:rsidRPr="00F93F2A" w:rsidRDefault="005A12BD" w:rsidP="008F0F9D">
            <w:pPr>
              <w:spacing w:after="0" w:line="240" w:lineRule="auto"/>
              <w:rPr>
                <w:rFonts w:asciiTheme="minorHAnsi" w:eastAsia="Times New Roman" w:hAnsiTheme="minorHAnsi" w:cs="Calibri Light"/>
                <w:color w:val="000000"/>
                <w:lang w:eastAsia="en-IN"/>
              </w:rPr>
            </w:pPr>
          </w:p>
        </w:tc>
      </w:tr>
    </w:tbl>
    <w:p w:rsidR="006B4108" w:rsidRDefault="006B4108" w:rsidP="00A643A0">
      <w:pPr>
        <w:rPr>
          <w:rFonts w:asciiTheme="minorHAnsi" w:eastAsia="Times New Roman" w:hAnsiTheme="minorHAnsi" w:cs="Calibri Light"/>
          <w:color w:val="000000"/>
          <w:lang w:eastAsia="en-IN"/>
        </w:rPr>
      </w:pPr>
    </w:p>
    <w:p w:rsidR="00A643A0" w:rsidRPr="00F93F2A" w:rsidRDefault="006B4108" w:rsidP="00A643A0">
      <w:pPr>
        <w:rPr>
          <w:rFonts w:asciiTheme="minorHAnsi" w:eastAsia="Times New Roman" w:hAnsiTheme="minorHAnsi" w:cs="Calibri Light"/>
          <w:color w:val="000000"/>
          <w:lang w:eastAsia="en-IN"/>
        </w:rPr>
      </w:pPr>
      <w:r w:rsidRPr="00F93F2A">
        <w:rPr>
          <w:rFonts w:asciiTheme="minorHAnsi" w:eastAsia="Times New Roman" w:hAnsiTheme="minorHAnsi" w:cs="Calibri Light"/>
          <w:color w:val="000000"/>
          <w:lang w:eastAsia="en-IN"/>
        </w:rPr>
        <w:t>Estimated Prevalence = 63.0% (25.9% - 88.9%)</w:t>
      </w:r>
    </w:p>
    <w:p w:rsidR="00A643A0" w:rsidRPr="00F93F2A" w:rsidRDefault="00A643A0" w:rsidP="00A643A0">
      <w:pPr>
        <w:rPr>
          <w:rFonts w:asciiTheme="minorHAnsi" w:hAnsiTheme="minorHAnsi"/>
        </w:rPr>
      </w:pPr>
      <w:r w:rsidRPr="00F93F2A">
        <w:rPr>
          <w:rFonts w:asciiTheme="minorHAnsi" w:eastAsia="Times New Roman" w:hAnsiTheme="minorHAnsi" w:cs="Calibri Light"/>
          <w:color w:val="000000"/>
          <w:lang w:eastAsia="en-IN"/>
        </w:rPr>
        <w:t>Note: Probability of being LTBI Positive: T+Q+E+ (100%), T+Q+E- (99.9%), T+Q-E+ (99.8%), T+Q-E- (99.7%), T-Q+E+ (88.1%), T-Q+E- (83.6%), T-Q-E+ (21.5%) and T-Q-E- (15.8%).</w:t>
      </w:r>
    </w:p>
    <w:p w:rsidR="006820DE" w:rsidRDefault="006820DE"/>
    <w:sectPr w:rsidR="0068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0"/>
    <w:rsid w:val="005A12BD"/>
    <w:rsid w:val="006820DE"/>
    <w:rsid w:val="006B4108"/>
    <w:rsid w:val="00A643A0"/>
    <w:rsid w:val="00E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A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A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DR.Priya</cp:lastModifiedBy>
  <cp:revision>2</cp:revision>
  <dcterms:created xsi:type="dcterms:W3CDTF">2018-06-18T06:37:00Z</dcterms:created>
  <dcterms:modified xsi:type="dcterms:W3CDTF">2018-06-18T06:37:00Z</dcterms:modified>
</cp:coreProperties>
</file>