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6335A" w14:textId="77777777" w:rsidR="00CE67B1" w:rsidRPr="00D86722" w:rsidRDefault="00CE67B1" w:rsidP="00CE67B1">
      <w:pPr>
        <w:pStyle w:val="Heading1"/>
      </w:pPr>
      <w:r>
        <w:t xml:space="preserve">S1 </w:t>
      </w:r>
      <w:r w:rsidRPr="00AD306A">
        <w:t>Appendix</w:t>
      </w:r>
      <w:r w:rsidRPr="00D86722">
        <w:t xml:space="preserve"> – Pilot Study</w:t>
      </w:r>
    </w:p>
    <w:p w14:paraId="3CCCC81B" w14:textId="77777777" w:rsidR="00CE67B1" w:rsidRPr="00D86722" w:rsidRDefault="00CE67B1" w:rsidP="00CE67B1">
      <w:pPr>
        <w:pStyle w:val="Heading2"/>
      </w:pPr>
      <w:r w:rsidRPr="00A20A4C">
        <w:t>Objective</w:t>
      </w:r>
    </w:p>
    <w:p w14:paraId="15C955B7" w14:textId="68B49031" w:rsidR="00CE67B1" w:rsidRPr="00D86722" w:rsidRDefault="00CE67B1" w:rsidP="00FE0B37">
      <w:pPr>
        <w:spacing w:line="480" w:lineRule="auto"/>
      </w:pPr>
      <w:r>
        <w:t xml:space="preserve">The aim of the pilot study was to develop a set-up using a computer screen to evoke and record PLRs. To test the sensitivity of the set-up, we compared the PLRs </w:t>
      </w:r>
      <w:r w:rsidRPr="00F96B5A">
        <w:t xml:space="preserve">to </w:t>
      </w:r>
      <w:r>
        <w:t xml:space="preserve">the light stimuli </w:t>
      </w:r>
      <w:r w:rsidRPr="00F96B5A">
        <w:t xml:space="preserve">characterized by different </w:t>
      </w:r>
      <w:r>
        <w:rPr>
          <w:rFonts w:hint="eastAsia"/>
          <w:i/>
        </w:rPr>
        <w:t>C</w:t>
      </w:r>
      <w:r w:rsidRPr="00A20A4C">
        <w:rPr>
          <w:i/>
        </w:rPr>
        <w:t>olors</w:t>
      </w:r>
      <w:r w:rsidRPr="00F96B5A">
        <w:t xml:space="preserve">, </w:t>
      </w:r>
      <w:r>
        <w:rPr>
          <w:rFonts w:hint="eastAsia"/>
          <w:i/>
        </w:rPr>
        <w:t>L</w:t>
      </w:r>
      <w:r w:rsidRPr="00A20A4C">
        <w:rPr>
          <w:i/>
        </w:rPr>
        <w:t>ight intensities</w:t>
      </w:r>
      <w:r w:rsidRPr="00F96B5A">
        <w:t xml:space="preserve"> and </w:t>
      </w:r>
      <w:r>
        <w:rPr>
          <w:rFonts w:hint="eastAsia"/>
          <w:i/>
        </w:rPr>
        <w:t>D</w:t>
      </w:r>
      <w:r w:rsidRPr="00A20A4C">
        <w:rPr>
          <w:i/>
        </w:rPr>
        <w:t>urations</w:t>
      </w:r>
      <w:r>
        <w:rPr>
          <w:i/>
        </w:rPr>
        <w:t>.</w:t>
      </w:r>
    </w:p>
    <w:p w14:paraId="67E9FD48" w14:textId="77777777" w:rsidR="00CE67B1" w:rsidRPr="00D86722" w:rsidRDefault="00CE67B1" w:rsidP="00CE67B1">
      <w:pPr>
        <w:pStyle w:val="Heading2"/>
      </w:pPr>
      <w:r w:rsidRPr="00D86722">
        <w:t>Methods</w:t>
      </w:r>
    </w:p>
    <w:p w14:paraId="16A6AF04" w14:textId="77777777" w:rsidR="00CE67B1" w:rsidRPr="00A20A4C" w:rsidRDefault="00CE67B1" w:rsidP="00CE67B1">
      <w:pPr>
        <w:pStyle w:val="Heading3"/>
      </w:pPr>
      <w:r w:rsidRPr="00A20A4C">
        <w:t>Participants</w:t>
      </w:r>
    </w:p>
    <w:p w14:paraId="1394E999" w14:textId="77777777" w:rsidR="00CE67B1" w:rsidRDefault="00CE67B1" w:rsidP="00CE67B1">
      <w:pPr>
        <w:spacing w:before="240" w:after="100" w:afterAutospacing="1" w:line="480" w:lineRule="auto"/>
        <w:rPr>
          <w:rFonts w:cs="Times New Roman"/>
          <w:szCs w:val="24"/>
        </w:rPr>
      </w:pPr>
      <w:r w:rsidRPr="00203C2C">
        <w:rPr>
          <w:rFonts w:cs="Times New Roman"/>
          <w:szCs w:val="24"/>
        </w:rPr>
        <w:t xml:space="preserve">The participants </w:t>
      </w:r>
      <w:r>
        <w:rPr>
          <w:rFonts w:cs="Times New Roman"/>
          <w:szCs w:val="24"/>
        </w:rPr>
        <w:t>in the pilot study</w:t>
      </w:r>
      <w:r w:rsidRPr="00203C2C">
        <w:rPr>
          <w:rFonts w:cs="Times New Roman"/>
          <w:szCs w:val="24"/>
        </w:rPr>
        <w:t xml:space="preserve"> were recruited from </w:t>
      </w:r>
      <w:r>
        <w:rPr>
          <w:rFonts w:cs="Times New Roman"/>
          <w:szCs w:val="24"/>
        </w:rPr>
        <w:t xml:space="preserve">the </w:t>
      </w:r>
      <w:r w:rsidRPr="00203C2C">
        <w:rPr>
          <w:rFonts w:cs="Times New Roman"/>
          <w:szCs w:val="24"/>
        </w:rPr>
        <w:t xml:space="preserve">VU University medical center, Amsterdam via advertisements and flyers. In total, 29 (18 females) </w:t>
      </w:r>
      <w:r>
        <w:rPr>
          <w:rFonts w:cs="Times New Roman"/>
          <w:szCs w:val="24"/>
        </w:rPr>
        <w:t>healthy adults</w:t>
      </w:r>
      <w:r w:rsidRPr="00203C2C">
        <w:rPr>
          <w:rFonts w:cs="Times New Roman"/>
          <w:szCs w:val="24"/>
        </w:rPr>
        <w:t xml:space="preserve"> were included in this study, with a mean age of 46.</w:t>
      </w:r>
      <w:r>
        <w:rPr>
          <w:rFonts w:cs="Times New Roman"/>
          <w:szCs w:val="24"/>
        </w:rPr>
        <w:t>7</w:t>
      </w:r>
      <w:r w:rsidRPr="00203C2C">
        <w:rPr>
          <w:rFonts w:cs="Times New Roman"/>
          <w:szCs w:val="24"/>
        </w:rPr>
        <w:t xml:space="preserve"> years (SD = 12.</w:t>
      </w:r>
      <w:r>
        <w:rPr>
          <w:rFonts w:cs="Times New Roman"/>
          <w:szCs w:val="24"/>
        </w:rPr>
        <w:t>7</w:t>
      </w:r>
      <w:r w:rsidRPr="00203C2C">
        <w:rPr>
          <w:rFonts w:cs="Times New Roman"/>
          <w:szCs w:val="24"/>
        </w:rPr>
        <w:t xml:space="preserve">). </w:t>
      </w:r>
      <w:r>
        <w:rPr>
          <w:rFonts w:cs="Times New Roman"/>
          <w:szCs w:val="24"/>
        </w:rPr>
        <w:t xml:space="preserve">Each of the </w:t>
      </w:r>
      <w:r w:rsidRPr="00203C2C">
        <w:rPr>
          <w:rFonts w:cs="Times New Roman"/>
          <w:szCs w:val="24"/>
        </w:rPr>
        <w:t>participants w</w:t>
      </w:r>
      <w:r>
        <w:rPr>
          <w:rFonts w:cs="Times New Roman"/>
          <w:szCs w:val="24"/>
        </w:rPr>
        <w:t>as</w:t>
      </w:r>
      <w:r w:rsidRPr="00203C2C">
        <w:rPr>
          <w:rFonts w:cs="Times New Roman"/>
          <w:szCs w:val="24"/>
        </w:rPr>
        <w:t xml:space="preserve"> </w:t>
      </w:r>
      <w:r>
        <w:rPr>
          <w:rFonts w:cs="Times New Roman"/>
          <w:szCs w:val="24"/>
        </w:rPr>
        <w:t xml:space="preserve">a </w:t>
      </w:r>
      <w:r w:rsidRPr="00203C2C">
        <w:rPr>
          <w:rFonts w:cs="Times New Roman"/>
          <w:szCs w:val="24"/>
        </w:rPr>
        <w:t xml:space="preserve">native </w:t>
      </w:r>
      <w:r>
        <w:rPr>
          <w:rFonts w:cs="Times New Roman"/>
          <w:szCs w:val="24"/>
        </w:rPr>
        <w:t xml:space="preserve">speaker of </w:t>
      </w:r>
      <w:r w:rsidRPr="00203C2C">
        <w:rPr>
          <w:rFonts w:cs="Times New Roman"/>
          <w:szCs w:val="24"/>
        </w:rPr>
        <w:t xml:space="preserve">Dutch, and without any history of neurological, psychiatric or eye diseases that might </w:t>
      </w:r>
      <w:r>
        <w:rPr>
          <w:rFonts w:cs="Times New Roman"/>
          <w:szCs w:val="24"/>
        </w:rPr>
        <w:t xml:space="preserve">influence </w:t>
      </w:r>
      <w:r w:rsidRPr="00203C2C">
        <w:rPr>
          <w:rFonts w:cs="Times New Roman"/>
          <w:szCs w:val="24"/>
        </w:rPr>
        <w:t xml:space="preserve">the pupil </w:t>
      </w:r>
      <w:r>
        <w:rPr>
          <w:rFonts w:cs="Times New Roman"/>
          <w:szCs w:val="24"/>
        </w:rPr>
        <w:t>size</w:t>
      </w:r>
      <w:r w:rsidRPr="00203C2C">
        <w:rPr>
          <w:rFonts w:cs="Times New Roman"/>
          <w:szCs w:val="24"/>
        </w:rPr>
        <w:t>. The study was approved by the medical ethical committee of the VU University medical center (register number: 2014.231), and participants were asked to sign an informed consent form before testing.</w:t>
      </w:r>
    </w:p>
    <w:p w14:paraId="52D24E73" w14:textId="77777777" w:rsidR="00CE67B1" w:rsidRPr="00203C2C" w:rsidRDefault="00CE67B1" w:rsidP="00CE67B1">
      <w:pPr>
        <w:spacing w:before="240" w:after="100" w:afterAutospacing="1" w:line="480" w:lineRule="auto"/>
        <w:rPr>
          <w:rFonts w:cs="Times New Roman"/>
          <w:szCs w:val="24"/>
        </w:rPr>
      </w:pPr>
    </w:p>
    <w:p w14:paraId="691870A2" w14:textId="77777777" w:rsidR="00CE67B1" w:rsidRPr="00A20A4C" w:rsidRDefault="00CE67B1" w:rsidP="00CE67B1">
      <w:pPr>
        <w:pStyle w:val="Heading3"/>
        <w:rPr>
          <w:rStyle w:val="Heading2Char"/>
          <w:b/>
          <w:bCs/>
          <w:szCs w:val="24"/>
        </w:rPr>
      </w:pPr>
      <w:r w:rsidRPr="00A20A4C">
        <w:rPr>
          <w:rStyle w:val="Heading2Char"/>
          <w:b/>
          <w:szCs w:val="24"/>
        </w:rPr>
        <w:t>Pupillometry</w:t>
      </w:r>
    </w:p>
    <w:p w14:paraId="69A5F567" w14:textId="77777777" w:rsidR="00CE67B1" w:rsidRDefault="00CE67B1" w:rsidP="00CE67B1">
      <w:pPr>
        <w:spacing w:before="240" w:after="100" w:afterAutospacing="1" w:line="480" w:lineRule="auto"/>
        <w:rPr>
          <w:rFonts w:eastAsia="Times New Roman" w:cs="Times New Roman"/>
          <w:szCs w:val="24"/>
        </w:rPr>
      </w:pPr>
      <w:r w:rsidRPr="00203C2C">
        <w:rPr>
          <w:rFonts w:eastAsia="Times New Roman" w:cs="Times New Roman"/>
          <w:szCs w:val="24"/>
        </w:rPr>
        <w:t xml:space="preserve">We used </w:t>
      </w:r>
      <w:r>
        <w:rPr>
          <w:rFonts w:eastAsia="Times New Roman" w:cs="Times New Roman"/>
          <w:szCs w:val="24"/>
        </w:rPr>
        <w:t xml:space="preserve">the </w:t>
      </w:r>
      <w:r w:rsidRPr="00203C2C">
        <w:rPr>
          <w:rFonts w:eastAsia="Times New Roman" w:cs="Times New Roman"/>
          <w:szCs w:val="24"/>
        </w:rPr>
        <w:t>SMI RED 500 (SensoMotoric Instruments, Berlin, Germany) remote eye tracking system to record the pupil response of both eyes with 60 Hz</w:t>
      </w:r>
      <w:r>
        <w:rPr>
          <w:rFonts w:eastAsia="Times New Roman" w:cs="Times New Roman"/>
          <w:szCs w:val="24"/>
        </w:rPr>
        <w:t xml:space="preserve"> sampling rate (we used 120 Hz later in the </w:t>
      </w:r>
      <w:r>
        <w:rPr>
          <w:rFonts w:eastAsia="Times New Roman" w:cs="Times New Roman" w:hint="eastAsia"/>
          <w:szCs w:val="24"/>
        </w:rPr>
        <w:t xml:space="preserve">experimental </w:t>
      </w:r>
      <w:r>
        <w:rPr>
          <w:rFonts w:eastAsia="Times New Roman" w:cs="Times New Roman"/>
          <w:szCs w:val="24"/>
        </w:rPr>
        <w:t>test)</w:t>
      </w:r>
      <w:r w:rsidRPr="00203C2C">
        <w:rPr>
          <w:rFonts w:eastAsia="Times New Roman" w:cs="Times New Roman"/>
          <w:szCs w:val="24"/>
        </w:rPr>
        <w:t xml:space="preserve"> and a spatial resolution of 0.03</w:t>
      </w:r>
      <w:r w:rsidRPr="00203C2C">
        <w:rPr>
          <w:rFonts w:cs="Times New Roman"/>
          <w:color w:val="1F1F1F"/>
          <w:szCs w:val="24"/>
          <w:shd w:val="clear" w:color="auto" w:fill="FFFFFF"/>
          <w:vertAlign w:val="superscript"/>
        </w:rPr>
        <w:t>°</w:t>
      </w:r>
      <w:r w:rsidRPr="00203C2C">
        <w:rPr>
          <w:rFonts w:eastAsia="Times New Roman" w:cs="Times New Roman"/>
          <w:szCs w:val="24"/>
        </w:rPr>
        <w:t xml:space="preserve">. Only data from left eye were </w:t>
      </w:r>
      <w:r>
        <w:rPr>
          <w:rFonts w:eastAsia="Times New Roman" w:cs="Times New Roman"/>
          <w:szCs w:val="24"/>
        </w:rPr>
        <w:t xml:space="preserve">analyzed </w:t>
      </w:r>
      <w:r w:rsidRPr="00203C2C">
        <w:rPr>
          <w:rFonts w:eastAsia="Times New Roman" w:cs="Times New Roman"/>
          <w:szCs w:val="24"/>
        </w:rPr>
        <w:t xml:space="preserve">in the current study. </w:t>
      </w:r>
    </w:p>
    <w:p w14:paraId="1EC4689B" w14:textId="77777777" w:rsidR="00CE67B1" w:rsidRPr="00203C2C" w:rsidRDefault="00CE67B1" w:rsidP="00CE67B1">
      <w:pPr>
        <w:spacing w:before="240" w:after="100" w:afterAutospacing="1" w:line="480" w:lineRule="auto"/>
        <w:rPr>
          <w:rFonts w:eastAsia="Times New Roman" w:cs="Times New Roman"/>
          <w:szCs w:val="24"/>
        </w:rPr>
      </w:pPr>
    </w:p>
    <w:p w14:paraId="6FEDC345" w14:textId="77777777" w:rsidR="00CE67B1" w:rsidRPr="00A20A4C" w:rsidRDefault="00CE67B1" w:rsidP="00CE67B1">
      <w:pPr>
        <w:pStyle w:val="Heading3"/>
      </w:pPr>
      <w:r w:rsidRPr="00A20A4C">
        <w:rPr>
          <w:rStyle w:val="Heading2Char"/>
          <w:b/>
          <w:szCs w:val="24"/>
        </w:rPr>
        <w:t>Conditions and Procedure</w:t>
      </w:r>
    </w:p>
    <w:p w14:paraId="0F691A6B" w14:textId="77777777" w:rsidR="00CE67B1" w:rsidRPr="00203C2C" w:rsidRDefault="00CE67B1" w:rsidP="00CE67B1">
      <w:pPr>
        <w:spacing w:before="240" w:after="100" w:afterAutospacing="1" w:line="480" w:lineRule="auto"/>
        <w:rPr>
          <w:rFonts w:cs="Times New Roman"/>
          <w:lang w:eastAsia="en-US"/>
        </w:rPr>
      </w:pPr>
      <w:r w:rsidRPr="00203C2C">
        <w:rPr>
          <w:rFonts w:cs="Times New Roman"/>
          <w:lang w:eastAsia="en-US"/>
        </w:rPr>
        <w:lastRenderedPageBreak/>
        <w:t>During the test, participants were seat</w:t>
      </w:r>
      <w:r>
        <w:rPr>
          <w:rFonts w:cs="Times New Roman"/>
          <w:lang w:eastAsia="en-US"/>
        </w:rPr>
        <w:t>ed</w:t>
      </w:r>
      <w:r w:rsidRPr="00203C2C">
        <w:rPr>
          <w:rFonts w:cs="Times New Roman"/>
          <w:lang w:eastAsia="en-US"/>
        </w:rPr>
        <w:t xml:space="preserve"> in a comfortable chair located in a dark sound-</w:t>
      </w:r>
      <w:r>
        <w:rPr>
          <w:rFonts w:cs="Times New Roman"/>
          <w:lang w:eastAsia="en-US"/>
        </w:rPr>
        <w:t xml:space="preserve">insulated </w:t>
      </w:r>
      <w:r w:rsidRPr="00203C2C">
        <w:rPr>
          <w:rFonts w:cs="Times New Roman"/>
          <w:lang w:eastAsia="en-US"/>
        </w:rPr>
        <w:t>booth</w:t>
      </w:r>
      <w:r>
        <w:rPr>
          <w:rFonts w:cs="Times New Roman"/>
          <w:lang w:eastAsia="en-US"/>
        </w:rPr>
        <w:t>. T</w:t>
      </w:r>
      <w:r w:rsidRPr="00203C2C">
        <w:rPr>
          <w:rFonts w:cs="Times New Roman"/>
          <w:lang w:eastAsia="en-US"/>
        </w:rPr>
        <w:t>he background luminance of the booth was less than 0.1 lux. A DELL P2210 (22"</w:t>
      </w:r>
      <w:r w:rsidRPr="00203C2C">
        <w:rPr>
          <w:rFonts w:cs="Times New Roman"/>
        </w:rPr>
        <w:t>)</w:t>
      </w:r>
      <w:r w:rsidRPr="00203C2C">
        <w:rPr>
          <w:rFonts w:cs="Times New Roman"/>
          <w:lang w:eastAsia="en-US"/>
        </w:rPr>
        <w:t xml:space="preserve"> computer screen was placed in front of the participant, and was used as a closed-loop light source </w:t>
      </w:r>
      <w:r>
        <w:rPr>
          <w:rFonts w:cs="Times New Roman"/>
          <w:lang w:eastAsia="en-US"/>
        </w:rPr>
        <w:t>to evoke a</w:t>
      </w:r>
      <w:r w:rsidRPr="00203C2C">
        <w:rPr>
          <w:rFonts w:cs="Times New Roman"/>
          <w:lang w:eastAsia="en-US"/>
        </w:rPr>
        <w:t xml:space="preserve"> </w:t>
      </w:r>
      <w:r>
        <w:rPr>
          <w:rFonts w:cs="Times New Roman"/>
          <w:lang w:eastAsia="en-US"/>
        </w:rPr>
        <w:t>PLR</w:t>
      </w:r>
      <w:r w:rsidRPr="00203C2C">
        <w:rPr>
          <w:rFonts w:cs="Times New Roman"/>
          <w:lang w:eastAsia="en-US"/>
        </w:rPr>
        <w:t xml:space="preserve">. The distance </w:t>
      </w:r>
      <w:r w:rsidRPr="00203C2C">
        <w:rPr>
          <w:rFonts w:cs="Times New Roman"/>
        </w:rPr>
        <w:t xml:space="preserve">from </w:t>
      </w:r>
      <w:r w:rsidRPr="00203C2C">
        <w:rPr>
          <w:rFonts w:cs="Times New Roman"/>
          <w:lang w:eastAsia="en-US"/>
        </w:rPr>
        <w:t xml:space="preserve">the middle of the eyes to the center of the screen was fixed to 55 cm, with visual angles of 30° vertically and 45° horizontally. There was a small white-fixation-dot located in the center of the screen and we asked the participants to fix their eye gaze on the dot throughout the test. Eight different types of stimuli (flashes) were presented to each participant. </w:t>
      </w:r>
      <w:r>
        <w:rPr>
          <w:rFonts w:cs="Times New Roman"/>
          <w:lang w:eastAsia="en-US"/>
        </w:rPr>
        <w:t xml:space="preserve">These were based on </w:t>
      </w:r>
      <w:r w:rsidRPr="00203C2C">
        <w:rPr>
          <w:rFonts w:cs="Times New Roman"/>
          <w:i/>
          <w:lang w:eastAsia="en-US"/>
        </w:rPr>
        <w:t>C</w:t>
      </w:r>
      <w:r w:rsidRPr="00762FC2">
        <w:rPr>
          <w:rFonts w:cs="Times New Roman"/>
          <w:i/>
          <w:lang w:eastAsia="en-US"/>
        </w:rPr>
        <w:t>olor</w:t>
      </w:r>
      <w:r w:rsidRPr="00203C2C">
        <w:rPr>
          <w:rFonts w:cs="Times New Roman"/>
          <w:lang w:eastAsia="en-US"/>
        </w:rPr>
        <w:t xml:space="preserve"> (green</w:t>
      </w:r>
      <w:r>
        <w:rPr>
          <w:rFonts w:cs="Times New Roman"/>
          <w:lang w:eastAsia="en-US"/>
        </w:rPr>
        <w:t xml:space="preserve"> (G)</w:t>
      </w:r>
      <w:r w:rsidRPr="00203C2C">
        <w:rPr>
          <w:rFonts w:cs="Times New Roman"/>
          <w:lang w:eastAsia="en-US"/>
        </w:rPr>
        <w:t xml:space="preserve">: peak wavelength: 520 nm or </w:t>
      </w:r>
      <w:r>
        <w:rPr>
          <w:rFonts w:cs="Times New Roman"/>
          <w:lang w:eastAsia="en-US"/>
        </w:rPr>
        <w:t>R</w:t>
      </w:r>
      <w:r w:rsidRPr="00203C2C">
        <w:rPr>
          <w:rFonts w:cs="Times New Roman"/>
          <w:lang w:eastAsia="en-US"/>
        </w:rPr>
        <w:t>ed</w:t>
      </w:r>
      <w:r>
        <w:rPr>
          <w:rFonts w:cs="Times New Roman"/>
          <w:lang w:eastAsia="en-US"/>
        </w:rPr>
        <w:t xml:space="preserve"> (R)</w:t>
      </w:r>
      <w:r w:rsidRPr="00203C2C">
        <w:rPr>
          <w:rFonts w:cs="Times New Roman"/>
          <w:lang w:eastAsia="en-US"/>
        </w:rPr>
        <w:t xml:space="preserve">: </w:t>
      </w:r>
      <w:r w:rsidRPr="00203C2C">
        <w:rPr>
          <w:rFonts w:cs="Times New Roman"/>
        </w:rPr>
        <w:t xml:space="preserve">peak wavelength: 680 nm), </w:t>
      </w:r>
      <w:r w:rsidRPr="00203C2C">
        <w:rPr>
          <w:rFonts w:cs="Times New Roman"/>
          <w:i/>
          <w:lang w:eastAsia="en-US"/>
        </w:rPr>
        <w:t>L</w:t>
      </w:r>
      <w:r w:rsidRPr="00762FC2">
        <w:rPr>
          <w:rFonts w:cs="Times New Roman"/>
          <w:i/>
          <w:lang w:eastAsia="en-US"/>
        </w:rPr>
        <w:t>ight intensity</w:t>
      </w:r>
      <w:r w:rsidRPr="00203C2C">
        <w:rPr>
          <w:rFonts w:cs="Times New Roman"/>
          <w:lang w:eastAsia="en-US"/>
        </w:rPr>
        <w:t xml:space="preserve"> (</w:t>
      </w:r>
      <w:r>
        <w:rPr>
          <w:rFonts w:cs="Times New Roman"/>
          <w:lang w:eastAsia="en-US"/>
        </w:rPr>
        <w:t xml:space="preserve">Low (L) </w:t>
      </w:r>
      <w:r w:rsidRPr="00203C2C">
        <w:rPr>
          <w:rFonts w:cs="Times New Roman"/>
          <w:lang w:eastAsia="en-US"/>
        </w:rPr>
        <w:t>3 cd/m</w:t>
      </w:r>
      <w:r w:rsidRPr="00203C2C">
        <w:rPr>
          <w:rFonts w:cs="Times New Roman"/>
          <w:vertAlign w:val="superscript"/>
          <w:lang w:eastAsia="en-US"/>
        </w:rPr>
        <w:t>2</w:t>
      </w:r>
      <w:r w:rsidRPr="00203C2C">
        <w:rPr>
          <w:rFonts w:cs="Times New Roman"/>
          <w:lang w:eastAsia="en-US"/>
        </w:rPr>
        <w:t xml:space="preserve"> or </w:t>
      </w:r>
      <w:r>
        <w:rPr>
          <w:rFonts w:cs="Times New Roman"/>
          <w:lang w:eastAsia="en-US"/>
        </w:rPr>
        <w:t xml:space="preserve">High (H) </w:t>
      </w:r>
      <w:r w:rsidRPr="00203C2C">
        <w:rPr>
          <w:rFonts w:cs="Times New Roman"/>
          <w:lang w:eastAsia="en-US"/>
        </w:rPr>
        <w:t>10 cd/m</w:t>
      </w:r>
      <w:r w:rsidRPr="00203C2C">
        <w:rPr>
          <w:rFonts w:cs="Times New Roman"/>
          <w:vertAlign w:val="superscript"/>
          <w:lang w:eastAsia="en-US"/>
        </w:rPr>
        <w:t>2</w:t>
      </w:r>
      <w:r w:rsidRPr="00203C2C">
        <w:rPr>
          <w:rFonts w:cs="Times New Roman"/>
          <w:lang w:eastAsia="en-US"/>
        </w:rPr>
        <w:t xml:space="preserve">) and </w:t>
      </w:r>
      <w:r w:rsidRPr="00203C2C">
        <w:rPr>
          <w:rFonts w:cs="Times New Roman"/>
          <w:i/>
          <w:lang w:eastAsia="en-US"/>
        </w:rPr>
        <w:t>D</w:t>
      </w:r>
      <w:r w:rsidRPr="00762FC2">
        <w:rPr>
          <w:rFonts w:cs="Times New Roman"/>
          <w:i/>
          <w:lang w:eastAsia="en-US"/>
        </w:rPr>
        <w:t>uration</w:t>
      </w:r>
      <w:r w:rsidRPr="00203C2C">
        <w:rPr>
          <w:rFonts w:cs="Times New Roman"/>
          <w:lang w:eastAsia="en-US"/>
        </w:rPr>
        <w:t xml:space="preserve"> (200 ms or 1000 ms). This resulted in eight conditions per participant</w:t>
      </w:r>
      <w:r>
        <w:rPr>
          <w:rFonts w:cs="Times New Roman"/>
          <w:lang w:eastAsia="en-US"/>
        </w:rPr>
        <w:t>, namely GL200, GL1000, GH200</w:t>
      </w:r>
      <w:r>
        <w:rPr>
          <w:rFonts w:cs="Times New Roman"/>
        </w:rPr>
        <w:t>, GH1000, RL200, RL1000, RH200, RH1000.</w:t>
      </w:r>
      <w:r w:rsidRPr="00203C2C">
        <w:rPr>
          <w:rFonts w:cs="Times New Roman"/>
          <w:lang w:eastAsia="en-US"/>
        </w:rPr>
        <w:t xml:space="preserve"> The presentation order of the eight conditions was completely randomized</w:t>
      </w:r>
      <w:r>
        <w:rPr>
          <w:rFonts w:cs="Times New Roman"/>
          <w:lang w:eastAsia="en-US"/>
        </w:rPr>
        <w:t xml:space="preserve"> between participants</w:t>
      </w:r>
      <w:r w:rsidRPr="00203C2C">
        <w:rPr>
          <w:rFonts w:cs="Times New Roman"/>
          <w:lang w:eastAsia="en-US"/>
        </w:rPr>
        <w:t>. In each condition, the same stimulus was presented six times after a two</w:t>
      </w:r>
      <w:r>
        <w:rPr>
          <w:rFonts w:cs="Times New Roman"/>
          <w:lang w:eastAsia="en-US"/>
        </w:rPr>
        <w:t>-</w:t>
      </w:r>
      <w:r w:rsidRPr="00203C2C">
        <w:rPr>
          <w:rFonts w:cs="Times New Roman"/>
          <w:lang w:eastAsia="en-US"/>
        </w:rPr>
        <w:t>minute dark adapt</w:t>
      </w:r>
      <w:r>
        <w:rPr>
          <w:rFonts w:cs="Times New Roman"/>
          <w:lang w:eastAsia="en-US"/>
        </w:rPr>
        <w:t>at</w:t>
      </w:r>
      <w:r w:rsidRPr="00203C2C">
        <w:rPr>
          <w:rFonts w:cs="Times New Roman"/>
          <w:lang w:eastAsia="en-US"/>
        </w:rPr>
        <w:t xml:space="preserve">ion period. A warning sign (small-white-hollow-circle with negligible luminance change relative to the fixation mark) replaced the fixation mark a second before flash onset to warn the participants not </w:t>
      </w:r>
      <w:r w:rsidRPr="00203C2C">
        <w:rPr>
          <w:rFonts w:cs="Times New Roman"/>
        </w:rPr>
        <w:t xml:space="preserve">to blink </w:t>
      </w:r>
      <w:r>
        <w:rPr>
          <w:rFonts w:cs="Times New Roman"/>
        </w:rPr>
        <w:t>during the upcoming flash</w:t>
      </w:r>
      <w:r w:rsidRPr="00203C2C">
        <w:rPr>
          <w:rFonts w:cs="Times New Roman"/>
          <w:lang w:eastAsia="en-US"/>
        </w:rPr>
        <w:t>. For each flash, we recorded the pupil response for 16 seconds</w:t>
      </w:r>
      <w:r>
        <w:rPr>
          <w:rFonts w:cs="Times New Roman"/>
          <w:lang w:eastAsia="en-US"/>
        </w:rPr>
        <w:t xml:space="preserve"> (15 or 15.8 seconds inter-stimulus interval depending on the duration of the flash)</w:t>
      </w:r>
      <w:r w:rsidRPr="00203C2C">
        <w:rPr>
          <w:rFonts w:cs="Times New Roman"/>
          <w:lang w:eastAsia="en-US"/>
        </w:rPr>
        <w:t xml:space="preserve"> starting with the warning sign</w:t>
      </w:r>
      <w:r>
        <w:rPr>
          <w:rFonts w:cs="Times New Roman"/>
          <w:lang w:eastAsia="en-US"/>
        </w:rPr>
        <w:t xml:space="preserve">al </w:t>
      </w:r>
      <w:r w:rsidRPr="00203C2C">
        <w:rPr>
          <w:rFonts w:cs="Times New Roman"/>
          <w:lang w:eastAsia="en-US"/>
        </w:rPr>
        <w:t xml:space="preserve">onset. </w:t>
      </w:r>
    </w:p>
    <w:p w14:paraId="4E272129" w14:textId="77777777" w:rsidR="00CE67B1" w:rsidRPr="005164A2" w:rsidRDefault="00CE67B1" w:rsidP="00CE67B1">
      <w:pPr>
        <w:spacing w:before="240" w:after="100" w:afterAutospacing="1"/>
        <w:rPr>
          <w:rFonts w:cs="Times New Roman"/>
        </w:rPr>
      </w:pPr>
    </w:p>
    <w:p w14:paraId="4E2FF4C4" w14:textId="77777777" w:rsidR="00CE67B1" w:rsidRPr="00A20A4C" w:rsidRDefault="00CE67B1" w:rsidP="00CE67B1">
      <w:pPr>
        <w:pStyle w:val="Heading3"/>
      </w:pPr>
      <w:r w:rsidRPr="00A20A4C">
        <w:rPr>
          <w:rStyle w:val="Heading2Char"/>
          <w:b/>
          <w:bCs/>
          <w:szCs w:val="24"/>
        </w:rPr>
        <w:t>Pupil data processing</w:t>
      </w:r>
    </w:p>
    <w:p w14:paraId="20CDD900" w14:textId="77777777" w:rsidR="00CE67B1" w:rsidRDefault="00CE67B1" w:rsidP="00CE67B1">
      <w:pPr>
        <w:spacing w:before="240" w:after="100" w:afterAutospacing="1" w:line="480" w:lineRule="auto"/>
        <w:rPr>
          <w:rFonts w:cs="Times New Roman"/>
          <w:szCs w:val="24"/>
        </w:rPr>
      </w:pPr>
      <w:r>
        <w:rPr>
          <w:rFonts w:cs="Times New Roman"/>
          <w:szCs w:val="24"/>
        </w:rPr>
        <w:t>Pupil data was processed following the same method as described in the method section of the main experiment.</w:t>
      </w:r>
    </w:p>
    <w:p w14:paraId="140A87A8" w14:textId="77777777" w:rsidR="00CE67B1" w:rsidRDefault="00CE67B1" w:rsidP="00CE67B1">
      <w:pPr>
        <w:spacing w:before="240" w:after="100" w:afterAutospacing="1" w:line="480" w:lineRule="auto"/>
        <w:rPr>
          <w:rFonts w:cs="Times New Roman"/>
          <w:szCs w:val="24"/>
        </w:rPr>
      </w:pPr>
    </w:p>
    <w:p w14:paraId="7302E369" w14:textId="77777777" w:rsidR="00CE67B1" w:rsidRPr="00A20A4C" w:rsidRDefault="00CE67B1" w:rsidP="00CE67B1">
      <w:pPr>
        <w:pStyle w:val="Heading3"/>
        <w:rPr>
          <w:caps/>
        </w:rPr>
      </w:pPr>
      <w:r w:rsidRPr="00A20A4C">
        <w:t>Statistical Analyses</w:t>
      </w:r>
      <w:r w:rsidRPr="00A20A4C">
        <w:tab/>
      </w:r>
    </w:p>
    <w:p w14:paraId="50DB39DD" w14:textId="77777777" w:rsidR="00CE67B1" w:rsidRDefault="00CE67B1" w:rsidP="00CE67B1">
      <w:pPr>
        <w:spacing w:before="240" w:after="100" w:afterAutospacing="1" w:line="480" w:lineRule="auto"/>
        <w:rPr>
          <w:rFonts w:eastAsia="Times New Roman" w:cs="Times New Roman"/>
        </w:rPr>
      </w:pPr>
      <w:r w:rsidRPr="004E3638">
        <w:rPr>
          <w:rFonts w:eastAsia="Times New Roman" w:cs="Times New Roman"/>
        </w:rPr>
        <w:t xml:space="preserve">We first examined the descriptive statistics of the </w:t>
      </w:r>
      <w:r>
        <w:rPr>
          <w:rFonts w:eastAsia="Times New Roman" w:cs="Times New Roman" w:hint="eastAsia"/>
        </w:rPr>
        <w:t>PLR</w:t>
      </w:r>
      <w:r w:rsidRPr="004E3638">
        <w:rPr>
          <w:rFonts w:eastAsia="Times New Roman" w:cs="Times New Roman"/>
        </w:rPr>
        <w:t xml:space="preserve"> parameters (MCV,</w:t>
      </w:r>
      <w:r>
        <w:rPr>
          <w:rFonts w:eastAsia="Times New Roman" w:cs="Times New Roman"/>
        </w:rPr>
        <w:t xml:space="preserve"> ACA, RCA, BPD, DV1, T</w:t>
      </w:r>
      <w:r>
        <w:rPr>
          <w:rFonts w:eastAsia="Times New Roman" w:cs="Times New Roman" w:hint="eastAsia"/>
        </w:rPr>
        <w:t>75</w:t>
      </w:r>
      <w:r w:rsidRPr="004E3638">
        <w:rPr>
          <w:rFonts w:eastAsia="Times New Roman" w:cs="Times New Roman"/>
        </w:rPr>
        <w:t xml:space="preserve">) </w:t>
      </w:r>
      <w:r>
        <w:rPr>
          <w:rFonts w:eastAsia="Times New Roman" w:cs="Times New Roman"/>
        </w:rPr>
        <w:t>for each of</w:t>
      </w:r>
      <w:r w:rsidRPr="004E3638">
        <w:rPr>
          <w:rFonts w:eastAsia="Times New Roman" w:cs="Times New Roman"/>
        </w:rPr>
        <w:t xml:space="preserve"> the eight conditions. Then we ran </w:t>
      </w:r>
      <w:r>
        <w:rPr>
          <w:rFonts w:eastAsia="Times New Roman" w:cs="Times New Roman"/>
        </w:rPr>
        <w:t xml:space="preserve">a </w:t>
      </w:r>
      <w:r w:rsidRPr="004E3638">
        <w:rPr>
          <w:rFonts w:eastAsia="Times New Roman" w:cs="Times New Roman"/>
        </w:rPr>
        <w:t xml:space="preserve">three-way </w:t>
      </w:r>
      <w:r w:rsidRPr="004E3638">
        <w:rPr>
          <w:rFonts w:eastAsia="Times New Roman" w:cs="Times New Roman"/>
          <w:i/>
        </w:rPr>
        <w:t xml:space="preserve">(Color * Light Intensity * </w:t>
      </w:r>
      <w:r>
        <w:rPr>
          <w:rFonts w:eastAsia="Times New Roman" w:cs="Times New Roman"/>
          <w:i/>
        </w:rPr>
        <w:t>D</w:t>
      </w:r>
      <w:r w:rsidRPr="004E3638">
        <w:rPr>
          <w:rFonts w:eastAsia="Times New Roman" w:cs="Times New Roman"/>
          <w:i/>
        </w:rPr>
        <w:t xml:space="preserve">uration) </w:t>
      </w:r>
      <w:r w:rsidRPr="004E3638">
        <w:rPr>
          <w:rFonts w:eastAsia="Times New Roman" w:cs="Times New Roman"/>
        </w:rPr>
        <w:t>repeated measures ANOVA on each parameter to examine the effect</w:t>
      </w:r>
      <w:r>
        <w:rPr>
          <w:rFonts w:eastAsia="Times New Roman" w:cs="Times New Roman"/>
        </w:rPr>
        <w:t>s</w:t>
      </w:r>
      <w:r w:rsidRPr="004E3638">
        <w:rPr>
          <w:rFonts w:eastAsia="Times New Roman" w:cs="Times New Roman"/>
        </w:rPr>
        <w:t xml:space="preserve"> of </w:t>
      </w:r>
      <w:r>
        <w:rPr>
          <w:rFonts w:eastAsia="Times New Roman" w:cs="Times New Roman"/>
        </w:rPr>
        <w:t xml:space="preserve">within-subject factors </w:t>
      </w:r>
      <w:r w:rsidRPr="00AB51C6">
        <w:rPr>
          <w:rFonts w:eastAsia="Times New Roman" w:cs="Times New Roman"/>
          <w:i/>
        </w:rPr>
        <w:t>Color</w:t>
      </w:r>
      <w:r w:rsidRPr="004E3638">
        <w:rPr>
          <w:rFonts w:eastAsia="Times New Roman" w:cs="Times New Roman"/>
        </w:rPr>
        <w:t xml:space="preserve">, </w:t>
      </w:r>
      <w:r w:rsidRPr="00AB51C6">
        <w:rPr>
          <w:rFonts w:eastAsia="Times New Roman" w:cs="Times New Roman"/>
          <w:i/>
        </w:rPr>
        <w:t xml:space="preserve">Light </w:t>
      </w:r>
      <w:r>
        <w:rPr>
          <w:rFonts w:eastAsia="Times New Roman" w:cs="Times New Roman"/>
          <w:i/>
        </w:rPr>
        <w:t>I</w:t>
      </w:r>
      <w:r w:rsidRPr="00AB51C6">
        <w:rPr>
          <w:rFonts w:eastAsia="Times New Roman" w:cs="Times New Roman"/>
          <w:i/>
        </w:rPr>
        <w:t>ntensity</w:t>
      </w:r>
      <w:r w:rsidRPr="004E3638">
        <w:rPr>
          <w:rFonts w:eastAsia="Times New Roman" w:cs="Times New Roman"/>
        </w:rPr>
        <w:t xml:space="preserve"> and </w:t>
      </w:r>
      <w:r w:rsidRPr="00AB51C6">
        <w:rPr>
          <w:rFonts w:eastAsia="Times New Roman" w:cs="Times New Roman"/>
          <w:i/>
        </w:rPr>
        <w:t>Duration</w:t>
      </w:r>
      <w:r w:rsidRPr="004E3638">
        <w:rPr>
          <w:rFonts w:eastAsia="Times New Roman" w:cs="Times New Roman"/>
        </w:rPr>
        <w:t xml:space="preserve"> of the flash </w:t>
      </w:r>
      <w:r>
        <w:rPr>
          <w:rFonts w:eastAsia="Times New Roman" w:cs="Times New Roman"/>
        </w:rPr>
        <w:t>stimulus</w:t>
      </w:r>
      <w:r w:rsidRPr="004E3638">
        <w:rPr>
          <w:rFonts w:eastAsia="Times New Roman" w:cs="Times New Roman"/>
        </w:rPr>
        <w:t xml:space="preserve"> on the </w:t>
      </w:r>
      <w:r>
        <w:rPr>
          <w:rFonts w:eastAsia="Times New Roman" w:cs="Times New Roman"/>
        </w:rPr>
        <w:t>PLR</w:t>
      </w:r>
      <w:r w:rsidRPr="004E3638">
        <w:rPr>
          <w:rFonts w:eastAsia="Times New Roman" w:cs="Times New Roman"/>
        </w:rPr>
        <w:t>. We expected significant within-subject effect</w:t>
      </w:r>
      <w:r>
        <w:rPr>
          <w:rFonts w:eastAsia="Times New Roman" w:cs="Times New Roman"/>
        </w:rPr>
        <w:t>s</w:t>
      </w:r>
      <w:r w:rsidRPr="004E3638">
        <w:rPr>
          <w:rFonts w:eastAsia="Times New Roman" w:cs="Times New Roman"/>
        </w:rPr>
        <w:t xml:space="preserve"> of </w:t>
      </w:r>
      <w:r w:rsidRPr="00AB51C6">
        <w:rPr>
          <w:rFonts w:eastAsia="Times New Roman" w:cs="Times New Roman"/>
          <w:i/>
        </w:rPr>
        <w:t>Color</w:t>
      </w:r>
      <w:r w:rsidRPr="004E3638">
        <w:rPr>
          <w:rFonts w:eastAsia="Times New Roman" w:cs="Times New Roman"/>
        </w:rPr>
        <w:t xml:space="preserve">, </w:t>
      </w:r>
      <w:r w:rsidRPr="004E3638">
        <w:rPr>
          <w:rFonts w:eastAsia="Times New Roman" w:cs="Times New Roman"/>
          <w:i/>
        </w:rPr>
        <w:t>Light Intensity</w:t>
      </w:r>
      <w:r w:rsidRPr="004E3638">
        <w:rPr>
          <w:rFonts w:eastAsia="Times New Roman" w:cs="Times New Roman"/>
        </w:rPr>
        <w:t xml:space="preserve"> and </w:t>
      </w:r>
      <w:r w:rsidRPr="00AB51C6">
        <w:rPr>
          <w:rFonts w:eastAsia="Times New Roman" w:cs="Times New Roman"/>
          <w:i/>
        </w:rPr>
        <w:t>Duration</w:t>
      </w:r>
      <w:r w:rsidRPr="004E3638">
        <w:rPr>
          <w:rFonts w:eastAsia="Times New Roman" w:cs="Times New Roman"/>
        </w:rPr>
        <w:t xml:space="preserve"> on the selected PLR parameters.</w:t>
      </w:r>
    </w:p>
    <w:p w14:paraId="0547C3E8" w14:textId="77777777" w:rsidR="00CE67B1" w:rsidRPr="009B2441" w:rsidRDefault="00CE67B1" w:rsidP="00CE67B1">
      <w:pPr>
        <w:pStyle w:val="Heading2"/>
        <w:tabs>
          <w:tab w:val="left" w:pos="6388"/>
        </w:tabs>
      </w:pPr>
      <w:r w:rsidRPr="005164A2">
        <w:t>Result</w:t>
      </w:r>
      <w:r>
        <w:t>s</w:t>
      </w:r>
      <w:r>
        <w:tab/>
      </w:r>
    </w:p>
    <w:p w14:paraId="2D334EFC" w14:textId="3D4391DA" w:rsidR="00CE67B1" w:rsidRDefault="00CE67B1" w:rsidP="00CE67B1">
      <w:pPr>
        <w:spacing w:before="240" w:after="100" w:afterAutospacing="1" w:line="480" w:lineRule="auto"/>
        <w:rPr>
          <w:rFonts w:cs="Times New Roman"/>
          <w:szCs w:val="24"/>
        </w:rPr>
      </w:pPr>
      <w:r w:rsidRPr="003F6D13">
        <w:rPr>
          <w:rFonts w:cs="Times New Roman"/>
          <w:szCs w:val="24"/>
        </w:rPr>
        <w:t xml:space="preserve">Table </w:t>
      </w:r>
      <w:r w:rsidR="00C71D80">
        <w:rPr>
          <w:rFonts w:cs="Times New Roman"/>
          <w:szCs w:val="24"/>
        </w:rPr>
        <w:t>A</w:t>
      </w:r>
      <w:r w:rsidRPr="003F6D13">
        <w:rPr>
          <w:rFonts w:cs="Times New Roman"/>
          <w:szCs w:val="24"/>
        </w:rPr>
        <w:t xml:space="preserve"> shows the descriptive statistics of the PLR parameters. The Valid N indicates the number of valid </w:t>
      </w:r>
      <w:r>
        <w:rPr>
          <w:rFonts w:cs="Times New Roman"/>
          <w:szCs w:val="24"/>
        </w:rPr>
        <w:t>data points (participants)</w:t>
      </w:r>
      <w:r w:rsidRPr="003F6D13">
        <w:rPr>
          <w:rFonts w:cs="Times New Roman"/>
          <w:szCs w:val="24"/>
        </w:rPr>
        <w:t xml:space="preserve"> included in </w:t>
      </w:r>
      <w:r>
        <w:rPr>
          <w:rFonts w:cs="Times New Roman"/>
          <w:szCs w:val="24"/>
        </w:rPr>
        <w:t xml:space="preserve">the particular </w:t>
      </w:r>
      <w:r w:rsidRPr="003F6D13">
        <w:rPr>
          <w:rFonts w:cs="Times New Roman"/>
          <w:szCs w:val="24"/>
        </w:rPr>
        <w:t xml:space="preserve">condition. </w:t>
      </w:r>
      <w:r>
        <w:rPr>
          <w:rFonts w:cs="Times New Roman"/>
          <w:szCs w:val="24"/>
        </w:rPr>
        <w:t xml:space="preserve">If </w:t>
      </w:r>
      <w:r w:rsidRPr="003F6D13">
        <w:rPr>
          <w:rFonts w:cs="Times New Roman"/>
          <w:szCs w:val="24"/>
        </w:rPr>
        <w:t xml:space="preserve">there were no valid pupil traces </w:t>
      </w:r>
      <w:r>
        <w:rPr>
          <w:rFonts w:cs="Times New Roman"/>
          <w:szCs w:val="24"/>
        </w:rPr>
        <w:t xml:space="preserve">for a given participant </w:t>
      </w:r>
      <w:r w:rsidRPr="003F6D13">
        <w:rPr>
          <w:rFonts w:cs="Times New Roman"/>
          <w:szCs w:val="24"/>
        </w:rPr>
        <w:t xml:space="preserve">due to </w:t>
      </w:r>
      <w:r>
        <w:rPr>
          <w:rFonts w:cs="Times New Roman"/>
          <w:szCs w:val="24"/>
        </w:rPr>
        <w:t xml:space="preserve">data loss and/or </w:t>
      </w:r>
      <w:r w:rsidRPr="003F6D13">
        <w:rPr>
          <w:rFonts w:cs="Times New Roman"/>
          <w:szCs w:val="24"/>
        </w:rPr>
        <w:t>blinks</w:t>
      </w:r>
      <w:r>
        <w:rPr>
          <w:rFonts w:cs="Times New Roman"/>
          <w:szCs w:val="24"/>
        </w:rPr>
        <w:t>, data for this condition were not included for this participant. In total, this occurred in</w:t>
      </w:r>
      <w:r w:rsidRPr="003F6D13">
        <w:rPr>
          <w:rFonts w:cs="Times New Roman"/>
          <w:szCs w:val="24"/>
        </w:rPr>
        <w:t xml:space="preserve"> 10 </w:t>
      </w:r>
      <w:r>
        <w:rPr>
          <w:rFonts w:cs="Times New Roman"/>
          <w:szCs w:val="24"/>
        </w:rPr>
        <w:t>(out of 232) cases</w:t>
      </w:r>
      <w:r w:rsidRPr="003F6D13">
        <w:rPr>
          <w:rFonts w:cs="Times New Roman"/>
          <w:szCs w:val="24"/>
        </w:rPr>
        <w:t xml:space="preserve">. </w:t>
      </w:r>
    </w:p>
    <w:p w14:paraId="2469D9C3" w14:textId="77777777" w:rsidR="00CE67B1" w:rsidRPr="005164A2" w:rsidRDefault="00CE67B1" w:rsidP="00CE67B1">
      <w:pPr>
        <w:spacing w:before="240" w:after="100" w:afterAutospacing="1" w:line="480" w:lineRule="auto"/>
        <w:rPr>
          <w:rFonts w:cs="Times New Roman"/>
          <w:sz w:val="24"/>
          <w:szCs w:val="24"/>
        </w:rPr>
      </w:pPr>
    </w:p>
    <w:p w14:paraId="0BD3DADF" w14:textId="1BF9277A" w:rsidR="00CE67B1" w:rsidRPr="00777BB9" w:rsidRDefault="00CE67B1" w:rsidP="00CE67B1">
      <w:pPr>
        <w:pStyle w:val="Caption"/>
        <w:keepNext/>
        <w:spacing w:before="240" w:after="100" w:afterAutospacing="1"/>
        <w:jc w:val="center"/>
        <w:rPr>
          <w:rFonts w:cs="Times New Roman"/>
          <w:sz w:val="21"/>
        </w:rPr>
      </w:pPr>
      <w:r w:rsidRPr="00777BB9">
        <w:rPr>
          <w:rFonts w:cs="Times New Roman"/>
          <w:sz w:val="21"/>
        </w:rPr>
        <w:t xml:space="preserve">Table </w:t>
      </w:r>
      <w:r w:rsidR="00C71D80">
        <w:rPr>
          <w:rFonts w:cs="Times New Roman" w:hint="eastAsia"/>
          <w:sz w:val="21"/>
        </w:rPr>
        <w:t>A</w:t>
      </w:r>
      <w:r w:rsidRPr="00777BB9">
        <w:rPr>
          <w:rFonts w:cs="Times New Roman"/>
          <w:sz w:val="21"/>
        </w:rPr>
        <w:t>. Descriptive statistics for the PLR parameters in each of the eight conditions</w:t>
      </w:r>
    </w:p>
    <w:tbl>
      <w:tblPr>
        <w:tblStyle w:val="TableGrid"/>
        <w:tblW w:w="9638" w:type="dxa"/>
        <w:tblLook w:val="04A0" w:firstRow="1" w:lastRow="0" w:firstColumn="1" w:lastColumn="0" w:noHBand="0" w:noVBand="1"/>
      </w:tblPr>
      <w:tblGrid>
        <w:gridCol w:w="1005"/>
        <w:gridCol w:w="950"/>
        <w:gridCol w:w="1304"/>
        <w:gridCol w:w="1289"/>
        <w:gridCol w:w="1276"/>
        <w:gridCol w:w="1376"/>
        <w:gridCol w:w="1134"/>
        <w:gridCol w:w="1304"/>
      </w:tblGrid>
      <w:tr w:rsidR="00CE67B1" w:rsidRPr="00FD73B9" w14:paraId="38A28817" w14:textId="77777777" w:rsidTr="005C5186">
        <w:trPr>
          <w:trHeight w:val="750"/>
        </w:trPr>
        <w:tc>
          <w:tcPr>
            <w:tcW w:w="1955" w:type="dxa"/>
            <w:gridSpan w:val="2"/>
            <w:vAlign w:val="center"/>
          </w:tcPr>
          <w:p w14:paraId="598045FF" w14:textId="77777777" w:rsidR="00CE67B1" w:rsidRPr="00FD73B9" w:rsidRDefault="00CE67B1" w:rsidP="005C5186">
            <w:pPr>
              <w:keepNext/>
              <w:spacing w:before="240" w:after="100" w:afterAutospacing="1" w:line="480" w:lineRule="auto"/>
              <w:jc w:val="center"/>
              <w:rPr>
                <w:sz w:val="18"/>
              </w:rPr>
            </w:pPr>
          </w:p>
        </w:tc>
        <w:tc>
          <w:tcPr>
            <w:tcW w:w="3869" w:type="dxa"/>
            <w:gridSpan w:val="3"/>
            <w:vAlign w:val="center"/>
          </w:tcPr>
          <w:p w14:paraId="290A2F30" w14:textId="77777777" w:rsidR="00CE67B1" w:rsidRPr="00FD73B9" w:rsidRDefault="00CE67B1" w:rsidP="005C5186">
            <w:pPr>
              <w:keepNext/>
              <w:spacing w:before="240" w:after="100" w:afterAutospacing="1" w:line="480" w:lineRule="auto"/>
              <w:jc w:val="center"/>
              <w:rPr>
                <w:sz w:val="18"/>
              </w:rPr>
            </w:pPr>
            <w:r w:rsidRPr="00FD73B9">
              <w:rPr>
                <w:sz w:val="18"/>
              </w:rPr>
              <w:t>PNS</w:t>
            </w:r>
          </w:p>
        </w:tc>
        <w:tc>
          <w:tcPr>
            <w:tcW w:w="2510" w:type="dxa"/>
            <w:gridSpan w:val="2"/>
            <w:vAlign w:val="center"/>
          </w:tcPr>
          <w:p w14:paraId="06C11F54" w14:textId="77777777" w:rsidR="00CE67B1" w:rsidRPr="00FD73B9" w:rsidRDefault="00CE67B1" w:rsidP="005C5186">
            <w:pPr>
              <w:keepNext/>
              <w:spacing w:before="240" w:after="100" w:afterAutospacing="1" w:line="480" w:lineRule="auto"/>
              <w:jc w:val="center"/>
              <w:rPr>
                <w:sz w:val="18"/>
              </w:rPr>
            </w:pPr>
            <w:r w:rsidRPr="00FD73B9">
              <w:rPr>
                <w:sz w:val="18"/>
              </w:rPr>
              <w:t>PNS + SNS</w:t>
            </w:r>
          </w:p>
        </w:tc>
        <w:tc>
          <w:tcPr>
            <w:tcW w:w="1304" w:type="dxa"/>
            <w:vAlign w:val="center"/>
          </w:tcPr>
          <w:p w14:paraId="39DB99A8" w14:textId="77777777" w:rsidR="00CE67B1" w:rsidRPr="00FD73B9" w:rsidRDefault="00CE67B1" w:rsidP="005C5186">
            <w:pPr>
              <w:keepNext/>
              <w:spacing w:before="240" w:after="100" w:afterAutospacing="1" w:line="480" w:lineRule="auto"/>
              <w:jc w:val="center"/>
              <w:rPr>
                <w:sz w:val="18"/>
              </w:rPr>
            </w:pPr>
            <w:r w:rsidRPr="00FD73B9">
              <w:rPr>
                <w:sz w:val="18"/>
              </w:rPr>
              <w:t>SNS</w:t>
            </w:r>
          </w:p>
        </w:tc>
      </w:tr>
      <w:tr w:rsidR="00CE67B1" w:rsidRPr="00FD73B9" w14:paraId="1514A2E8" w14:textId="77777777" w:rsidTr="005C5186">
        <w:trPr>
          <w:trHeight w:val="288"/>
        </w:trPr>
        <w:tc>
          <w:tcPr>
            <w:tcW w:w="1005" w:type="dxa"/>
            <w:vAlign w:val="center"/>
          </w:tcPr>
          <w:p w14:paraId="4E4BADD3" w14:textId="77777777" w:rsidR="00CE67B1" w:rsidRPr="00FD73B9" w:rsidRDefault="00CE67B1" w:rsidP="005C5186">
            <w:pPr>
              <w:keepNext/>
              <w:spacing w:before="240" w:after="100" w:afterAutospacing="1"/>
              <w:jc w:val="center"/>
              <w:rPr>
                <w:sz w:val="18"/>
              </w:rPr>
            </w:pPr>
          </w:p>
        </w:tc>
        <w:tc>
          <w:tcPr>
            <w:tcW w:w="950" w:type="dxa"/>
            <w:vAlign w:val="center"/>
          </w:tcPr>
          <w:p w14:paraId="48585ED4" w14:textId="77777777" w:rsidR="00CE67B1" w:rsidRPr="00FD73B9" w:rsidRDefault="00CE67B1" w:rsidP="005C5186">
            <w:pPr>
              <w:keepNext/>
              <w:spacing w:before="240" w:after="100" w:afterAutospacing="1"/>
              <w:jc w:val="center"/>
              <w:rPr>
                <w:sz w:val="18"/>
              </w:rPr>
            </w:pPr>
            <w:r w:rsidRPr="00FD73B9">
              <w:rPr>
                <w:sz w:val="18"/>
              </w:rPr>
              <w:t>Valid N</w:t>
            </w:r>
          </w:p>
        </w:tc>
        <w:tc>
          <w:tcPr>
            <w:tcW w:w="1304" w:type="dxa"/>
            <w:vAlign w:val="center"/>
          </w:tcPr>
          <w:p w14:paraId="013AC96E" w14:textId="3B40D800" w:rsidR="00CE67B1" w:rsidRPr="00FD73B9" w:rsidRDefault="00CE67B1" w:rsidP="005C5186">
            <w:pPr>
              <w:keepNext/>
              <w:spacing w:before="240" w:after="100" w:afterAutospacing="1"/>
              <w:jc w:val="center"/>
              <w:rPr>
                <w:sz w:val="18"/>
              </w:rPr>
            </w:pPr>
            <w:r w:rsidRPr="00FD73B9">
              <w:rPr>
                <w:sz w:val="18"/>
              </w:rPr>
              <w:t>MCV (mm/s)</w:t>
            </w:r>
          </w:p>
          <w:p w14:paraId="474E2F57" w14:textId="77777777" w:rsidR="00CE67B1" w:rsidRPr="00FD73B9" w:rsidRDefault="00CE67B1" w:rsidP="005C5186">
            <w:pPr>
              <w:keepNext/>
              <w:spacing w:before="240" w:after="100" w:afterAutospacing="1"/>
              <w:jc w:val="center"/>
              <w:rPr>
                <w:sz w:val="18"/>
              </w:rPr>
            </w:pPr>
            <w:r w:rsidRPr="00FD73B9">
              <w:rPr>
                <w:sz w:val="18"/>
              </w:rPr>
              <w:t>(SD)</w:t>
            </w:r>
          </w:p>
        </w:tc>
        <w:tc>
          <w:tcPr>
            <w:tcW w:w="1289" w:type="dxa"/>
            <w:vAlign w:val="center"/>
          </w:tcPr>
          <w:p w14:paraId="1D7B0728" w14:textId="5E8A4193" w:rsidR="00CE67B1" w:rsidRPr="00FD73B9" w:rsidRDefault="00CE67B1" w:rsidP="005C5186">
            <w:pPr>
              <w:keepNext/>
              <w:spacing w:before="240" w:after="100" w:afterAutospacing="1"/>
              <w:jc w:val="center"/>
              <w:rPr>
                <w:sz w:val="18"/>
              </w:rPr>
            </w:pPr>
            <w:r w:rsidRPr="00FD73B9">
              <w:rPr>
                <w:sz w:val="18"/>
              </w:rPr>
              <w:t>ACA</w:t>
            </w:r>
            <w:r w:rsidR="00FD73B9">
              <w:rPr>
                <w:sz w:val="18"/>
              </w:rPr>
              <w:t xml:space="preserve"> </w:t>
            </w:r>
            <w:r w:rsidRPr="00FD73B9">
              <w:rPr>
                <w:sz w:val="18"/>
              </w:rPr>
              <w:t>(mm)</w:t>
            </w:r>
          </w:p>
          <w:p w14:paraId="13CE53B7" w14:textId="77777777" w:rsidR="00CE67B1" w:rsidRPr="00FD73B9" w:rsidRDefault="00CE67B1" w:rsidP="005C5186">
            <w:pPr>
              <w:keepNext/>
              <w:spacing w:before="240" w:after="100" w:afterAutospacing="1"/>
              <w:jc w:val="center"/>
              <w:rPr>
                <w:sz w:val="18"/>
              </w:rPr>
            </w:pPr>
            <w:r w:rsidRPr="00FD73B9">
              <w:rPr>
                <w:sz w:val="18"/>
              </w:rPr>
              <w:t>(SD)</w:t>
            </w:r>
          </w:p>
        </w:tc>
        <w:tc>
          <w:tcPr>
            <w:tcW w:w="1276" w:type="dxa"/>
            <w:vAlign w:val="center"/>
          </w:tcPr>
          <w:p w14:paraId="6D6E4036" w14:textId="790290E5" w:rsidR="00CE67B1" w:rsidRPr="00FD73B9" w:rsidRDefault="00CE67B1" w:rsidP="005C5186">
            <w:pPr>
              <w:keepNext/>
              <w:spacing w:before="240" w:after="100" w:afterAutospacing="1"/>
              <w:jc w:val="center"/>
              <w:rPr>
                <w:sz w:val="18"/>
              </w:rPr>
            </w:pPr>
            <w:r w:rsidRPr="00FD73B9">
              <w:rPr>
                <w:sz w:val="18"/>
              </w:rPr>
              <w:t>RCA (%)</w:t>
            </w:r>
          </w:p>
          <w:p w14:paraId="39A24251" w14:textId="77777777" w:rsidR="00CE67B1" w:rsidRPr="00FD73B9" w:rsidRDefault="00CE67B1" w:rsidP="005C5186">
            <w:pPr>
              <w:keepNext/>
              <w:spacing w:before="240" w:after="100" w:afterAutospacing="1"/>
              <w:jc w:val="center"/>
              <w:rPr>
                <w:sz w:val="18"/>
              </w:rPr>
            </w:pPr>
            <w:r w:rsidRPr="00FD73B9">
              <w:rPr>
                <w:sz w:val="18"/>
              </w:rPr>
              <w:t>(SD)</w:t>
            </w:r>
          </w:p>
        </w:tc>
        <w:tc>
          <w:tcPr>
            <w:tcW w:w="1376" w:type="dxa"/>
            <w:vAlign w:val="center"/>
          </w:tcPr>
          <w:p w14:paraId="20D6EA14" w14:textId="42F5CA55" w:rsidR="00CE67B1" w:rsidRPr="00FD73B9" w:rsidRDefault="00CE67B1" w:rsidP="005C5186">
            <w:pPr>
              <w:keepNext/>
              <w:spacing w:before="240" w:after="100" w:afterAutospacing="1"/>
              <w:jc w:val="center"/>
              <w:rPr>
                <w:sz w:val="18"/>
              </w:rPr>
            </w:pPr>
            <w:r w:rsidRPr="00FD73B9">
              <w:rPr>
                <w:sz w:val="18"/>
              </w:rPr>
              <w:t>BPD</w:t>
            </w:r>
            <w:r w:rsidR="00FD73B9">
              <w:rPr>
                <w:sz w:val="18"/>
              </w:rPr>
              <w:t xml:space="preserve"> </w:t>
            </w:r>
            <w:r w:rsidRPr="00FD73B9">
              <w:rPr>
                <w:sz w:val="18"/>
              </w:rPr>
              <w:t>(mm)</w:t>
            </w:r>
          </w:p>
          <w:p w14:paraId="6FDED422" w14:textId="77777777" w:rsidR="00CE67B1" w:rsidRPr="00FD73B9" w:rsidRDefault="00CE67B1" w:rsidP="005C5186">
            <w:pPr>
              <w:keepNext/>
              <w:spacing w:before="240" w:after="100" w:afterAutospacing="1"/>
              <w:jc w:val="center"/>
              <w:rPr>
                <w:sz w:val="18"/>
              </w:rPr>
            </w:pPr>
            <w:r w:rsidRPr="00FD73B9">
              <w:rPr>
                <w:sz w:val="18"/>
              </w:rPr>
              <w:t>(SD)</w:t>
            </w:r>
          </w:p>
        </w:tc>
        <w:tc>
          <w:tcPr>
            <w:tcW w:w="1134" w:type="dxa"/>
            <w:vAlign w:val="center"/>
          </w:tcPr>
          <w:p w14:paraId="527D1882" w14:textId="77777777" w:rsidR="00CE67B1" w:rsidRPr="00FD73B9" w:rsidRDefault="00CE67B1" w:rsidP="005C5186">
            <w:pPr>
              <w:keepNext/>
              <w:spacing w:before="240" w:after="100" w:afterAutospacing="1"/>
              <w:jc w:val="center"/>
              <w:rPr>
                <w:sz w:val="18"/>
              </w:rPr>
            </w:pPr>
            <w:r w:rsidRPr="00FD73B9">
              <w:rPr>
                <w:sz w:val="18"/>
              </w:rPr>
              <w:t>DV1 (mm/s)</w:t>
            </w:r>
          </w:p>
          <w:p w14:paraId="24220C51" w14:textId="77777777" w:rsidR="00CE67B1" w:rsidRPr="00FD73B9" w:rsidRDefault="00CE67B1" w:rsidP="005C5186">
            <w:pPr>
              <w:keepNext/>
              <w:spacing w:before="240" w:after="100" w:afterAutospacing="1"/>
              <w:jc w:val="center"/>
              <w:rPr>
                <w:sz w:val="18"/>
              </w:rPr>
            </w:pPr>
            <w:r w:rsidRPr="00FD73B9">
              <w:rPr>
                <w:sz w:val="18"/>
              </w:rPr>
              <w:t>(SD)</w:t>
            </w:r>
          </w:p>
        </w:tc>
        <w:tc>
          <w:tcPr>
            <w:tcW w:w="1304" w:type="dxa"/>
            <w:vAlign w:val="center"/>
          </w:tcPr>
          <w:p w14:paraId="493F5824" w14:textId="27AC1198" w:rsidR="00CE67B1" w:rsidRPr="00FD73B9" w:rsidRDefault="00FD73B9" w:rsidP="005C5186">
            <w:pPr>
              <w:keepNext/>
              <w:spacing w:before="240" w:after="100" w:afterAutospacing="1"/>
              <w:jc w:val="center"/>
              <w:rPr>
                <w:sz w:val="18"/>
              </w:rPr>
            </w:pPr>
            <w:r>
              <w:rPr>
                <w:sz w:val="18"/>
              </w:rPr>
              <w:t xml:space="preserve">T75 </w:t>
            </w:r>
            <w:r w:rsidR="00CE67B1" w:rsidRPr="00FD73B9">
              <w:rPr>
                <w:sz w:val="18"/>
              </w:rPr>
              <w:t>(s)</w:t>
            </w:r>
          </w:p>
          <w:p w14:paraId="1E253951" w14:textId="77777777" w:rsidR="00CE67B1" w:rsidRPr="00FD73B9" w:rsidRDefault="00CE67B1" w:rsidP="005C5186">
            <w:pPr>
              <w:keepNext/>
              <w:spacing w:before="240" w:after="100" w:afterAutospacing="1"/>
              <w:jc w:val="center"/>
              <w:rPr>
                <w:sz w:val="18"/>
              </w:rPr>
            </w:pPr>
            <w:r w:rsidRPr="00FD73B9">
              <w:rPr>
                <w:sz w:val="18"/>
              </w:rPr>
              <w:t>(SD)</w:t>
            </w:r>
          </w:p>
        </w:tc>
      </w:tr>
      <w:tr w:rsidR="00CE67B1" w:rsidRPr="00FD73B9" w14:paraId="0BFB026C" w14:textId="77777777" w:rsidTr="005C5186">
        <w:trPr>
          <w:trHeight w:val="506"/>
        </w:trPr>
        <w:tc>
          <w:tcPr>
            <w:tcW w:w="1005" w:type="dxa"/>
            <w:vAlign w:val="center"/>
          </w:tcPr>
          <w:p w14:paraId="53BA66E3" w14:textId="77777777" w:rsidR="00CE67B1" w:rsidRPr="00FD73B9" w:rsidRDefault="00CE67B1" w:rsidP="005C5186">
            <w:pPr>
              <w:keepNext/>
              <w:spacing w:before="240" w:after="100" w:afterAutospacing="1" w:line="480" w:lineRule="auto"/>
              <w:jc w:val="center"/>
              <w:rPr>
                <w:sz w:val="18"/>
              </w:rPr>
            </w:pPr>
            <w:r w:rsidRPr="00FD73B9">
              <w:rPr>
                <w:sz w:val="18"/>
              </w:rPr>
              <w:t>RL200</w:t>
            </w:r>
          </w:p>
        </w:tc>
        <w:tc>
          <w:tcPr>
            <w:tcW w:w="950" w:type="dxa"/>
            <w:vAlign w:val="center"/>
          </w:tcPr>
          <w:p w14:paraId="3109ECAE" w14:textId="77777777" w:rsidR="00CE67B1" w:rsidRPr="00FD73B9" w:rsidRDefault="00CE67B1" w:rsidP="005C5186">
            <w:pPr>
              <w:keepNext/>
              <w:spacing w:before="240" w:after="100" w:afterAutospacing="1" w:line="480" w:lineRule="auto"/>
              <w:jc w:val="center"/>
              <w:rPr>
                <w:sz w:val="18"/>
              </w:rPr>
            </w:pPr>
            <w:r w:rsidRPr="00FD73B9">
              <w:rPr>
                <w:sz w:val="18"/>
              </w:rPr>
              <w:t>25</w:t>
            </w:r>
          </w:p>
        </w:tc>
        <w:tc>
          <w:tcPr>
            <w:tcW w:w="1304" w:type="dxa"/>
            <w:vAlign w:val="center"/>
          </w:tcPr>
          <w:p w14:paraId="64C99D5C" w14:textId="77777777" w:rsidR="00CE67B1" w:rsidRPr="00FD73B9" w:rsidRDefault="00CE67B1" w:rsidP="005C5186">
            <w:pPr>
              <w:keepNext/>
              <w:spacing w:before="240" w:after="100" w:afterAutospacing="1" w:line="480" w:lineRule="auto"/>
              <w:jc w:val="center"/>
              <w:rPr>
                <w:sz w:val="18"/>
              </w:rPr>
            </w:pPr>
            <w:r w:rsidRPr="00FD73B9">
              <w:rPr>
                <w:sz w:val="18"/>
              </w:rPr>
              <w:t>3.53 (1.09)</w:t>
            </w:r>
          </w:p>
        </w:tc>
        <w:tc>
          <w:tcPr>
            <w:tcW w:w="1289" w:type="dxa"/>
            <w:vAlign w:val="center"/>
          </w:tcPr>
          <w:p w14:paraId="25A6BD92" w14:textId="77777777" w:rsidR="00CE67B1" w:rsidRPr="00FD73B9" w:rsidRDefault="00CE67B1" w:rsidP="005C5186">
            <w:pPr>
              <w:keepNext/>
              <w:spacing w:before="240" w:after="100" w:afterAutospacing="1" w:line="480" w:lineRule="auto"/>
              <w:jc w:val="center"/>
              <w:rPr>
                <w:sz w:val="18"/>
              </w:rPr>
            </w:pPr>
            <w:r w:rsidRPr="00FD73B9">
              <w:rPr>
                <w:sz w:val="18"/>
              </w:rPr>
              <w:t>1.21 (0.32)</w:t>
            </w:r>
          </w:p>
        </w:tc>
        <w:tc>
          <w:tcPr>
            <w:tcW w:w="1276" w:type="dxa"/>
            <w:vAlign w:val="center"/>
          </w:tcPr>
          <w:p w14:paraId="08C35A24" w14:textId="77777777" w:rsidR="00CE67B1" w:rsidRPr="00FD73B9" w:rsidRDefault="00CE67B1" w:rsidP="005C5186">
            <w:pPr>
              <w:keepNext/>
              <w:spacing w:before="240" w:after="100" w:afterAutospacing="1" w:line="480" w:lineRule="auto"/>
              <w:jc w:val="center"/>
              <w:rPr>
                <w:sz w:val="18"/>
              </w:rPr>
            </w:pPr>
            <w:r w:rsidRPr="00FD73B9">
              <w:rPr>
                <w:sz w:val="18"/>
              </w:rPr>
              <w:t>25.19 (3.32)</w:t>
            </w:r>
          </w:p>
        </w:tc>
        <w:tc>
          <w:tcPr>
            <w:tcW w:w="1376" w:type="dxa"/>
            <w:vAlign w:val="center"/>
          </w:tcPr>
          <w:p w14:paraId="4965D139" w14:textId="77777777" w:rsidR="00CE67B1" w:rsidRPr="00FD73B9" w:rsidRDefault="00CE67B1" w:rsidP="005C5186">
            <w:pPr>
              <w:keepNext/>
              <w:spacing w:before="240" w:after="100" w:afterAutospacing="1" w:line="480" w:lineRule="auto"/>
              <w:jc w:val="center"/>
              <w:rPr>
                <w:sz w:val="18"/>
              </w:rPr>
            </w:pPr>
            <w:r w:rsidRPr="00FD73B9">
              <w:rPr>
                <w:sz w:val="18"/>
              </w:rPr>
              <w:t>4.74 (0.97)</w:t>
            </w:r>
          </w:p>
        </w:tc>
        <w:tc>
          <w:tcPr>
            <w:tcW w:w="1134" w:type="dxa"/>
            <w:vAlign w:val="center"/>
          </w:tcPr>
          <w:p w14:paraId="62184FBF" w14:textId="77777777" w:rsidR="00CE67B1" w:rsidRPr="00FD73B9" w:rsidRDefault="00CE67B1" w:rsidP="005C5186">
            <w:pPr>
              <w:keepNext/>
              <w:spacing w:before="240" w:after="100" w:afterAutospacing="1" w:line="480" w:lineRule="auto"/>
              <w:jc w:val="center"/>
              <w:rPr>
                <w:sz w:val="18"/>
              </w:rPr>
            </w:pPr>
            <w:r w:rsidRPr="00FD73B9">
              <w:rPr>
                <w:sz w:val="18"/>
              </w:rPr>
              <w:t>1.79 (0.62)</w:t>
            </w:r>
          </w:p>
        </w:tc>
        <w:tc>
          <w:tcPr>
            <w:tcW w:w="1304" w:type="dxa"/>
            <w:vAlign w:val="center"/>
          </w:tcPr>
          <w:p w14:paraId="59B83CA2" w14:textId="77777777" w:rsidR="00CE67B1" w:rsidRPr="00FD73B9" w:rsidRDefault="00CE67B1" w:rsidP="005C5186">
            <w:pPr>
              <w:keepNext/>
              <w:spacing w:before="240" w:after="100" w:afterAutospacing="1" w:line="480" w:lineRule="auto"/>
              <w:jc w:val="center"/>
              <w:rPr>
                <w:sz w:val="18"/>
              </w:rPr>
            </w:pPr>
            <w:r w:rsidRPr="00FD73B9">
              <w:rPr>
                <w:sz w:val="18"/>
              </w:rPr>
              <w:t>2</w:t>
            </w:r>
            <w:r w:rsidRPr="00FD73B9">
              <w:rPr>
                <w:rFonts w:hint="eastAsia"/>
                <w:sz w:val="18"/>
              </w:rPr>
              <w:t>.99</w:t>
            </w:r>
            <w:r w:rsidRPr="00FD73B9">
              <w:rPr>
                <w:sz w:val="18"/>
              </w:rPr>
              <w:t xml:space="preserve"> (0.70)</w:t>
            </w:r>
          </w:p>
        </w:tc>
      </w:tr>
      <w:tr w:rsidR="00CE67B1" w:rsidRPr="00FD73B9" w14:paraId="4D5226C8" w14:textId="77777777" w:rsidTr="005C5186">
        <w:trPr>
          <w:trHeight w:val="506"/>
        </w:trPr>
        <w:tc>
          <w:tcPr>
            <w:tcW w:w="1005" w:type="dxa"/>
            <w:vAlign w:val="center"/>
          </w:tcPr>
          <w:p w14:paraId="3798AE78" w14:textId="77777777" w:rsidR="00CE67B1" w:rsidRPr="00FD73B9" w:rsidRDefault="00CE67B1" w:rsidP="005C5186">
            <w:pPr>
              <w:keepNext/>
              <w:spacing w:before="240" w:after="100" w:afterAutospacing="1" w:line="480" w:lineRule="auto"/>
              <w:jc w:val="center"/>
              <w:rPr>
                <w:sz w:val="18"/>
              </w:rPr>
            </w:pPr>
            <w:r w:rsidRPr="00FD73B9">
              <w:rPr>
                <w:sz w:val="18"/>
              </w:rPr>
              <w:t>RL1000</w:t>
            </w:r>
          </w:p>
        </w:tc>
        <w:tc>
          <w:tcPr>
            <w:tcW w:w="950" w:type="dxa"/>
            <w:vAlign w:val="center"/>
          </w:tcPr>
          <w:p w14:paraId="776A0523" w14:textId="77777777" w:rsidR="00CE67B1" w:rsidRPr="00FD73B9" w:rsidRDefault="00CE67B1" w:rsidP="005C5186">
            <w:pPr>
              <w:keepNext/>
              <w:spacing w:before="240" w:after="100" w:afterAutospacing="1" w:line="480" w:lineRule="auto"/>
              <w:jc w:val="center"/>
              <w:rPr>
                <w:sz w:val="18"/>
              </w:rPr>
            </w:pPr>
            <w:r w:rsidRPr="00FD73B9">
              <w:rPr>
                <w:sz w:val="18"/>
              </w:rPr>
              <w:t>29</w:t>
            </w:r>
          </w:p>
        </w:tc>
        <w:tc>
          <w:tcPr>
            <w:tcW w:w="1304" w:type="dxa"/>
            <w:vAlign w:val="center"/>
          </w:tcPr>
          <w:p w14:paraId="3953FDDC" w14:textId="77777777" w:rsidR="00CE67B1" w:rsidRPr="00FD73B9" w:rsidRDefault="00CE67B1" w:rsidP="005C5186">
            <w:pPr>
              <w:keepNext/>
              <w:spacing w:before="240" w:after="100" w:afterAutospacing="1" w:line="480" w:lineRule="auto"/>
              <w:jc w:val="center"/>
              <w:rPr>
                <w:sz w:val="18"/>
              </w:rPr>
            </w:pPr>
            <w:r w:rsidRPr="00FD73B9">
              <w:rPr>
                <w:sz w:val="18"/>
              </w:rPr>
              <w:t>3.55 (0.88)</w:t>
            </w:r>
          </w:p>
        </w:tc>
        <w:tc>
          <w:tcPr>
            <w:tcW w:w="1289" w:type="dxa"/>
            <w:vAlign w:val="center"/>
          </w:tcPr>
          <w:p w14:paraId="663EBB5C" w14:textId="77777777" w:rsidR="00CE67B1" w:rsidRPr="00FD73B9" w:rsidRDefault="00CE67B1" w:rsidP="005C5186">
            <w:pPr>
              <w:keepNext/>
              <w:spacing w:before="240" w:after="100" w:afterAutospacing="1" w:line="480" w:lineRule="auto"/>
              <w:jc w:val="center"/>
              <w:rPr>
                <w:sz w:val="18"/>
              </w:rPr>
            </w:pPr>
            <w:r w:rsidRPr="00FD73B9">
              <w:rPr>
                <w:sz w:val="18"/>
              </w:rPr>
              <w:t>1.57 (0.50)</w:t>
            </w:r>
          </w:p>
        </w:tc>
        <w:tc>
          <w:tcPr>
            <w:tcW w:w="1276" w:type="dxa"/>
            <w:vAlign w:val="center"/>
          </w:tcPr>
          <w:p w14:paraId="0FA69B7B" w14:textId="77777777" w:rsidR="00CE67B1" w:rsidRPr="00FD73B9" w:rsidRDefault="00CE67B1" w:rsidP="005C5186">
            <w:pPr>
              <w:keepNext/>
              <w:spacing w:before="240" w:after="100" w:afterAutospacing="1" w:line="480" w:lineRule="auto"/>
              <w:jc w:val="center"/>
              <w:rPr>
                <w:sz w:val="18"/>
              </w:rPr>
            </w:pPr>
            <w:r w:rsidRPr="00FD73B9">
              <w:rPr>
                <w:sz w:val="18"/>
              </w:rPr>
              <w:t>31.98 (5.23)</w:t>
            </w:r>
          </w:p>
        </w:tc>
        <w:tc>
          <w:tcPr>
            <w:tcW w:w="1376" w:type="dxa"/>
            <w:vAlign w:val="center"/>
          </w:tcPr>
          <w:p w14:paraId="05A7761C" w14:textId="77777777" w:rsidR="00CE67B1" w:rsidRPr="00FD73B9" w:rsidRDefault="00CE67B1" w:rsidP="005C5186">
            <w:pPr>
              <w:keepNext/>
              <w:spacing w:before="240" w:after="100" w:afterAutospacing="1" w:line="480" w:lineRule="auto"/>
              <w:jc w:val="center"/>
              <w:rPr>
                <w:sz w:val="18"/>
              </w:rPr>
            </w:pPr>
            <w:r w:rsidRPr="00FD73B9">
              <w:rPr>
                <w:sz w:val="18"/>
              </w:rPr>
              <w:t>4.85 (1.13)</w:t>
            </w:r>
          </w:p>
        </w:tc>
        <w:tc>
          <w:tcPr>
            <w:tcW w:w="1134" w:type="dxa"/>
            <w:vAlign w:val="center"/>
          </w:tcPr>
          <w:p w14:paraId="046ABB09" w14:textId="77777777" w:rsidR="00CE67B1" w:rsidRPr="00FD73B9" w:rsidRDefault="00CE67B1" w:rsidP="005C5186">
            <w:pPr>
              <w:keepNext/>
              <w:spacing w:before="240" w:after="100" w:afterAutospacing="1" w:line="480" w:lineRule="auto"/>
              <w:jc w:val="center"/>
              <w:rPr>
                <w:sz w:val="18"/>
              </w:rPr>
            </w:pPr>
            <w:r w:rsidRPr="00FD73B9">
              <w:rPr>
                <w:sz w:val="18"/>
              </w:rPr>
              <w:t>2.65 (0.84)</w:t>
            </w:r>
          </w:p>
        </w:tc>
        <w:tc>
          <w:tcPr>
            <w:tcW w:w="1304" w:type="dxa"/>
            <w:vAlign w:val="center"/>
          </w:tcPr>
          <w:p w14:paraId="0D95F7DA" w14:textId="77777777" w:rsidR="00CE67B1" w:rsidRPr="00FD73B9" w:rsidRDefault="00CE67B1" w:rsidP="005C5186">
            <w:pPr>
              <w:keepNext/>
              <w:spacing w:before="240" w:after="100" w:afterAutospacing="1" w:line="480" w:lineRule="auto"/>
              <w:jc w:val="center"/>
              <w:rPr>
                <w:sz w:val="18"/>
              </w:rPr>
            </w:pPr>
            <w:r w:rsidRPr="00FD73B9">
              <w:rPr>
                <w:sz w:val="18"/>
              </w:rPr>
              <w:t>4.36 (0.30)</w:t>
            </w:r>
          </w:p>
        </w:tc>
      </w:tr>
      <w:tr w:rsidR="00CE67B1" w:rsidRPr="00FD73B9" w14:paraId="69AB8389" w14:textId="77777777" w:rsidTr="005C5186">
        <w:trPr>
          <w:trHeight w:val="506"/>
        </w:trPr>
        <w:tc>
          <w:tcPr>
            <w:tcW w:w="1005" w:type="dxa"/>
            <w:vAlign w:val="center"/>
          </w:tcPr>
          <w:p w14:paraId="63A6B686" w14:textId="77777777" w:rsidR="00CE67B1" w:rsidRPr="00FD73B9" w:rsidRDefault="00CE67B1" w:rsidP="005C5186">
            <w:pPr>
              <w:keepNext/>
              <w:spacing w:before="240" w:after="100" w:afterAutospacing="1" w:line="480" w:lineRule="auto"/>
              <w:jc w:val="center"/>
              <w:rPr>
                <w:sz w:val="18"/>
              </w:rPr>
            </w:pPr>
            <w:r w:rsidRPr="00FD73B9">
              <w:rPr>
                <w:sz w:val="18"/>
              </w:rPr>
              <w:t>RH200</w:t>
            </w:r>
          </w:p>
        </w:tc>
        <w:tc>
          <w:tcPr>
            <w:tcW w:w="950" w:type="dxa"/>
            <w:vAlign w:val="center"/>
          </w:tcPr>
          <w:p w14:paraId="0DB513CA" w14:textId="77777777" w:rsidR="00CE67B1" w:rsidRPr="00FD73B9" w:rsidRDefault="00CE67B1" w:rsidP="005C5186">
            <w:pPr>
              <w:keepNext/>
              <w:spacing w:before="240" w:after="100" w:afterAutospacing="1" w:line="480" w:lineRule="auto"/>
              <w:jc w:val="center"/>
              <w:rPr>
                <w:sz w:val="18"/>
              </w:rPr>
            </w:pPr>
            <w:r w:rsidRPr="00FD73B9">
              <w:rPr>
                <w:sz w:val="18"/>
              </w:rPr>
              <w:t>29</w:t>
            </w:r>
          </w:p>
        </w:tc>
        <w:tc>
          <w:tcPr>
            <w:tcW w:w="1304" w:type="dxa"/>
            <w:vAlign w:val="center"/>
          </w:tcPr>
          <w:p w14:paraId="76C4EF71" w14:textId="77777777" w:rsidR="00CE67B1" w:rsidRPr="00FD73B9" w:rsidRDefault="00CE67B1" w:rsidP="005C5186">
            <w:pPr>
              <w:keepNext/>
              <w:spacing w:before="240" w:after="100" w:afterAutospacing="1" w:line="480" w:lineRule="auto"/>
              <w:jc w:val="center"/>
              <w:rPr>
                <w:sz w:val="18"/>
              </w:rPr>
            </w:pPr>
            <w:r w:rsidRPr="00FD73B9">
              <w:rPr>
                <w:sz w:val="18"/>
              </w:rPr>
              <w:t>3.67 (0.88)</w:t>
            </w:r>
          </w:p>
        </w:tc>
        <w:tc>
          <w:tcPr>
            <w:tcW w:w="1289" w:type="dxa"/>
            <w:vAlign w:val="center"/>
          </w:tcPr>
          <w:p w14:paraId="7C22B1B1" w14:textId="77777777" w:rsidR="00CE67B1" w:rsidRPr="00FD73B9" w:rsidRDefault="00CE67B1" w:rsidP="005C5186">
            <w:pPr>
              <w:keepNext/>
              <w:spacing w:before="240" w:after="100" w:afterAutospacing="1" w:line="480" w:lineRule="auto"/>
              <w:jc w:val="center"/>
              <w:rPr>
                <w:sz w:val="18"/>
              </w:rPr>
            </w:pPr>
            <w:r w:rsidRPr="00FD73B9">
              <w:rPr>
                <w:sz w:val="18"/>
              </w:rPr>
              <w:t>1.41 (0.39)</w:t>
            </w:r>
          </w:p>
        </w:tc>
        <w:tc>
          <w:tcPr>
            <w:tcW w:w="1276" w:type="dxa"/>
            <w:vAlign w:val="center"/>
          </w:tcPr>
          <w:p w14:paraId="5A07C604" w14:textId="77777777" w:rsidR="00CE67B1" w:rsidRPr="00FD73B9" w:rsidRDefault="00CE67B1" w:rsidP="005C5186">
            <w:pPr>
              <w:keepNext/>
              <w:spacing w:before="240" w:after="100" w:afterAutospacing="1" w:line="480" w:lineRule="auto"/>
              <w:jc w:val="center"/>
              <w:rPr>
                <w:sz w:val="18"/>
              </w:rPr>
            </w:pPr>
            <w:r w:rsidRPr="00FD73B9">
              <w:rPr>
                <w:sz w:val="18"/>
              </w:rPr>
              <w:t>29.39 (3.55)</w:t>
            </w:r>
          </w:p>
        </w:tc>
        <w:tc>
          <w:tcPr>
            <w:tcW w:w="1376" w:type="dxa"/>
            <w:vAlign w:val="center"/>
          </w:tcPr>
          <w:p w14:paraId="774464E3" w14:textId="77777777" w:rsidR="00CE67B1" w:rsidRPr="00FD73B9" w:rsidRDefault="00CE67B1" w:rsidP="005C5186">
            <w:pPr>
              <w:keepNext/>
              <w:spacing w:before="240" w:after="100" w:afterAutospacing="1" w:line="480" w:lineRule="auto"/>
              <w:jc w:val="center"/>
              <w:rPr>
                <w:sz w:val="18"/>
              </w:rPr>
            </w:pPr>
            <w:r w:rsidRPr="00FD73B9">
              <w:rPr>
                <w:sz w:val="18"/>
              </w:rPr>
              <w:t>4.78 (1.10)</w:t>
            </w:r>
          </w:p>
        </w:tc>
        <w:tc>
          <w:tcPr>
            <w:tcW w:w="1134" w:type="dxa"/>
            <w:vAlign w:val="center"/>
          </w:tcPr>
          <w:p w14:paraId="15DF45B7" w14:textId="77777777" w:rsidR="00CE67B1" w:rsidRPr="00FD73B9" w:rsidRDefault="00CE67B1" w:rsidP="005C5186">
            <w:pPr>
              <w:keepNext/>
              <w:spacing w:before="240" w:after="100" w:afterAutospacing="1" w:line="480" w:lineRule="auto"/>
              <w:jc w:val="center"/>
              <w:rPr>
                <w:sz w:val="18"/>
              </w:rPr>
            </w:pPr>
            <w:r w:rsidRPr="00FD73B9">
              <w:rPr>
                <w:sz w:val="18"/>
              </w:rPr>
              <w:t>2.17 (0.72)</w:t>
            </w:r>
          </w:p>
        </w:tc>
        <w:tc>
          <w:tcPr>
            <w:tcW w:w="1304" w:type="dxa"/>
            <w:vAlign w:val="center"/>
          </w:tcPr>
          <w:p w14:paraId="31822AAA" w14:textId="77777777" w:rsidR="00CE67B1" w:rsidRPr="00FD73B9" w:rsidRDefault="00CE67B1" w:rsidP="005C5186">
            <w:pPr>
              <w:keepNext/>
              <w:spacing w:before="240" w:after="100" w:afterAutospacing="1" w:line="480" w:lineRule="auto"/>
              <w:jc w:val="center"/>
              <w:rPr>
                <w:sz w:val="18"/>
              </w:rPr>
            </w:pPr>
            <w:r w:rsidRPr="00FD73B9">
              <w:rPr>
                <w:sz w:val="18"/>
              </w:rPr>
              <w:t>3.32 (0.32)</w:t>
            </w:r>
          </w:p>
        </w:tc>
      </w:tr>
      <w:tr w:rsidR="00CE67B1" w:rsidRPr="00FD73B9" w14:paraId="1720B9D0" w14:textId="77777777" w:rsidTr="005C5186">
        <w:trPr>
          <w:trHeight w:val="506"/>
        </w:trPr>
        <w:tc>
          <w:tcPr>
            <w:tcW w:w="1005" w:type="dxa"/>
            <w:vAlign w:val="center"/>
          </w:tcPr>
          <w:p w14:paraId="73E21F6B" w14:textId="77777777" w:rsidR="00CE67B1" w:rsidRPr="00FD73B9" w:rsidRDefault="00CE67B1" w:rsidP="005C5186">
            <w:pPr>
              <w:keepNext/>
              <w:spacing w:before="240" w:after="100" w:afterAutospacing="1" w:line="480" w:lineRule="auto"/>
              <w:jc w:val="center"/>
              <w:rPr>
                <w:sz w:val="18"/>
              </w:rPr>
            </w:pPr>
            <w:r w:rsidRPr="00FD73B9">
              <w:rPr>
                <w:sz w:val="18"/>
              </w:rPr>
              <w:t>RH1000</w:t>
            </w:r>
          </w:p>
        </w:tc>
        <w:tc>
          <w:tcPr>
            <w:tcW w:w="950" w:type="dxa"/>
            <w:vAlign w:val="center"/>
          </w:tcPr>
          <w:p w14:paraId="44DC475A" w14:textId="77777777" w:rsidR="00CE67B1" w:rsidRPr="00FD73B9" w:rsidRDefault="00CE67B1" w:rsidP="005C5186">
            <w:pPr>
              <w:keepNext/>
              <w:spacing w:before="240" w:after="100" w:afterAutospacing="1" w:line="480" w:lineRule="auto"/>
              <w:jc w:val="center"/>
              <w:rPr>
                <w:sz w:val="18"/>
              </w:rPr>
            </w:pPr>
            <w:r w:rsidRPr="00FD73B9">
              <w:rPr>
                <w:sz w:val="18"/>
              </w:rPr>
              <w:t>28</w:t>
            </w:r>
          </w:p>
        </w:tc>
        <w:tc>
          <w:tcPr>
            <w:tcW w:w="1304" w:type="dxa"/>
            <w:vAlign w:val="center"/>
          </w:tcPr>
          <w:p w14:paraId="51AA2EB9" w14:textId="77777777" w:rsidR="00CE67B1" w:rsidRPr="00FD73B9" w:rsidRDefault="00CE67B1" w:rsidP="005C5186">
            <w:pPr>
              <w:keepNext/>
              <w:spacing w:before="240" w:after="100" w:afterAutospacing="1" w:line="480" w:lineRule="auto"/>
              <w:jc w:val="center"/>
              <w:rPr>
                <w:sz w:val="18"/>
              </w:rPr>
            </w:pPr>
            <w:r w:rsidRPr="00FD73B9">
              <w:rPr>
                <w:sz w:val="18"/>
              </w:rPr>
              <w:t>3.73 (0.94)</w:t>
            </w:r>
          </w:p>
        </w:tc>
        <w:tc>
          <w:tcPr>
            <w:tcW w:w="1289" w:type="dxa"/>
            <w:vAlign w:val="center"/>
          </w:tcPr>
          <w:p w14:paraId="08CF3FAF" w14:textId="77777777" w:rsidR="00CE67B1" w:rsidRPr="00FD73B9" w:rsidRDefault="00CE67B1" w:rsidP="005C5186">
            <w:pPr>
              <w:keepNext/>
              <w:spacing w:before="240" w:after="100" w:afterAutospacing="1" w:line="480" w:lineRule="auto"/>
              <w:jc w:val="center"/>
              <w:rPr>
                <w:sz w:val="18"/>
              </w:rPr>
            </w:pPr>
            <w:r w:rsidRPr="00FD73B9">
              <w:rPr>
                <w:sz w:val="18"/>
              </w:rPr>
              <w:t>1.80 (0.56)</w:t>
            </w:r>
          </w:p>
        </w:tc>
        <w:tc>
          <w:tcPr>
            <w:tcW w:w="1276" w:type="dxa"/>
            <w:vAlign w:val="center"/>
          </w:tcPr>
          <w:p w14:paraId="11CAD333" w14:textId="77777777" w:rsidR="00CE67B1" w:rsidRPr="00FD73B9" w:rsidRDefault="00CE67B1" w:rsidP="005C5186">
            <w:pPr>
              <w:keepNext/>
              <w:spacing w:before="240" w:after="100" w:afterAutospacing="1" w:line="480" w:lineRule="auto"/>
              <w:jc w:val="center"/>
              <w:rPr>
                <w:sz w:val="18"/>
              </w:rPr>
            </w:pPr>
            <w:r w:rsidRPr="00FD73B9">
              <w:rPr>
                <w:sz w:val="18"/>
              </w:rPr>
              <w:t>36.71 (4.64)</w:t>
            </w:r>
          </w:p>
        </w:tc>
        <w:tc>
          <w:tcPr>
            <w:tcW w:w="1376" w:type="dxa"/>
            <w:vAlign w:val="center"/>
          </w:tcPr>
          <w:p w14:paraId="2D150EF7" w14:textId="77777777" w:rsidR="00CE67B1" w:rsidRPr="00FD73B9" w:rsidRDefault="00CE67B1" w:rsidP="005C5186">
            <w:pPr>
              <w:keepNext/>
              <w:spacing w:before="240" w:after="100" w:afterAutospacing="1" w:line="480" w:lineRule="auto"/>
              <w:jc w:val="center"/>
              <w:rPr>
                <w:sz w:val="18"/>
              </w:rPr>
            </w:pPr>
            <w:r w:rsidRPr="00FD73B9">
              <w:rPr>
                <w:sz w:val="18"/>
              </w:rPr>
              <w:t>4.82 (1.15)</w:t>
            </w:r>
          </w:p>
        </w:tc>
        <w:tc>
          <w:tcPr>
            <w:tcW w:w="1134" w:type="dxa"/>
            <w:vAlign w:val="center"/>
          </w:tcPr>
          <w:p w14:paraId="1BEBDF7E" w14:textId="77777777" w:rsidR="00CE67B1" w:rsidRPr="00FD73B9" w:rsidRDefault="00CE67B1" w:rsidP="005C5186">
            <w:pPr>
              <w:keepNext/>
              <w:spacing w:before="240" w:after="100" w:afterAutospacing="1" w:line="480" w:lineRule="auto"/>
              <w:jc w:val="center"/>
              <w:rPr>
                <w:sz w:val="18"/>
              </w:rPr>
            </w:pPr>
            <w:r w:rsidRPr="00FD73B9">
              <w:rPr>
                <w:sz w:val="18"/>
              </w:rPr>
              <w:t>3.02 (0.99)</w:t>
            </w:r>
          </w:p>
        </w:tc>
        <w:tc>
          <w:tcPr>
            <w:tcW w:w="1304" w:type="dxa"/>
            <w:vAlign w:val="center"/>
          </w:tcPr>
          <w:p w14:paraId="42E99C5F" w14:textId="77777777" w:rsidR="00CE67B1" w:rsidRPr="00FD73B9" w:rsidRDefault="00CE67B1" w:rsidP="005C5186">
            <w:pPr>
              <w:keepNext/>
              <w:spacing w:before="240" w:after="100" w:afterAutospacing="1" w:line="480" w:lineRule="auto"/>
              <w:jc w:val="center"/>
              <w:rPr>
                <w:sz w:val="18"/>
              </w:rPr>
            </w:pPr>
            <w:r w:rsidRPr="00FD73B9">
              <w:rPr>
                <w:sz w:val="18"/>
              </w:rPr>
              <w:t>4.18 (0.34)</w:t>
            </w:r>
          </w:p>
        </w:tc>
      </w:tr>
      <w:tr w:rsidR="00CE67B1" w:rsidRPr="00FD73B9" w14:paraId="1C055C2B" w14:textId="77777777" w:rsidTr="005C5186">
        <w:trPr>
          <w:trHeight w:val="506"/>
        </w:trPr>
        <w:tc>
          <w:tcPr>
            <w:tcW w:w="1005" w:type="dxa"/>
            <w:vAlign w:val="center"/>
          </w:tcPr>
          <w:p w14:paraId="5D85171C" w14:textId="77777777" w:rsidR="00CE67B1" w:rsidRPr="00FD73B9" w:rsidRDefault="00CE67B1" w:rsidP="005C5186">
            <w:pPr>
              <w:keepNext/>
              <w:spacing w:before="240" w:after="100" w:afterAutospacing="1" w:line="480" w:lineRule="auto"/>
              <w:jc w:val="center"/>
              <w:rPr>
                <w:sz w:val="18"/>
              </w:rPr>
            </w:pPr>
            <w:r w:rsidRPr="00FD73B9">
              <w:rPr>
                <w:sz w:val="18"/>
              </w:rPr>
              <w:t>GL200</w:t>
            </w:r>
          </w:p>
        </w:tc>
        <w:tc>
          <w:tcPr>
            <w:tcW w:w="950" w:type="dxa"/>
            <w:vAlign w:val="center"/>
          </w:tcPr>
          <w:p w14:paraId="55D47000" w14:textId="77777777" w:rsidR="00CE67B1" w:rsidRPr="00FD73B9" w:rsidRDefault="00CE67B1" w:rsidP="005C5186">
            <w:pPr>
              <w:keepNext/>
              <w:spacing w:before="240" w:after="100" w:afterAutospacing="1" w:line="480" w:lineRule="auto"/>
              <w:jc w:val="center"/>
              <w:rPr>
                <w:sz w:val="18"/>
              </w:rPr>
            </w:pPr>
            <w:r w:rsidRPr="00FD73B9">
              <w:rPr>
                <w:sz w:val="18"/>
              </w:rPr>
              <w:t>28</w:t>
            </w:r>
          </w:p>
        </w:tc>
        <w:tc>
          <w:tcPr>
            <w:tcW w:w="1304" w:type="dxa"/>
            <w:vAlign w:val="center"/>
          </w:tcPr>
          <w:p w14:paraId="51D9A03E" w14:textId="77777777" w:rsidR="00CE67B1" w:rsidRPr="00FD73B9" w:rsidRDefault="00CE67B1" w:rsidP="005C5186">
            <w:pPr>
              <w:keepNext/>
              <w:spacing w:before="240" w:after="100" w:afterAutospacing="1" w:line="480" w:lineRule="auto"/>
              <w:jc w:val="center"/>
              <w:rPr>
                <w:sz w:val="18"/>
              </w:rPr>
            </w:pPr>
            <w:r w:rsidRPr="00FD73B9">
              <w:rPr>
                <w:sz w:val="18"/>
              </w:rPr>
              <w:t>3.73 (0.82)</w:t>
            </w:r>
          </w:p>
        </w:tc>
        <w:tc>
          <w:tcPr>
            <w:tcW w:w="1289" w:type="dxa"/>
            <w:vAlign w:val="center"/>
          </w:tcPr>
          <w:p w14:paraId="24E5481C" w14:textId="77777777" w:rsidR="00CE67B1" w:rsidRPr="00FD73B9" w:rsidRDefault="00CE67B1" w:rsidP="005C5186">
            <w:pPr>
              <w:keepNext/>
              <w:spacing w:before="240" w:after="100" w:afterAutospacing="1" w:line="480" w:lineRule="auto"/>
              <w:jc w:val="center"/>
              <w:rPr>
                <w:sz w:val="18"/>
              </w:rPr>
            </w:pPr>
            <w:r w:rsidRPr="00FD73B9">
              <w:rPr>
                <w:sz w:val="18"/>
              </w:rPr>
              <w:t>1.39 (0.35)</w:t>
            </w:r>
          </w:p>
        </w:tc>
        <w:tc>
          <w:tcPr>
            <w:tcW w:w="1276" w:type="dxa"/>
            <w:vAlign w:val="center"/>
          </w:tcPr>
          <w:p w14:paraId="0B0C2EFF" w14:textId="77777777" w:rsidR="00CE67B1" w:rsidRPr="00FD73B9" w:rsidRDefault="00CE67B1" w:rsidP="005C5186">
            <w:pPr>
              <w:keepNext/>
              <w:spacing w:before="240" w:after="100" w:afterAutospacing="1" w:line="480" w:lineRule="auto"/>
              <w:jc w:val="center"/>
              <w:rPr>
                <w:sz w:val="18"/>
              </w:rPr>
            </w:pPr>
            <w:r w:rsidRPr="00FD73B9">
              <w:rPr>
                <w:sz w:val="18"/>
              </w:rPr>
              <w:t>29.95 (3.90)</w:t>
            </w:r>
          </w:p>
        </w:tc>
        <w:tc>
          <w:tcPr>
            <w:tcW w:w="1376" w:type="dxa"/>
            <w:vAlign w:val="center"/>
          </w:tcPr>
          <w:p w14:paraId="6D73916D" w14:textId="77777777" w:rsidR="00CE67B1" w:rsidRPr="00FD73B9" w:rsidRDefault="00CE67B1" w:rsidP="005C5186">
            <w:pPr>
              <w:keepNext/>
              <w:spacing w:before="240" w:after="100" w:afterAutospacing="1" w:line="480" w:lineRule="auto"/>
              <w:jc w:val="center"/>
              <w:rPr>
                <w:sz w:val="18"/>
              </w:rPr>
            </w:pPr>
            <w:r w:rsidRPr="00FD73B9">
              <w:rPr>
                <w:sz w:val="18"/>
              </w:rPr>
              <w:t>5.17 (1.15)</w:t>
            </w:r>
          </w:p>
        </w:tc>
        <w:tc>
          <w:tcPr>
            <w:tcW w:w="1134" w:type="dxa"/>
            <w:vAlign w:val="center"/>
          </w:tcPr>
          <w:p w14:paraId="059EE38F" w14:textId="77777777" w:rsidR="00CE67B1" w:rsidRPr="00FD73B9" w:rsidRDefault="00CE67B1" w:rsidP="005C5186">
            <w:pPr>
              <w:keepNext/>
              <w:spacing w:before="240" w:after="100" w:afterAutospacing="1" w:line="480" w:lineRule="auto"/>
              <w:jc w:val="center"/>
              <w:rPr>
                <w:sz w:val="18"/>
              </w:rPr>
            </w:pPr>
            <w:r w:rsidRPr="00FD73B9">
              <w:rPr>
                <w:sz w:val="18"/>
              </w:rPr>
              <w:t>2.14 (0.62)</w:t>
            </w:r>
          </w:p>
        </w:tc>
        <w:tc>
          <w:tcPr>
            <w:tcW w:w="1304" w:type="dxa"/>
            <w:vAlign w:val="center"/>
          </w:tcPr>
          <w:p w14:paraId="3B8C9A39" w14:textId="77777777" w:rsidR="00CE67B1" w:rsidRPr="00FD73B9" w:rsidRDefault="00CE67B1" w:rsidP="005C5186">
            <w:pPr>
              <w:keepNext/>
              <w:spacing w:before="240" w:after="100" w:afterAutospacing="1" w:line="480" w:lineRule="auto"/>
              <w:jc w:val="center"/>
              <w:rPr>
                <w:sz w:val="18"/>
              </w:rPr>
            </w:pPr>
            <w:r w:rsidRPr="00FD73B9">
              <w:rPr>
                <w:sz w:val="18"/>
              </w:rPr>
              <w:t>3.37 (1.89)</w:t>
            </w:r>
          </w:p>
        </w:tc>
      </w:tr>
      <w:tr w:rsidR="00CE67B1" w:rsidRPr="00FD73B9" w14:paraId="56859ED7" w14:textId="77777777" w:rsidTr="005C5186">
        <w:trPr>
          <w:trHeight w:val="506"/>
        </w:trPr>
        <w:tc>
          <w:tcPr>
            <w:tcW w:w="1005" w:type="dxa"/>
            <w:vAlign w:val="center"/>
          </w:tcPr>
          <w:p w14:paraId="14ADA0D6" w14:textId="77777777" w:rsidR="00CE67B1" w:rsidRPr="00FD73B9" w:rsidRDefault="00CE67B1" w:rsidP="005C5186">
            <w:pPr>
              <w:keepNext/>
              <w:spacing w:before="240" w:after="100" w:afterAutospacing="1" w:line="480" w:lineRule="auto"/>
              <w:jc w:val="center"/>
              <w:rPr>
                <w:sz w:val="18"/>
              </w:rPr>
            </w:pPr>
            <w:r w:rsidRPr="00FD73B9">
              <w:rPr>
                <w:sz w:val="18"/>
              </w:rPr>
              <w:t>GL1000</w:t>
            </w:r>
          </w:p>
        </w:tc>
        <w:tc>
          <w:tcPr>
            <w:tcW w:w="950" w:type="dxa"/>
            <w:vAlign w:val="center"/>
          </w:tcPr>
          <w:p w14:paraId="63FFE298" w14:textId="77777777" w:rsidR="00CE67B1" w:rsidRPr="00FD73B9" w:rsidRDefault="00CE67B1" w:rsidP="005C5186">
            <w:pPr>
              <w:keepNext/>
              <w:spacing w:before="240" w:after="100" w:afterAutospacing="1" w:line="480" w:lineRule="auto"/>
              <w:jc w:val="center"/>
              <w:rPr>
                <w:sz w:val="18"/>
              </w:rPr>
            </w:pPr>
            <w:r w:rsidRPr="00FD73B9">
              <w:rPr>
                <w:sz w:val="18"/>
              </w:rPr>
              <w:t>28</w:t>
            </w:r>
          </w:p>
        </w:tc>
        <w:tc>
          <w:tcPr>
            <w:tcW w:w="1304" w:type="dxa"/>
            <w:vAlign w:val="center"/>
          </w:tcPr>
          <w:p w14:paraId="6AA4CB8A" w14:textId="77777777" w:rsidR="00CE67B1" w:rsidRPr="00FD73B9" w:rsidRDefault="00CE67B1" w:rsidP="005C5186">
            <w:pPr>
              <w:keepNext/>
              <w:spacing w:before="240" w:after="100" w:afterAutospacing="1" w:line="480" w:lineRule="auto"/>
              <w:jc w:val="center"/>
              <w:rPr>
                <w:sz w:val="18"/>
              </w:rPr>
            </w:pPr>
            <w:r w:rsidRPr="00FD73B9">
              <w:rPr>
                <w:sz w:val="18"/>
              </w:rPr>
              <w:t>3.75 (0.79)</w:t>
            </w:r>
          </w:p>
        </w:tc>
        <w:tc>
          <w:tcPr>
            <w:tcW w:w="1289" w:type="dxa"/>
            <w:vAlign w:val="center"/>
          </w:tcPr>
          <w:p w14:paraId="4F2163AB" w14:textId="77777777" w:rsidR="00CE67B1" w:rsidRPr="00FD73B9" w:rsidRDefault="00CE67B1" w:rsidP="005C5186">
            <w:pPr>
              <w:keepNext/>
              <w:spacing w:before="240" w:after="100" w:afterAutospacing="1" w:line="480" w:lineRule="auto"/>
              <w:jc w:val="center"/>
              <w:rPr>
                <w:sz w:val="18"/>
              </w:rPr>
            </w:pPr>
            <w:r w:rsidRPr="00FD73B9">
              <w:rPr>
                <w:sz w:val="18"/>
              </w:rPr>
              <w:t>1.69 (0.45)</w:t>
            </w:r>
          </w:p>
        </w:tc>
        <w:tc>
          <w:tcPr>
            <w:tcW w:w="1276" w:type="dxa"/>
            <w:vAlign w:val="center"/>
          </w:tcPr>
          <w:p w14:paraId="4EF97E99" w14:textId="77777777" w:rsidR="00CE67B1" w:rsidRPr="00FD73B9" w:rsidRDefault="00CE67B1" w:rsidP="005C5186">
            <w:pPr>
              <w:keepNext/>
              <w:spacing w:before="240" w:after="100" w:afterAutospacing="1" w:line="480" w:lineRule="auto"/>
              <w:jc w:val="center"/>
              <w:rPr>
                <w:sz w:val="18"/>
              </w:rPr>
            </w:pPr>
            <w:r w:rsidRPr="00FD73B9">
              <w:rPr>
                <w:sz w:val="18"/>
              </w:rPr>
              <w:t>33.94 (3.63)</w:t>
            </w:r>
          </w:p>
        </w:tc>
        <w:tc>
          <w:tcPr>
            <w:tcW w:w="1376" w:type="dxa"/>
            <w:vAlign w:val="center"/>
          </w:tcPr>
          <w:p w14:paraId="547A8780" w14:textId="77777777" w:rsidR="00CE67B1" w:rsidRPr="00FD73B9" w:rsidRDefault="00CE67B1" w:rsidP="005C5186">
            <w:pPr>
              <w:keepNext/>
              <w:spacing w:before="240" w:after="100" w:afterAutospacing="1" w:line="480" w:lineRule="auto"/>
              <w:jc w:val="center"/>
              <w:rPr>
                <w:sz w:val="18"/>
              </w:rPr>
            </w:pPr>
            <w:r w:rsidRPr="00FD73B9">
              <w:rPr>
                <w:sz w:val="18"/>
              </w:rPr>
              <w:t>4.93 (1.09)</w:t>
            </w:r>
          </w:p>
        </w:tc>
        <w:tc>
          <w:tcPr>
            <w:tcW w:w="1134" w:type="dxa"/>
            <w:vAlign w:val="center"/>
          </w:tcPr>
          <w:p w14:paraId="7BAD241F" w14:textId="77777777" w:rsidR="00CE67B1" w:rsidRPr="00FD73B9" w:rsidRDefault="00CE67B1" w:rsidP="005C5186">
            <w:pPr>
              <w:keepNext/>
              <w:spacing w:before="240" w:after="100" w:afterAutospacing="1" w:line="480" w:lineRule="auto"/>
              <w:jc w:val="center"/>
              <w:rPr>
                <w:sz w:val="18"/>
              </w:rPr>
            </w:pPr>
            <w:r w:rsidRPr="00FD73B9">
              <w:rPr>
                <w:sz w:val="18"/>
              </w:rPr>
              <w:t>2.75 (0.80)</w:t>
            </w:r>
          </w:p>
        </w:tc>
        <w:tc>
          <w:tcPr>
            <w:tcW w:w="1304" w:type="dxa"/>
            <w:vAlign w:val="center"/>
          </w:tcPr>
          <w:p w14:paraId="3C4FA54F" w14:textId="77777777" w:rsidR="00CE67B1" w:rsidRPr="00FD73B9" w:rsidRDefault="00CE67B1" w:rsidP="005C5186">
            <w:pPr>
              <w:keepNext/>
              <w:spacing w:before="240" w:after="100" w:afterAutospacing="1" w:line="480" w:lineRule="auto"/>
              <w:jc w:val="center"/>
              <w:rPr>
                <w:sz w:val="18"/>
              </w:rPr>
            </w:pPr>
            <w:r w:rsidRPr="00FD73B9">
              <w:rPr>
                <w:rFonts w:hint="eastAsia"/>
                <w:sz w:val="18"/>
              </w:rPr>
              <w:t>3.97</w:t>
            </w:r>
            <w:r w:rsidRPr="00FD73B9">
              <w:rPr>
                <w:sz w:val="18"/>
              </w:rPr>
              <w:t xml:space="preserve"> (0.28)</w:t>
            </w:r>
          </w:p>
        </w:tc>
      </w:tr>
      <w:tr w:rsidR="00CE67B1" w:rsidRPr="00FD73B9" w14:paraId="1366045B" w14:textId="77777777" w:rsidTr="005C5186">
        <w:trPr>
          <w:trHeight w:val="506"/>
        </w:trPr>
        <w:tc>
          <w:tcPr>
            <w:tcW w:w="1005" w:type="dxa"/>
            <w:vAlign w:val="center"/>
          </w:tcPr>
          <w:p w14:paraId="5F2B8175" w14:textId="77777777" w:rsidR="00CE67B1" w:rsidRPr="00FD73B9" w:rsidRDefault="00CE67B1" w:rsidP="005C5186">
            <w:pPr>
              <w:keepNext/>
              <w:spacing w:before="240" w:after="100" w:afterAutospacing="1" w:line="480" w:lineRule="auto"/>
              <w:jc w:val="center"/>
              <w:rPr>
                <w:sz w:val="18"/>
              </w:rPr>
            </w:pPr>
            <w:r w:rsidRPr="00FD73B9">
              <w:rPr>
                <w:sz w:val="18"/>
              </w:rPr>
              <w:t>GH200</w:t>
            </w:r>
          </w:p>
        </w:tc>
        <w:tc>
          <w:tcPr>
            <w:tcW w:w="950" w:type="dxa"/>
            <w:vAlign w:val="center"/>
          </w:tcPr>
          <w:p w14:paraId="2312602A" w14:textId="77777777" w:rsidR="00CE67B1" w:rsidRPr="00FD73B9" w:rsidRDefault="00CE67B1" w:rsidP="005C5186">
            <w:pPr>
              <w:keepNext/>
              <w:spacing w:before="240" w:after="100" w:afterAutospacing="1" w:line="480" w:lineRule="auto"/>
              <w:jc w:val="center"/>
              <w:rPr>
                <w:sz w:val="18"/>
              </w:rPr>
            </w:pPr>
            <w:r w:rsidRPr="00FD73B9">
              <w:rPr>
                <w:sz w:val="18"/>
              </w:rPr>
              <w:t>25</w:t>
            </w:r>
          </w:p>
        </w:tc>
        <w:tc>
          <w:tcPr>
            <w:tcW w:w="1304" w:type="dxa"/>
            <w:vAlign w:val="center"/>
          </w:tcPr>
          <w:p w14:paraId="12FFEC00" w14:textId="77777777" w:rsidR="00CE67B1" w:rsidRPr="00FD73B9" w:rsidRDefault="00CE67B1" w:rsidP="005C5186">
            <w:pPr>
              <w:keepNext/>
              <w:spacing w:before="240" w:after="100" w:afterAutospacing="1" w:line="480" w:lineRule="auto"/>
              <w:jc w:val="center"/>
              <w:rPr>
                <w:sz w:val="18"/>
              </w:rPr>
            </w:pPr>
            <w:r w:rsidRPr="00FD73B9">
              <w:rPr>
                <w:sz w:val="18"/>
              </w:rPr>
              <w:t>3.88 (0.77)</w:t>
            </w:r>
          </w:p>
        </w:tc>
        <w:tc>
          <w:tcPr>
            <w:tcW w:w="1289" w:type="dxa"/>
            <w:vAlign w:val="center"/>
          </w:tcPr>
          <w:p w14:paraId="7F0D6D13" w14:textId="77777777" w:rsidR="00CE67B1" w:rsidRPr="00FD73B9" w:rsidRDefault="00CE67B1" w:rsidP="005C5186">
            <w:pPr>
              <w:keepNext/>
              <w:spacing w:before="240" w:after="100" w:afterAutospacing="1" w:line="480" w:lineRule="auto"/>
              <w:jc w:val="center"/>
              <w:rPr>
                <w:sz w:val="18"/>
              </w:rPr>
            </w:pPr>
            <w:r w:rsidRPr="00FD73B9">
              <w:rPr>
                <w:sz w:val="18"/>
              </w:rPr>
              <w:t>1.49 (0.35)</w:t>
            </w:r>
          </w:p>
        </w:tc>
        <w:tc>
          <w:tcPr>
            <w:tcW w:w="1276" w:type="dxa"/>
            <w:vAlign w:val="center"/>
          </w:tcPr>
          <w:p w14:paraId="411E7121" w14:textId="77777777" w:rsidR="00CE67B1" w:rsidRPr="00FD73B9" w:rsidRDefault="00CE67B1" w:rsidP="005C5186">
            <w:pPr>
              <w:keepNext/>
              <w:spacing w:before="240" w:after="100" w:afterAutospacing="1" w:line="480" w:lineRule="auto"/>
              <w:jc w:val="center"/>
              <w:rPr>
                <w:sz w:val="18"/>
              </w:rPr>
            </w:pPr>
            <w:r w:rsidRPr="00FD73B9">
              <w:rPr>
                <w:sz w:val="18"/>
              </w:rPr>
              <w:t>29.98 (3.53)</w:t>
            </w:r>
          </w:p>
        </w:tc>
        <w:tc>
          <w:tcPr>
            <w:tcW w:w="1376" w:type="dxa"/>
            <w:vAlign w:val="center"/>
          </w:tcPr>
          <w:p w14:paraId="47E6E950" w14:textId="77777777" w:rsidR="00CE67B1" w:rsidRPr="00FD73B9" w:rsidRDefault="00CE67B1" w:rsidP="005C5186">
            <w:pPr>
              <w:keepNext/>
              <w:spacing w:before="240" w:after="100" w:afterAutospacing="1" w:line="480" w:lineRule="auto"/>
              <w:jc w:val="center"/>
              <w:rPr>
                <w:sz w:val="18"/>
              </w:rPr>
            </w:pPr>
            <w:r w:rsidRPr="00FD73B9">
              <w:rPr>
                <w:sz w:val="18"/>
              </w:rPr>
              <w:t>4.99 (1.18)</w:t>
            </w:r>
          </w:p>
        </w:tc>
        <w:tc>
          <w:tcPr>
            <w:tcW w:w="1134" w:type="dxa"/>
            <w:vAlign w:val="center"/>
          </w:tcPr>
          <w:p w14:paraId="0091723D" w14:textId="77777777" w:rsidR="00CE67B1" w:rsidRPr="00FD73B9" w:rsidRDefault="00CE67B1" w:rsidP="005C5186">
            <w:pPr>
              <w:keepNext/>
              <w:spacing w:before="240" w:after="100" w:afterAutospacing="1" w:line="480" w:lineRule="auto"/>
              <w:jc w:val="center"/>
              <w:rPr>
                <w:sz w:val="18"/>
              </w:rPr>
            </w:pPr>
            <w:r w:rsidRPr="00FD73B9">
              <w:rPr>
                <w:sz w:val="18"/>
              </w:rPr>
              <w:t>2.30 (0.67)</w:t>
            </w:r>
          </w:p>
        </w:tc>
        <w:tc>
          <w:tcPr>
            <w:tcW w:w="1304" w:type="dxa"/>
            <w:vAlign w:val="center"/>
          </w:tcPr>
          <w:p w14:paraId="66D84F45" w14:textId="77777777" w:rsidR="00CE67B1" w:rsidRPr="00FD73B9" w:rsidRDefault="00CE67B1" w:rsidP="005C5186">
            <w:pPr>
              <w:keepNext/>
              <w:spacing w:before="240" w:after="100" w:afterAutospacing="1" w:line="480" w:lineRule="auto"/>
              <w:jc w:val="center"/>
              <w:rPr>
                <w:sz w:val="18"/>
              </w:rPr>
            </w:pPr>
            <w:r w:rsidRPr="00FD73B9">
              <w:rPr>
                <w:rFonts w:hint="eastAsia"/>
                <w:sz w:val="18"/>
              </w:rPr>
              <w:t>3.55</w:t>
            </w:r>
            <w:r w:rsidRPr="00FD73B9">
              <w:rPr>
                <w:sz w:val="18"/>
              </w:rPr>
              <w:t xml:space="preserve"> (0.44)</w:t>
            </w:r>
          </w:p>
        </w:tc>
      </w:tr>
      <w:tr w:rsidR="00CE67B1" w:rsidRPr="00FD73B9" w14:paraId="3D728DE1" w14:textId="77777777" w:rsidTr="005C5186">
        <w:trPr>
          <w:trHeight w:val="506"/>
        </w:trPr>
        <w:tc>
          <w:tcPr>
            <w:tcW w:w="1005" w:type="dxa"/>
            <w:vAlign w:val="center"/>
          </w:tcPr>
          <w:p w14:paraId="4BC1C06B" w14:textId="77777777" w:rsidR="00CE67B1" w:rsidRPr="00FD73B9" w:rsidRDefault="00CE67B1" w:rsidP="005C5186">
            <w:pPr>
              <w:keepNext/>
              <w:spacing w:before="240" w:after="100" w:afterAutospacing="1" w:line="480" w:lineRule="auto"/>
              <w:jc w:val="center"/>
              <w:rPr>
                <w:sz w:val="18"/>
              </w:rPr>
            </w:pPr>
            <w:r w:rsidRPr="00FD73B9">
              <w:rPr>
                <w:sz w:val="18"/>
              </w:rPr>
              <w:t>GH1000</w:t>
            </w:r>
          </w:p>
        </w:tc>
        <w:tc>
          <w:tcPr>
            <w:tcW w:w="950" w:type="dxa"/>
            <w:vAlign w:val="center"/>
          </w:tcPr>
          <w:p w14:paraId="62FFACE6" w14:textId="77777777" w:rsidR="00CE67B1" w:rsidRPr="00FD73B9" w:rsidRDefault="00CE67B1" w:rsidP="005C5186">
            <w:pPr>
              <w:keepNext/>
              <w:spacing w:before="240" w:after="100" w:afterAutospacing="1" w:line="480" w:lineRule="auto"/>
              <w:jc w:val="center"/>
              <w:rPr>
                <w:sz w:val="18"/>
              </w:rPr>
            </w:pPr>
            <w:r w:rsidRPr="00FD73B9">
              <w:rPr>
                <w:sz w:val="18"/>
              </w:rPr>
              <w:t>29</w:t>
            </w:r>
          </w:p>
        </w:tc>
        <w:tc>
          <w:tcPr>
            <w:tcW w:w="1304" w:type="dxa"/>
            <w:vAlign w:val="center"/>
          </w:tcPr>
          <w:p w14:paraId="0598E034" w14:textId="77777777" w:rsidR="00CE67B1" w:rsidRPr="00FD73B9" w:rsidRDefault="00CE67B1" w:rsidP="005C5186">
            <w:pPr>
              <w:keepNext/>
              <w:spacing w:before="240" w:after="100" w:afterAutospacing="1" w:line="480" w:lineRule="auto"/>
              <w:jc w:val="center"/>
              <w:rPr>
                <w:sz w:val="18"/>
              </w:rPr>
            </w:pPr>
            <w:r w:rsidRPr="00FD73B9">
              <w:rPr>
                <w:sz w:val="18"/>
              </w:rPr>
              <w:t>3.96 (0.78)</w:t>
            </w:r>
          </w:p>
        </w:tc>
        <w:tc>
          <w:tcPr>
            <w:tcW w:w="1289" w:type="dxa"/>
            <w:vAlign w:val="center"/>
          </w:tcPr>
          <w:p w14:paraId="54DDECE7" w14:textId="77777777" w:rsidR="00CE67B1" w:rsidRPr="00FD73B9" w:rsidRDefault="00CE67B1" w:rsidP="005C5186">
            <w:pPr>
              <w:keepNext/>
              <w:spacing w:before="240" w:after="100" w:afterAutospacing="1" w:line="480" w:lineRule="auto"/>
              <w:jc w:val="center"/>
              <w:rPr>
                <w:sz w:val="18"/>
              </w:rPr>
            </w:pPr>
            <w:r w:rsidRPr="00FD73B9">
              <w:rPr>
                <w:sz w:val="18"/>
              </w:rPr>
              <w:t>1.91 (0.49)</w:t>
            </w:r>
          </w:p>
        </w:tc>
        <w:tc>
          <w:tcPr>
            <w:tcW w:w="1276" w:type="dxa"/>
            <w:vAlign w:val="center"/>
          </w:tcPr>
          <w:p w14:paraId="60D634BB" w14:textId="77777777" w:rsidR="00CE67B1" w:rsidRPr="00FD73B9" w:rsidRDefault="00CE67B1" w:rsidP="005C5186">
            <w:pPr>
              <w:keepNext/>
              <w:spacing w:before="240" w:after="100" w:afterAutospacing="1" w:line="480" w:lineRule="auto"/>
              <w:jc w:val="center"/>
              <w:rPr>
                <w:sz w:val="18"/>
              </w:rPr>
            </w:pPr>
            <w:r w:rsidRPr="00FD73B9">
              <w:rPr>
                <w:sz w:val="18"/>
              </w:rPr>
              <w:t>38.61 (3.63)</w:t>
            </w:r>
          </w:p>
        </w:tc>
        <w:tc>
          <w:tcPr>
            <w:tcW w:w="1376" w:type="dxa"/>
            <w:vAlign w:val="center"/>
          </w:tcPr>
          <w:p w14:paraId="14B1C978" w14:textId="77777777" w:rsidR="00CE67B1" w:rsidRPr="00FD73B9" w:rsidRDefault="00CE67B1" w:rsidP="005C5186">
            <w:pPr>
              <w:keepNext/>
              <w:spacing w:before="240" w:after="100" w:afterAutospacing="1" w:line="480" w:lineRule="auto"/>
              <w:jc w:val="center"/>
              <w:rPr>
                <w:sz w:val="18"/>
              </w:rPr>
            </w:pPr>
            <w:r w:rsidRPr="00FD73B9">
              <w:rPr>
                <w:sz w:val="18"/>
              </w:rPr>
              <w:t>4.92 (1.08)</w:t>
            </w:r>
          </w:p>
        </w:tc>
        <w:tc>
          <w:tcPr>
            <w:tcW w:w="1134" w:type="dxa"/>
            <w:vAlign w:val="center"/>
          </w:tcPr>
          <w:p w14:paraId="038ACAC7" w14:textId="77777777" w:rsidR="00CE67B1" w:rsidRPr="00FD73B9" w:rsidRDefault="00CE67B1" w:rsidP="005C5186">
            <w:pPr>
              <w:keepNext/>
              <w:spacing w:before="240" w:after="100" w:afterAutospacing="1" w:line="480" w:lineRule="auto"/>
              <w:jc w:val="center"/>
              <w:rPr>
                <w:sz w:val="18"/>
              </w:rPr>
            </w:pPr>
            <w:r w:rsidRPr="00FD73B9">
              <w:rPr>
                <w:sz w:val="18"/>
              </w:rPr>
              <w:t>3.18 (0.90)</w:t>
            </w:r>
          </w:p>
        </w:tc>
        <w:tc>
          <w:tcPr>
            <w:tcW w:w="1304" w:type="dxa"/>
            <w:vAlign w:val="center"/>
          </w:tcPr>
          <w:p w14:paraId="7E91E106" w14:textId="77777777" w:rsidR="00CE67B1" w:rsidRPr="00FD73B9" w:rsidRDefault="00CE67B1" w:rsidP="005C5186">
            <w:pPr>
              <w:keepNext/>
              <w:spacing w:before="240" w:after="100" w:afterAutospacing="1" w:line="480" w:lineRule="auto"/>
              <w:jc w:val="center"/>
              <w:rPr>
                <w:sz w:val="18"/>
              </w:rPr>
            </w:pPr>
            <w:r w:rsidRPr="00FD73B9">
              <w:rPr>
                <w:sz w:val="18"/>
              </w:rPr>
              <w:t>4.</w:t>
            </w:r>
            <w:r w:rsidRPr="00FD73B9">
              <w:rPr>
                <w:rFonts w:hint="eastAsia"/>
                <w:sz w:val="18"/>
              </w:rPr>
              <w:t>21</w:t>
            </w:r>
            <w:r w:rsidRPr="00FD73B9">
              <w:rPr>
                <w:sz w:val="18"/>
              </w:rPr>
              <w:t xml:space="preserve"> (0.31)</w:t>
            </w:r>
          </w:p>
        </w:tc>
      </w:tr>
    </w:tbl>
    <w:p w14:paraId="6EB9BD63" w14:textId="77777777" w:rsidR="00CE67B1" w:rsidRPr="005164A2" w:rsidRDefault="00CE67B1" w:rsidP="00CE67B1">
      <w:pPr>
        <w:pStyle w:val="Caption"/>
        <w:spacing w:before="240" w:after="100" w:afterAutospacing="1" w:line="480" w:lineRule="auto"/>
        <w:rPr>
          <w:rFonts w:eastAsia="Times New Roman" w:cs="Times New Roman"/>
          <w:b w:val="0"/>
        </w:rPr>
      </w:pPr>
      <w:r w:rsidRPr="005164A2">
        <w:rPr>
          <w:rFonts w:eastAsia="Times New Roman" w:cs="Times New Roman"/>
          <w:b w:val="0"/>
        </w:rPr>
        <w:t xml:space="preserve">Valid N: number of participants </w:t>
      </w:r>
      <w:r>
        <w:rPr>
          <w:rFonts w:eastAsia="Times New Roman" w:cs="Times New Roman"/>
          <w:b w:val="0"/>
        </w:rPr>
        <w:t>with valid data for this</w:t>
      </w:r>
      <w:r w:rsidRPr="005164A2">
        <w:rPr>
          <w:rFonts w:eastAsia="Times New Roman" w:cs="Times New Roman"/>
          <w:b w:val="0"/>
        </w:rPr>
        <w:t xml:space="preserve"> condition;</w:t>
      </w:r>
      <w:r>
        <w:rPr>
          <w:rFonts w:eastAsia="Times New Roman" w:cs="Times New Roman"/>
          <w:b w:val="0"/>
        </w:rPr>
        <w:t xml:space="preserve"> SD: standard deviation;</w:t>
      </w:r>
      <w:r w:rsidRPr="005164A2">
        <w:rPr>
          <w:rFonts w:eastAsia="Times New Roman" w:cs="Times New Roman"/>
          <w:b w:val="0"/>
        </w:rPr>
        <w:t xml:space="preserve"> RL200: corresponding to red light – low intensity (3 cd/m2 – 200ms duration; GH1000: corresponding to green light – high intensity (10 cd/m2) – 1000ms duration; MCV: maximum constriction velocity; ACA: absolute constriction amplitude; BPD: baseline pupil diameter; RCA: relative constriction amplitude; DV1: Dilation velocity at 1s</w:t>
      </w:r>
      <w:r>
        <w:rPr>
          <w:rFonts w:eastAsia="Times New Roman" w:cs="Times New Roman"/>
          <w:b w:val="0"/>
        </w:rPr>
        <w:t xml:space="preserve"> after Maximum constriction; T</w:t>
      </w:r>
      <w:r>
        <w:rPr>
          <w:rFonts w:eastAsia="Times New Roman" w:cs="Times New Roman" w:hint="eastAsia"/>
          <w:b w:val="0"/>
        </w:rPr>
        <w:t>75</w:t>
      </w:r>
      <w:r>
        <w:rPr>
          <w:rFonts w:eastAsia="Times New Roman" w:cs="Times New Roman"/>
          <w:b w:val="0"/>
        </w:rPr>
        <w:t>: time to reach 75</w:t>
      </w:r>
      <w:r w:rsidRPr="005164A2">
        <w:rPr>
          <w:rFonts w:eastAsia="Times New Roman" w:cs="Times New Roman"/>
          <w:b w:val="0"/>
        </w:rPr>
        <w:t>% of initial resting diameter during pupillary re-dilation</w:t>
      </w:r>
    </w:p>
    <w:p w14:paraId="66A37832" w14:textId="77777777" w:rsidR="00CE67B1" w:rsidRPr="005164A2" w:rsidRDefault="00CE67B1" w:rsidP="00CE67B1">
      <w:pPr>
        <w:spacing w:before="240" w:after="100" w:afterAutospacing="1"/>
        <w:rPr>
          <w:rFonts w:cs="Times New Roman"/>
        </w:rPr>
      </w:pPr>
    </w:p>
    <w:p w14:paraId="28471279" w14:textId="7495C9E2" w:rsidR="00CE67B1" w:rsidRPr="005164A2" w:rsidRDefault="00CE67B1" w:rsidP="00CE67B1">
      <w:pPr>
        <w:pStyle w:val="Caption"/>
        <w:keepNext/>
        <w:spacing w:before="240" w:after="100" w:afterAutospacing="1" w:line="480" w:lineRule="auto"/>
        <w:jc w:val="center"/>
        <w:rPr>
          <w:rFonts w:cs="Times New Roman"/>
        </w:rPr>
      </w:pPr>
    </w:p>
    <w:p w14:paraId="499C6C8C" w14:textId="58A65575" w:rsidR="00CE67B1" w:rsidRPr="00D100A3" w:rsidRDefault="006C48D7" w:rsidP="00CE67B1">
      <w:pPr>
        <w:pStyle w:val="Caption"/>
        <w:spacing w:before="240" w:after="100" w:afterAutospacing="1" w:line="480" w:lineRule="auto"/>
        <w:jc w:val="center"/>
        <w:rPr>
          <w:rFonts w:cs="Times New Roman"/>
        </w:rPr>
      </w:pPr>
      <w:r>
        <w:rPr>
          <w:rFonts w:cs="Times New Roman" w:hint="eastAsia"/>
        </w:rPr>
        <w:t xml:space="preserve">S1 </w:t>
      </w:r>
      <w:r w:rsidR="00CE67B1">
        <w:rPr>
          <w:rFonts w:cs="Times New Roman"/>
        </w:rPr>
        <w:t>Fig</w:t>
      </w:r>
      <w:r w:rsidR="00CE67B1" w:rsidRPr="005164A2">
        <w:rPr>
          <w:rFonts w:cs="Times New Roman"/>
        </w:rPr>
        <w:t>. Baseline-corrected average PLRs of eight conditions</w:t>
      </w:r>
      <w:r w:rsidR="00CE67B1">
        <w:rPr>
          <w:rFonts w:cs="Times New Roman"/>
        </w:rPr>
        <w:t xml:space="preserve"> </w:t>
      </w:r>
      <w:r w:rsidR="00CE67B1" w:rsidRPr="00D100A3">
        <w:rPr>
          <w:rFonts w:cs="Times New Roman"/>
        </w:rPr>
        <w:t>after two minutes adaption time</w:t>
      </w:r>
      <w:r w:rsidR="00CE67B1">
        <w:rPr>
          <w:rFonts w:cs="Times New Roman"/>
        </w:rPr>
        <w:t>. A</w:t>
      </w:r>
      <w:r w:rsidR="00CE67B1" w:rsidRPr="00D100A3">
        <w:rPr>
          <w:rFonts w:cs="Times New Roman"/>
        </w:rPr>
        <w:t xml:space="preserve"> </w:t>
      </w:r>
      <w:r w:rsidR="00CE67B1">
        <w:rPr>
          <w:rFonts w:cs="Times New Roman"/>
        </w:rPr>
        <w:t>warning signal</w:t>
      </w:r>
      <w:r w:rsidR="00CE67B1" w:rsidRPr="00D100A3">
        <w:rPr>
          <w:rFonts w:cs="Times New Roman"/>
        </w:rPr>
        <w:t xml:space="preserve"> </w:t>
      </w:r>
      <w:r w:rsidR="00CE67B1">
        <w:rPr>
          <w:rFonts w:cs="Times New Roman"/>
        </w:rPr>
        <w:t xml:space="preserve">was shown during the 1-second interval prior to the </w:t>
      </w:r>
      <w:r w:rsidR="00CE67B1" w:rsidRPr="00D100A3">
        <w:rPr>
          <w:rFonts w:cs="Times New Roman"/>
        </w:rPr>
        <w:t xml:space="preserve">flash. </w:t>
      </w:r>
      <w:r w:rsidR="00CE67B1">
        <w:rPr>
          <w:rFonts w:cs="Times New Roman"/>
        </w:rPr>
        <w:t>The b</w:t>
      </w:r>
      <w:r w:rsidR="00CE67B1" w:rsidRPr="00D100A3">
        <w:rPr>
          <w:rFonts w:cs="Times New Roman"/>
        </w:rPr>
        <w:t xml:space="preserve">aseline </w:t>
      </w:r>
      <w:r w:rsidR="00CE67B1">
        <w:rPr>
          <w:rFonts w:cs="Times New Roman"/>
        </w:rPr>
        <w:t xml:space="preserve">pupil size </w:t>
      </w:r>
      <w:r w:rsidR="00CE67B1" w:rsidRPr="00D100A3">
        <w:rPr>
          <w:rFonts w:cs="Times New Roman"/>
        </w:rPr>
        <w:t xml:space="preserve">was determined as the mean pupil diameter </w:t>
      </w:r>
      <w:r w:rsidR="00CE67B1">
        <w:rPr>
          <w:rFonts w:cs="Times New Roman"/>
        </w:rPr>
        <w:t xml:space="preserve">recorded during </w:t>
      </w:r>
      <w:r w:rsidR="00CE67B1" w:rsidRPr="00D100A3">
        <w:rPr>
          <w:rFonts w:cs="Times New Roman"/>
        </w:rPr>
        <w:t>200 ms before flash onset.</w:t>
      </w:r>
    </w:p>
    <w:p w14:paraId="10FD005E" w14:textId="77777777" w:rsidR="00CE67B1" w:rsidRPr="005164A2" w:rsidRDefault="00CE67B1" w:rsidP="00CE67B1">
      <w:pPr>
        <w:spacing w:before="240" w:after="100" w:afterAutospacing="1"/>
        <w:rPr>
          <w:rFonts w:cs="Times New Roman"/>
        </w:rPr>
      </w:pPr>
    </w:p>
    <w:p w14:paraId="5503D0E4" w14:textId="646CC91B" w:rsidR="00CE67B1" w:rsidRPr="00A33762" w:rsidRDefault="006C48D7" w:rsidP="00CE67B1">
      <w:pPr>
        <w:spacing w:before="240" w:after="100" w:afterAutospacing="1" w:line="480" w:lineRule="auto"/>
        <w:rPr>
          <w:rFonts w:cs="Times New Roman"/>
        </w:rPr>
      </w:pPr>
      <w:r>
        <w:rPr>
          <w:rFonts w:cs="Times New Roman"/>
        </w:rPr>
        <w:t>S</w:t>
      </w:r>
      <w:r w:rsidR="007949A3">
        <w:rPr>
          <w:rFonts w:cs="Times New Roman"/>
        </w:rPr>
        <w:t>1</w:t>
      </w:r>
      <w:r>
        <w:rPr>
          <w:rFonts w:cs="Times New Roman" w:hint="eastAsia"/>
        </w:rPr>
        <w:t xml:space="preserve"> Fig</w:t>
      </w:r>
      <w:r w:rsidR="00CE67B1" w:rsidRPr="00A33762">
        <w:rPr>
          <w:rFonts w:cs="Times New Roman"/>
        </w:rPr>
        <w:t xml:space="preserve"> illustrate</w:t>
      </w:r>
      <w:r w:rsidR="00CE67B1">
        <w:rPr>
          <w:rFonts w:cs="Times New Roman"/>
        </w:rPr>
        <w:t>s</w:t>
      </w:r>
      <w:r w:rsidR="00CE67B1" w:rsidRPr="00A33762">
        <w:rPr>
          <w:rFonts w:cs="Times New Roman"/>
        </w:rPr>
        <w:t xml:space="preserve"> the </w:t>
      </w:r>
      <w:r w:rsidR="00CE67B1">
        <w:rPr>
          <w:rFonts w:cs="Times New Roman"/>
        </w:rPr>
        <w:t>baseline-corrected P</w:t>
      </w:r>
      <w:r w:rsidR="00CE67B1" w:rsidRPr="00A33762">
        <w:rPr>
          <w:rFonts w:cs="Times New Roman"/>
        </w:rPr>
        <w:t xml:space="preserve">LR for </w:t>
      </w:r>
      <w:r w:rsidR="00CE67B1">
        <w:rPr>
          <w:rFonts w:cs="Times New Roman"/>
        </w:rPr>
        <w:t xml:space="preserve">each of </w:t>
      </w:r>
      <w:r w:rsidR="00CE67B1" w:rsidRPr="00A33762">
        <w:rPr>
          <w:rFonts w:cs="Times New Roman"/>
        </w:rPr>
        <w:t xml:space="preserve">the eight conditions. </w:t>
      </w:r>
      <w:r w:rsidR="00CE67B1">
        <w:rPr>
          <w:rFonts w:cs="Times New Roman"/>
        </w:rPr>
        <w:t>Results of the t</w:t>
      </w:r>
      <w:r w:rsidR="00CE67B1" w:rsidRPr="00A33762">
        <w:rPr>
          <w:rFonts w:cs="Times New Roman"/>
        </w:rPr>
        <w:t xml:space="preserve">hree-way repeated-measure ANOVA </w:t>
      </w:r>
      <w:r>
        <w:rPr>
          <w:rFonts w:cs="Times New Roman"/>
        </w:rPr>
        <w:t>are shown in Table B</w:t>
      </w:r>
      <w:r w:rsidR="00CE67B1">
        <w:rPr>
          <w:rFonts w:cs="Times New Roman"/>
        </w:rPr>
        <w:t xml:space="preserve">. The ANOVA </w:t>
      </w:r>
      <w:r w:rsidR="00CE67B1" w:rsidRPr="00A33762">
        <w:rPr>
          <w:rFonts w:cs="Times New Roman"/>
        </w:rPr>
        <w:t xml:space="preserve">revealed </w:t>
      </w:r>
      <w:r w:rsidR="00CE67B1">
        <w:rPr>
          <w:rFonts w:cs="Times New Roman"/>
        </w:rPr>
        <w:t xml:space="preserve">a </w:t>
      </w:r>
      <w:r w:rsidR="00CE67B1" w:rsidRPr="00A33762">
        <w:rPr>
          <w:rFonts w:cs="Times New Roman"/>
        </w:rPr>
        <w:t xml:space="preserve">significant main effect of </w:t>
      </w:r>
      <w:r w:rsidR="00CE67B1" w:rsidRPr="00A33762">
        <w:rPr>
          <w:rFonts w:cs="Times New Roman"/>
          <w:i/>
        </w:rPr>
        <w:t xml:space="preserve">Color </w:t>
      </w:r>
      <w:r w:rsidR="00CE67B1" w:rsidRPr="00A33762">
        <w:rPr>
          <w:rFonts w:cs="Times New Roman"/>
        </w:rPr>
        <w:t xml:space="preserve">on the BPD (F (1, 20) = 14.46, p = 0.01), </w:t>
      </w:r>
      <w:r w:rsidR="00CE67B1">
        <w:rPr>
          <w:rFonts w:cs="Times New Roman"/>
        </w:rPr>
        <w:t xml:space="preserve">indicating </w:t>
      </w:r>
      <w:r w:rsidR="00CE67B1" w:rsidRPr="00A33762">
        <w:rPr>
          <w:rFonts w:cs="Times New Roman"/>
        </w:rPr>
        <w:t xml:space="preserve">that </w:t>
      </w:r>
      <w:r w:rsidR="00CE67B1">
        <w:rPr>
          <w:rFonts w:cs="Times New Roman"/>
        </w:rPr>
        <w:t xml:space="preserve">the </w:t>
      </w:r>
      <w:r w:rsidR="00CE67B1" w:rsidRPr="00A33762">
        <w:rPr>
          <w:rFonts w:cs="Times New Roman"/>
        </w:rPr>
        <w:t xml:space="preserve">BPD was higher for </w:t>
      </w:r>
      <w:r w:rsidR="00CE67B1">
        <w:rPr>
          <w:rFonts w:cs="Times New Roman"/>
        </w:rPr>
        <w:t xml:space="preserve">the </w:t>
      </w:r>
      <w:r w:rsidR="00CE67B1" w:rsidRPr="00A33762">
        <w:rPr>
          <w:rFonts w:cs="Times New Roman"/>
        </w:rPr>
        <w:t xml:space="preserve">green flashes than the red ones. For </w:t>
      </w:r>
      <w:r w:rsidR="00CE67B1">
        <w:rPr>
          <w:rFonts w:cs="Times New Roman"/>
        </w:rPr>
        <w:t xml:space="preserve">each of </w:t>
      </w:r>
      <w:r w:rsidR="00CE67B1" w:rsidRPr="00A33762">
        <w:rPr>
          <w:rFonts w:cs="Times New Roman"/>
        </w:rPr>
        <w:t xml:space="preserve">the constriction-PNS related parameters (MCV, ACA, RCA), </w:t>
      </w:r>
      <w:r w:rsidR="00CE67B1">
        <w:rPr>
          <w:rFonts w:cs="Times New Roman"/>
        </w:rPr>
        <w:t xml:space="preserve">the </w:t>
      </w:r>
      <w:r w:rsidR="00CE67B1" w:rsidRPr="00A33762">
        <w:rPr>
          <w:rFonts w:cs="Times New Roman"/>
        </w:rPr>
        <w:t>repeated-measure ANOVA showed significant main effect</w:t>
      </w:r>
      <w:r w:rsidR="00CE67B1">
        <w:rPr>
          <w:rFonts w:cs="Times New Roman"/>
        </w:rPr>
        <w:t>s</w:t>
      </w:r>
      <w:r w:rsidR="00CE67B1" w:rsidRPr="00A33762">
        <w:rPr>
          <w:rFonts w:cs="Times New Roman"/>
        </w:rPr>
        <w:t xml:space="preserve"> of </w:t>
      </w:r>
      <w:r w:rsidR="00CE67B1" w:rsidRPr="003665BF">
        <w:rPr>
          <w:rFonts w:cs="Times New Roman"/>
          <w:i/>
        </w:rPr>
        <w:t>Color</w:t>
      </w:r>
      <w:r w:rsidR="00CE67B1" w:rsidRPr="00A33762">
        <w:rPr>
          <w:rFonts w:cs="Times New Roman"/>
        </w:rPr>
        <w:t xml:space="preserve"> and </w:t>
      </w:r>
      <w:r w:rsidR="00CE67B1" w:rsidRPr="003665BF">
        <w:rPr>
          <w:rFonts w:cs="Times New Roman"/>
          <w:i/>
        </w:rPr>
        <w:t>Light intensity</w:t>
      </w:r>
      <w:r w:rsidR="00CE67B1" w:rsidRPr="00A33762">
        <w:rPr>
          <w:rFonts w:cs="Times New Roman"/>
        </w:rPr>
        <w:t xml:space="preserve">, </w:t>
      </w:r>
      <w:r w:rsidR="00CE67B1">
        <w:rPr>
          <w:rFonts w:cs="Times New Roman"/>
        </w:rPr>
        <w:t>with relatively l</w:t>
      </w:r>
      <w:r w:rsidR="00CE67B1" w:rsidRPr="00A33762">
        <w:rPr>
          <w:rFonts w:cs="Times New Roman"/>
        </w:rPr>
        <w:t xml:space="preserve">arger and faster </w:t>
      </w:r>
      <w:r w:rsidR="00CE67B1">
        <w:rPr>
          <w:rFonts w:cs="Times New Roman"/>
        </w:rPr>
        <w:t>PLRs for the green</w:t>
      </w:r>
      <w:r w:rsidR="00CE67B1" w:rsidRPr="00A33762">
        <w:rPr>
          <w:rFonts w:cs="Times New Roman"/>
        </w:rPr>
        <w:t xml:space="preserve"> and higher intensity flash</w:t>
      </w:r>
      <w:r w:rsidR="00CE67B1">
        <w:rPr>
          <w:rFonts w:cs="Times New Roman"/>
        </w:rPr>
        <w:t>es as compared to</w:t>
      </w:r>
      <w:r w:rsidR="00CE67B1" w:rsidRPr="00A33762">
        <w:rPr>
          <w:rFonts w:cs="Times New Roman"/>
        </w:rPr>
        <w:t xml:space="preserve"> red color and lower intensity </w:t>
      </w:r>
      <w:r w:rsidR="00CE67B1">
        <w:rPr>
          <w:rFonts w:cs="Times New Roman"/>
        </w:rPr>
        <w:t>stimuli</w:t>
      </w:r>
      <w:r w:rsidR="00CE67B1" w:rsidRPr="00A33762">
        <w:rPr>
          <w:rFonts w:cs="Times New Roman"/>
        </w:rPr>
        <w:t xml:space="preserve">. </w:t>
      </w:r>
      <w:r w:rsidR="00CE67B1">
        <w:rPr>
          <w:rFonts w:cs="Times New Roman"/>
        </w:rPr>
        <w:t xml:space="preserve">Additionally, </w:t>
      </w:r>
      <w:r w:rsidR="00CE67B1" w:rsidRPr="00A33762">
        <w:rPr>
          <w:rFonts w:cs="Times New Roman"/>
        </w:rPr>
        <w:t xml:space="preserve">there </w:t>
      </w:r>
      <w:r w:rsidR="00CE67B1">
        <w:rPr>
          <w:rFonts w:cs="Times New Roman"/>
        </w:rPr>
        <w:t>was a</w:t>
      </w:r>
      <w:r w:rsidR="00CE67B1" w:rsidRPr="00A33762">
        <w:rPr>
          <w:rFonts w:cs="Times New Roman"/>
        </w:rPr>
        <w:t xml:space="preserve"> statistically significant main effect of duration on </w:t>
      </w:r>
      <w:r w:rsidR="00CE67B1">
        <w:rPr>
          <w:rFonts w:cs="Times New Roman"/>
        </w:rPr>
        <w:t xml:space="preserve">the PNS indicators </w:t>
      </w:r>
      <w:r w:rsidR="00CE67B1" w:rsidRPr="00A33762">
        <w:rPr>
          <w:rFonts w:cs="Times New Roman"/>
        </w:rPr>
        <w:t>ACA (</w:t>
      </w:r>
      <w:r w:rsidR="00CE67B1" w:rsidRPr="00C516A6">
        <w:rPr>
          <w:rFonts w:cs="Times New Roman"/>
        </w:rPr>
        <w:t xml:space="preserve">F (1, 20) = 51.24, p &lt; 0.01) </w:t>
      </w:r>
      <w:r w:rsidR="00CE67B1" w:rsidRPr="00A33762">
        <w:rPr>
          <w:rFonts w:cs="Times New Roman"/>
        </w:rPr>
        <w:t xml:space="preserve">and RCA </w:t>
      </w:r>
      <w:r w:rsidR="00CE67B1">
        <w:rPr>
          <w:rFonts w:cs="Times New Roman"/>
        </w:rPr>
        <w:t>(</w:t>
      </w:r>
      <w:r w:rsidR="00CE67B1" w:rsidRPr="00A33762">
        <w:rPr>
          <w:rFonts w:cs="Times New Roman"/>
        </w:rPr>
        <w:t>F (1, 20) = 128.37, p &lt; 0.001)</w:t>
      </w:r>
      <w:r w:rsidR="00CE67B1">
        <w:rPr>
          <w:rFonts w:cs="Times New Roman"/>
        </w:rPr>
        <w:t xml:space="preserve">. This indicates that the </w:t>
      </w:r>
      <w:r w:rsidR="00CE67B1" w:rsidRPr="00A33762">
        <w:rPr>
          <w:rFonts w:cs="Times New Roman"/>
        </w:rPr>
        <w:t xml:space="preserve">longer the flash, the larger the constriction </w:t>
      </w:r>
      <w:r w:rsidR="00CE67B1">
        <w:rPr>
          <w:rFonts w:cs="Times New Roman"/>
        </w:rPr>
        <w:t>observed</w:t>
      </w:r>
      <w:r w:rsidR="00CE67B1" w:rsidRPr="00A33762">
        <w:rPr>
          <w:rFonts w:cs="Times New Roman"/>
        </w:rPr>
        <w:t>. As for the re</w:t>
      </w:r>
      <w:r w:rsidR="00CE67B1">
        <w:rPr>
          <w:rFonts w:cs="Times New Roman"/>
        </w:rPr>
        <w:t>-</w:t>
      </w:r>
      <w:r w:rsidR="00CE67B1" w:rsidRPr="00A33762">
        <w:rPr>
          <w:rFonts w:cs="Times New Roman"/>
        </w:rPr>
        <w:t>dilation-SNS related parame</w:t>
      </w:r>
      <w:r w:rsidR="00CE67B1">
        <w:rPr>
          <w:rFonts w:cs="Times New Roman"/>
        </w:rPr>
        <w:t>ter T75</w:t>
      </w:r>
      <w:r w:rsidR="00CE67B1" w:rsidRPr="00A33762">
        <w:rPr>
          <w:rFonts w:cs="Times New Roman"/>
        </w:rPr>
        <w:t>, there was a significant ef</w:t>
      </w:r>
      <w:r w:rsidR="00CE67B1">
        <w:rPr>
          <w:rFonts w:cs="Times New Roman"/>
        </w:rPr>
        <w:t>fect of duration (F (1, 20) = 17.85, p &lt;</w:t>
      </w:r>
      <w:r w:rsidR="00CE67B1" w:rsidRPr="00A33762">
        <w:rPr>
          <w:rFonts w:cs="Times New Roman"/>
        </w:rPr>
        <w:t xml:space="preserve"> 0.001), </w:t>
      </w:r>
      <w:r w:rsidR="00CE67B1">
        <w:rPr>
          <w:rFonts w:cs="Times New Roman"/>
        </w:rPr>
        <w:t xml:space="preserve">indicating </w:t>
      </w:r>
      <w:r w:rsidR="00CE67B1" w:rsidRPr="00A33762">
        <w:rPr>
          <w:rFonts w:cs="Times New Roman"/>
        </w:rPr>
        <w:t>that longer flash</w:t>
      </w:r>
      <w:r w:rsidR="00CE67B1">
        <w:rPr>
          <w:rFonts w:cs="Times New Roman"/>
        </w:rPr>
        <w:t>es</w:t>
      </w:r>
      <w:r w:rsidR="00CE67B1" w:rsidRPr="00A33762">
        <w:rPr>
          <w:rFonts w:cs="Times New Roman"/>
        </w:rPr>
        <w:t xml:space="preserve"> prolong</w:t>
      </w:r>
      <w:r w:rsidR="00CE67B1">
        <w:rPr>
          <w:rFonts w:cs="Times New Roman"/>
        </w:rPr>
        <w:t>ed</w:t>
      </w:r>
      <w:r w:rsidR="00CE67B1" w:rsidRPr="00A33762">
        <w:rPr>
          <w:rFonts w:cs="Times New Roman"/>
        </w:rPr>
        <w:t xml:space="preserve"> the time</w:t>
      </w:r>
      <w:r w:rsidR="00CE67B1">
        <w:rPr>
          <w:rFonts w:cs="Times New Roman"/>
        </w:rPr>
        <w:t xml:space="preserve"> to</w:t>
      </w:r>
      <w:r w:rsidR="00CE67B1" w:rsidRPr="00A33762">
        <w:rPr>
          <w:rFonts w:cs="Times New Roman"/>
        </w:rPr>
        <w:t xml:space="preserve"> re</w:t>
      </w:r>
      <w:r w:rsidR="00CE67B1">
        <w:rPr>
          <w:rFonts w:cs="Times New Roman"/>
        </w:rPr>
        <w:t>-</w:t>
      </w:r>
      <w:r w:rsidR="00CE67B1" w:rsidRPr="00A33762">
        <w:rPr>
          <w:rFonts w:cs="Times New Roman"/>
        </w:rPr>
        <w:t>dilat</w:t>
      </w:r>
      <w:r w:rsidR="00CE67B1">
        <w:rPr>
          <w:rFonts w:cs="Times New Roman"/>
        </w:rPr>
        <w:t>e to 75</w:t>
      </w:r>
      <w:r w:rsidR="00CE67B1" w:rsidRPr="00A33762">
        <w:rPr>
          <w:rFonts w:cs="Times New Roman"/>
        </w:rPr>
        <w:t>% of the original diameter</w:t>
      </w:r>
      <w:r w:rsidR="00CE67B1">
        <w:rPr>
          <w:rFonts w:cs="Times New Roman"/>
        </w:rPr>
        <w:t xml:space="preserve"> (BPD)</w:t>
      </w:r>
      <w:r w:rsidR="00CE67B1" w:rsidRPr="00A33762">
        <w:rPr>
          <w:rFonts w:cs="Times New Roman"/>
        </w:rPr>
        <w:t xml:space="preserve">. DV1, under the effect of both </w:t>
      </w:r>
      <w:r w:rsidR="00CE67B1">
        <w:rPr>
          <w:rFonts w:cs="Times New Roman"/>
        </w:rPr>
        <w:t xml:space="preserve">the </w:t>
      </w:r>
      <w:r w:rsidR="00CE67B1" w:rsidRPr="00A33762">
        <w:rPr>
          <w:rFonts w:cs="Times New Roman"/>
        </w:rPr>
        <w:t xml:space="preserve">PNS and SNS system, was significantly </w:t>
      </w:r>
      <w:r w:rsidR="00CE67B1" w:rsidRPr="00B83B8C">
        <w:rPr>
          <w:rFonts w:cs="Times New Roman"/>
        </w:rPr>
        <w:t>influenced</w:t>
      </w:r>
      <w:r w:rsidR="00CE67B1" w:rsidRPr="00A33762">
        <w:rPr>
          <w:rFonts w:cs="Times New Roman"/>
        </w:rPr>
        <w:t xml:space="preserve"> by color, light intensity and duration of the flash</w:t>
      </w:r>
      <w:r w:rsidR="00CE67B1">
        <w:rPr>
          <w:rFonts w:cs="Times New Roman"/>
        </w:rPr>
        <w:t xml:space="preserve">, such that green color, high intensity and longer duration generated a faster DV1 response. </w:t>
      </w:r>
    </w:p>
    <w:p w14:paraId="0E71A441" w14:textId="0A2E302D" w:rsidR="00CE67B1" w:rsidRPr="00383209" w:rsidRDefault="00CE67B1" w:rsidP="00CE67B1">
      <w:pPr>
        <w:pStyle w:val="Caption"/>
        <w:keepNext/>
        <w:spacing w:before="240" w:after="100" w:afterAutospacing="1"/>
        <w:jc w:val="center"/>
        <w:rPr>
          <w:rFonts w:cs="Times New Roman"/>
          <w:sz w:val="21"/>
        </w:rPr>
      </w:pPr>
      <w:r w:rsidRPr="00536383">
        <w:rPr>
          <w:rFonts w:cs="Times New Roman"/>
          <w:sz w:val="21"/>
        </w:rPr>
        <w:t xml:space="preserve">Table </w:t>
      </w:r>
      <w:r w:rsidR="006C48D7">
        <w:rPr>
          <w:rFonts w:cs="Times New Roman" w:hint="eastAsia"/>
          <w:sz w:val="21"/>
        </w:rPr>
        <w:t>B</w:t>
      </w:r>
      <w:r w:rsidRPr="00536383">
        <w:rPr>
          <w:rFonts w:cs="Times New Roman"/>
          <w:sz w:val="21"/>
        </w:rPr>
        <w:t xml:space="preserve"> Within-subject effects of </w:t>
      </w:r>
      <w:r w:rsidRPr="00536383">
        <w:rPr>
          <w:rFonts w:cs="Times New Roman"/>
          <w:i/>
          <w:sz w:val="21"/>
        </w:rPr>
        <w:t>Color</w:t>
      </w:r>
      <w:r w:rsidRPr="00536383">
        <w:rPr>
          <w:rFonts w:cs="Times New Roman"/>
          <w:sz w:val="21"/>
        </w:rPr>
        <w:t xml:space="preserve">, </w:t>
      </w:r>
      <w:r w:rsidRPr="00536383">
        <w:rPr>
          <w:rFonts w:cs="Times New Roman"/>
          <w:i/>
          <w:sz w:val="21"/>
        </w:rPr>
        <w:t>Light Intensity</w:t>
      </w:r>
      <w:r w:rsidRPr="00536383">
        <w:rPr>
          <w:rFonts w:cs="Times New Roman"/>
          <w:sz w:val="21"/>
        </w:rPr>
        <w:t xml:space="preserve"> and </w:t>
      </w:r>
      <w:r w:rsidRPr="00536383">
        <w:rPr>
          <w:rFonts w:cs="Times New Roman"/>
          <w:i/>
          <w:sz w:val="21"/>
        </w:rPr>
        <w:t>Duration</w:t>
      </w:r>
      <w:r w:rsidRPr="00536383">
        <w:rPr>
          <w:rFonts w:cs="Times New Roman"/>
          <w:sz w:val="21"/>
        </w:rPr>
        <w:t xml:space="preserve"> of the flash light on the PLR parameters</w:t>
      </w:r>
    </w:p>
    <w:tbl>
      <w:tblPr>
        <w:tblStyle w:val="TableGrid"/>
        <w:tblW w:w="9890" w:type="dxa"/>
        <w:tblLook w:val="04A0" w:firstRow="1" w:lastRow="0" w:firstColumn="1" w:lastColumn="0" w:noHBand="0" w:noVBand="1"/>
      </w:tblPr>
      <w:tblGrid>
        <w:gridCol w:w="1952"/>
        <w:gridCol w:w="1307"/>
        <w:gridCol w:w="1289"/>
        <w:gridCol w:w="1373"/>
        <w:gridCol w:w="1319"/>
        <w:gridCol w:w="1374"/>
        <w:gridCol w:w="1276"/>
      </w:tblGrid>
      <w:tr w:rsidR="00CE67B1" w:rsidRPr="005164A2" w14:paraId="700087DA" w14:textId="77777777" w:rsidTr="00FD73B9">
        <w:trPr>
          <w:trHeight w:val="750"/>
        </w:trPr>
        <w:tc>
          <w:tcPr>
            <w:tcW w:w="1952" w:type="dxa"/>
            <w:vMerge w:val="restart"/>
            <w:vAlign w:val="center"/>
          </w:tcPr>
          <w:p w14:paraId="38B71AE5" w14:textId="77777777" w:rsidR="00CE67B1" w:rsidRPr="00EE0717" w:rsidRDefault="00CE67B1" w:rsidP="005C5186">
            <w:pPr>
              <w:keepNext/>
              <w:spacing w:before="240" w:after="100" w:afterAutospacing="1" w:line="480" w:lineRule="auto"/>
              <w:jc w:val="center"/>
              <w:rPr>
                <w:sz w:val="16"/>
              </w:rPr>
            </w:pPr>
          </w:p>
        </w:tc>
        <w:tc>
          <w:tcPr>
            <w:tcW w:w="3969" w:type="dxa"/>
            <w:gridSpan w:val="3"/>
            <w:vAlign w:val="center"/>
          </w:tcPr>
          <w:p w14:paraId="638F8F64" w14:textId="77777777" w:rsidR="00CE67B1" w:rsidRPr="00EE0717" w:rsidRDefault="00CE67B1" w:rsidP="005C5186">
            <w:pPr>
              <w:keepNext/>
              <w:spacing w:before="240" w:after="100" w:afterAutospacing="1" w:line="480" w:lineRule="auto"/>
              <w:jc w:val="center"/>
              <w:rPr>
                <w:sz w:val="16"/>
              </w:rPr>
            </w:pPr>
            <w:r w:rsidRPr="00EE0717">
              <w:rPr>
                <w:sz w:val="16"/>
              </w:rPr>
              <w:t>PNS</w:t>
            </w:r>
          </w:p>
        </w:tc>
        <w:tc>
          <w:tcPr>
            <w:tcW w:w="2693" w:type="dxa"/>
            <w:gridSpan w:val="2"/>
            <w:vAlign w:val="center"/>
          </w:tcPr>
          <w:p w14:paraId="157CE51E" w14:textId="77777777" w:rsidR="00CE67B1" w:rsidRPr="00EE0717" w:rsidRDefault="00CE67B1" w:rsidP="005C5186">
            <w:pPr>
              <w:keepNext/>
              <w:spacing w:before="240" w:after="100" w:afterAutospacing="1" w:line="480" w:lineRule="auto"/>
              <w:jc w:val="center"/>
              <w:rPr>
                <w:sz w:val="16"/>
              </w:rPr>
            </w:pPr>
            <w:r w:rsidRPr="00EE0717">
              <w:rPr>
                <w:sz w:val="16"/>
              </w:rPr>
              <w:t>PNS + SNS</w:t>
            </w:r>
          </w:p>
        </w:tc>
        <w:tc>
          <w:tcPr>
            <w:tcW w:w="1276" w:type="dxa"/>
            <w:vAlign w:val="center"/>
          </w:tcPr>
          <w:p w14:paraId="736E780D" w14:textId="77777777" w:rsidR="00CE67B1" w:rsidRPr="00EE0717" w:rsidRDefault="00CE67B1" w:rsidP="005C5186">
            <w:pPr>
              <w:keepNext/>
              <w:spacing w:before="240" w:after="100" w:afterAutospacing="1" w:line="480" w:lineRule="auto"/>
              <w:jc w:val="center"/>
              <w:rPr>
                <w:sz w:val="16"/>
              </w:rPr>
            </w:pPr>
            <w:r w:rsidRPr="00EE0717">
              <w:rPr>
                <w:sz w:val="16"/>
              </w:rPr>
              <w:t>SNS</w:t>
            </w:r>
          </w:p>
        </w:tc>
      </w:tr>
      <w:tr w:rsidR="00CE67B1" w:rsidRPr="005164A2" w14:paraId="7D5267E9" w14:textId="77777777" w:rsidTr="00FD73B9">
        <w:trPr>
          <w:trHeight w:val="288"/>
        </w:trPr>
        <w:tc>
          <w:tcPr>
            <w:tcW w:w="1952" w:type="dxa"/>
            <w:vMerge/>
            <w:vAlign w:val="center"/>
          </w:tcPr>
          <w:p w14:paraId="5F689D38" w14:textId="77777777" w:rsidR="00CE67B1" w:rsidRPr="00EE0717" w:rsidRDefault="00CE67B1" w:rsidP="005C5186">
            <w:pPr>
              <w:keepNext/>
              <w:spacing w:before="240" w:after="100" w:afterAutospacing="1"/>
              <w:jc w:val="center"/>
              <w:rPr>
                <w:sz w:val="16"/>
              </w:rPr>
            </w:pPr>
          </w:p>
        </w:tc>
        <w:tc>
          <w:tcPr>
            <w:tcW w:w="1307" w:type="dxa"/>
            <w:vAlign w:val="center"/>
          </w:tcPr>
          <w:p w14:paraId="4B646441" w14:textId="77777777" w:rsidR="00CE67B1" w:rsidRPr="00EE0717" w:rsidRDefault="00CE67B1" w:rsidP="005C5186">
            <w:pPr>
              <w:keepNext/>
              <w:spacing w:before="240" w:after="100" w:afterAutospacing="1"/>
              <w:jc w:val="center"/>
              <w:rPr>
                <w:sz w:val="16"/>
              </w:rPr>
            </w:pPr>
            <w:r w:rsidRPr="00EE0717">
              <w:rPr>
                <w:sz w:val="16"/>
              </w:rPr>
              <w:t>MCV</w:t>
            </w:r>
            <w:r>
              <w:rPr>
                <w:sz w:val="16"/>
              </w:rPr>
              <w:t xml:space="preserve"> </w:t>
            </w:r>
            <w:r w:rsidRPr="00EE0717">
              <w:rPr>
                <w:sz w:val="16"/>
              </w:rPr>
              <w:t>(mm/s)</w:t>
            </w:r>
          </w:p>
        </w:tc>
        <w:tc>
          <w:tcPr>
            <w:tcW w:w="1289" w:type="dxa"/>
            <w:vAlign w:val="center"/>
          </w:tcPr>
          <w:p w14:paraId="6566F591" w14:textId="77777777" w:rsidR="00CE67B1" w:rsidRPr="00EE0717" w:rsidRDefault="00CE67B1" w:rsidP="005C5186">
            <w:pPr>
              <w:keepNext/>
              <w:spacing w:before="240" w:after="100" w:afterAutospacing="1"/>
              <w:jc w:val="center"/>
              <w:rPr>
                <w:sz w:val="16"/>
              </w:rPr>
            </w:pPr>
            <w:r w:rsidRPr="00EE0717">
              <w:rPr>
                <w:sz w:val="16"/>
              </w:rPr>
              <w:t>ACA</w:t>
            </w:r>
            <w:r>
              <w:rPr>
                <w:sz w:val="16"/>
              </w:rPr>
              <w:t xml:space="preserve"> </w:t>
            </w:r>
            <w:r w:rsidRPr="00EE0717">
              <w:rPr>
                <w:sz w:val="16"/>
              </w:rPr>
              <w:t>(mm)</w:t>
            </w:r>
          </w:p>
        </w:tc>
        <w:tc>
          <w:tcPr>
            <w:tcW w:w="1373" w:type="dxa"/>
            <w:vAlign w:val="center"/>
          </w:tcPr>
          <w:p w14:paraId="39E7A15B" w14:textId="77777777" w:rsidR="00CE67B1" w:rsidRPr="00EE0717" w:rsidRDefault="00CE67B1" w:rsidP="005C5186">
            <w:pPr>
              <w:keepNext/>
              <w:spacing w:before="240" w:after="100" w:afterAutospacing="1"/>
              <w:jc w:val="center"/>
              <w:rPr>
                <w:sz w:val="16"/>
              </w:rPr>
            </w:pPr>
            <w:r w:rsidRPr="00EE0717">
              <w:rPr>
                <w:sz w:val="16"/>
              </w:rPr>
              <w:t>RCA (%)</w:t>
            </w:r>
          </w:p>
        </w:tc>
        <w:tc>
          <w:tcPr>
            <w:tcW w:w="1319" w:type="dxa"/>
            <w:vAlign w:val="center"/>
          </w:tcPr>
          <w:p w14:paraId="0625E632" w14:textId="77777777" w:rsidR="00CE67B1" w:rsidRPr="00EE0717" w:rsidRDefault="00CE67B1" w:rsidP="005C5186">
            <w:pPr>
              <w:keepNext/>
              <w:spacing w:before="240" w:after="100" w:afterAutospacing="1"/>
              <w:jc w:val="center"/>
              <w:rPr>
                <w:sz w:val="16"/>
              </w:rPr>
            </w:pPr>
            <w:r w:rsidRPr="00EE0717">
              <w:rPr>
                <w:sz w:val="16"/>
              </w:rPr>
              <w:t>BPD (mm)</w:t>
            </w:r>
          </w:p>
        </w:tc>
        <w:tc>
          <w:tcPr>
            <w:tcW w:w="1374" w:type="dxa"/>
            <w:vAlign w:val="center"/>
          </w:tcPr>
          <w:p w14:paraId="76FCC03C" w14:textId="77777777" w:rsidR="00CE67B1" w:rsidRPr="00EE0717" w:rsidRDefault="00CE67B1" w:rsidP="005C5186">
            <w:pPr>
              <w:keepNext/>
              <w:spacing w:before="240" w:after="100" w:afterAutospacing="1"/>
              <w:jc w:val="center"/>
              <w:rPr>
                <w:sz w:val="16"/>
              </w:rPr>
            </w:pPr>
            <w:r w:rsidRPr="00EE0717">
              <w:rPr>
                <w:sz w:val="16"/>
              </w:rPr>
              <w:t>DV1 (mm/s)</w:t>
            </w:r>
          </w:p>
        </w:tc>
        <w:tc>
          <w:tcPr>
            <w:tcW w:w="1276" w:type="dxa"/>
            <w:vAlign w:val="center"/>
          </w:tcPr>
          <w:p w14:paraId="5967C737" w14:textId="77777777" w:rsidR="00CE67B1" w:rsidRPr="00EE0717" w:rsidRDefault="00CE67B1" w:rsidP="005C5186">
            <w:pPr>
              <w:keepNext/>
              <w:spacing w:before="240" w:after="100" w:afterAutospacing="1"/>
              <w:jc w:val="center"/>
              <w:rPr>
                <w:sz w:val="16"/>
              </w:rPr>
            </w:pPr>
            <w:r w:rsidRPr="00EE0717">
              <w:rPr>
                <w:sz w:val="16"/>
              </w:rPr>
              <w:t>T75 (s)</w:t>
            </w:r>
          </w:p>
        </w:tc>
      </w:tr>
      <w:tr w:rsidR="00CE67B1" w:rsidRPr="005164A2" w14:paraId="7A14A50D" w14:textId="77777777" w:rsidTr="00FD73B9">
        <w:trPr>
          <w:trHeight w:val="506"/>
        </w:trPr>
        <w:tc>
          <w:tcPr>
            <w:tcW w:w="1952" w:type="dxa"/>
            <w:vAlign w:val="center"/>
          </w:tcPr>
          <w:p w14:paraId="5D695B2A" w14:textId="77777777" w:rsidR="00CE67B1" w:rsidRPr="00EE0717" w:rsidRDefault="00CE67B1" w:rsidP="005C5186">
            <w:pPr>
              <w:keepNext/>
              <w:spacing w:before="240" w:after="100" w:afterAutospacing="1" w:line="480" w:lineRule="auto"/>
              <w:jc w:val="center"/>
              <w:rPr>
                <w:sz w:val="16"/>
              </w:rPr>
            </w:pPr>
            <w:r w:rsidRPr="00EE0717">
              <w:rPr>
                <w:sz w:val="16"/>
              </w:rPr>
              <w:t>Color (green vs. red)</w:t>
            </w:r>
          </w:p>
        </w:tc>
        <w:tc>
          <w:tcPr>
            <w:tcW w:w="1307" w:type="dxa"/>
            <w:vAlign w:val="center"/>
          </w:tcPr>
          <w:p w14:paraId="2DDB4E79" w14:textId="77777777" w:rsidR="00CE67B1" w:rsidRPr="00EE0717" w:rsidRDefault="00CE67B1" w:rsidP="005C5186">
            <w:pPr>
              <w:keepNext/>
              <w:spacing w:before="240" w:after="100" w:afterAutospacing="1" w:line="480" w:lineRule="auto"/>
              <w:jc w:val="center"/>
              <w:rPr>
                <w:sz w:val="16"/>
              </w:rPr>
            </w:pPr>
            <w:r w:rsidRPr="006E04B2">
              <w:rPr>
                <w:b/>
                <w:sz w:val="16"/>
              </w:rPr>
              <w:t>F (1, 20) = 5.56, p = 0.03</w:t>
            </w:r>
          </w:p>
        </w:tc>
        <w:tc>
          <w:tcPr>
            <w:tcW w:w="1289" w:type="dxa"/>
            <w:vAlign w:val="center"/>
          </w:tcPr>
          <w:p w14:paraId="515E473B" w14:textId="77777777" w:rsidR="00CE67B1" w:rsidRPr="006E04B2" w:rsidRDefault="00CE67B1" w:rsidP="005C5186">
            <w:pPr>
              <w:keepNext/>
              <w:spacing w:before="240" w:after="100" w:afterAutospacing="1" w:line="480" w:lineRule="auto"/>
              <w:jc w:val="center"/>
              <w:rPr>
                <w:sz w:val="16"/>
              </w:rPr>
            </w:pPr>
            <w:r w:rsidRPr="006E04B2">
              <w:rPr>
                <w:b/>
                <w:sz w:val="16"/>
              </w:rPr>
              <w:t>F (1, 20) = 31.35, p &lt; 0.01</w:t>
            </w:r>
          </w:p>
        </w:tc>
        <w:tc>
          <w:tcPr>
            <w:tcW w:w="1373" w:type="dxa"/>
          </w:tcPr>
          <w:p w14:paraId="28DF8305" w14:textId="77777777" w:rsidR="00CE67B1" w:rsidRPr="006E04B2" w:rsidRDefault="00CE67B1" w:rsidP="005C5186">
            <w:pPr>
              <w:keepNext/>
              <w:spacing w:before="240" w:after="100" w:afterAutospacing="1" w:line="480" w:lineRule="auto"/>
              <w:jc w:val="center"/>
              <w:rPr>
                <w:sz w:val="16"/>
              </w:rPr>
            </w:pPr>
            <w:r w:rsidRPr="006E04B2">
              <w:rPr>
                <w:b/>
                <w:sz w:val="16"/>
              </w:rPr>
              <w:t>F (1, 20) = 15.74, p = 0.001</w:t>
            </w:r>
          </w:p>
        </w:tc>
        <w:tc>
          <w:tcPr>
            <w:tcW w:w="1319" w:type="dxa"/>
          </w:tcPr>
          <w:p w14:paraId="21B20F77" w14:textId="77777777" w:rsidR="00CE67B1" w:rsidRPr="006E04B2" w:rsidRDefault="00CE67B1" w:rsidP="005C5186">
            <w:pPr>
              <w:keepNext/>
              <w:spacing w:before="240" w:after="100" w:afterAutospacing="1" w:line="480" w:lineRule="auto"/>
              <w:jc w:val="center"/>
              <w:rPr>
                <w:sz w:val="16"/>
              </w:rPr>
            </w:pPr>
            <w:r w:rsidRPr="006E04B2">
              <w:rPr>
                <w:b/>
                <w:sz w:val="16"/>
              </w:rPr>
              <w:t>F (1, 20) = 14.46, p = 0.01</w:t>
            </w:r>
          </w:p>
        </w:tc>
        <w:tc>
          <w:tcPr>
            <w:tcW w:w="1374" w:type="dxa"/>
          </w:tcPr>
          <w:p w14:paraId="470807FF" w14:textId="77777777" w:rsidR="00CE67B1" w:rsidRPr="006E04B2" w:rsidRDefault="00CE67B1" w:rsidP="005C5186">
            <w:pPr>
              <w:keepNext/>
              <w:spacing w:before="240" w:after="100" w:afterAutospacing="1" w:line="480" w:lineRule="auto"/>
              <w:jc w:val="center"/>
              <w:rPr>
                <w:sz w:val="16"/>
              </w:rPr>
            </w:pPr>
            <w:r w:rsidRPr="006E04B2">
              <w:rPr>
                <w:b/>
                <w:sz w:val="16"/>
              </w:rPr>
              <w:t>F (1, 20) = 15.31, p = 0.001</w:t>
            </w:r>
          </w:p>
        </w:tc>
        <w:tc>
          <w:tcPr>
            <w:tcW w:w="1276" w:type="dxa"/>
            <w:vAlign w:val="center"/>
          </w:tcPr>
          <w:p w14:paraId="1A278B38" w14:textId="77777777" w:rsidR="00CE67B1" w:rsidRPr="006E04B2" w:rsidRDefault="00CE67B1" w:rsidP="005C5186">
            <w:pPr>
              <w:keepNext/>
              <w:spacing w:before="240" w:after="100" w:afterAutospacing="1" w:line="480" w:lineRule="auto"/>
              <w:jc w:val="center"/>
              <w:rPr>
                <w:sz w:val="16"/>
              </w:rPr>
            </w:pPr>
            <w:r w:rsidRPr="006E04B2">
              <w:rPr>
                <w:sz w:val="16"/>
              </w:rPr>
              <w:t>F (1, 20) = 0.00, p =</w:t>
            </w:r>
            <w:r w:rsidRPr="006E04B2">
              <w:rPr>
                <w:rFonts w:hint="eastAsia"/>
                <w:sz w:val="16"/>
              </w:rPr>
              <w:t xml:space="preserve"> 0.98</w:t>
            </w:r>
          </w:p>
        </w:tc>
      </w:tr>
      <w:tr w:rsidR="00CE67B1" w:rsidRPr="005164A2" w14:paraId="06335C16" w14:textId="77777777" w:rsidTr="00FD73B9">
        <w:trPr>
          <w:trHeight w:val="506"/>
        </w:trPr>
        <w:tc>
          <w:tcPr>
            <w:tcW w:w="1952" w:type="dxa"/>
            <w:vAlign w:val="center"/>
          </w:tcPr>
          <w:p w14:paraId="050CEF65" w14:textId="77777777" w:rsidR="00CE67B1" w:rsidRPr="00EE0717" w:rsidRDefault="00CE67B1" w:rsidP="005C5186">
            <w:pPr>
              <w:keepNext/>
              <w:spacing w:before="240" w:after="100" w:afterAutospacing="1" w:line="480" w:lineRule="auto"/>
              <w:jc w:val="center"/>
              <w:rPr>
                <w:sz w:val="16"/>
              </w:rPr>
            </w:pPr>
            <w:r w:rsidRPr="00EE0717">
              <w:rPr>
                <w:sz w:val="16"/>
              </w:rPr>
              <w:t>Light Intensity (high intensity vs. low intensity)</w:t>
            </w:r>
          </w:p>
        </w:tc>
        <w:tc>
          <w:tcPr>
            <w:tcW w:w="1307" w:type="dxa"/>
          </w:tcPr>
          <w:p w14:paraId="5C4898FB" w14:textId="77777777" w:rsidR="00CE67B1" w:rsidRPr="00EE0717" w:rsidRDefault="00CE67B1" w:rsidP="005C5186">
            <w:pPr>
              <w:keepNext/>
              <w:spacing w:before="240" w:after="100" w:afterAutospacing="1" w:line="480" w:lineRule="auto"/>
              <w:jc w:val="center"/>
              <w:rPr>
                <w:sz w:val="16"/>
              </w:rPr>
            </w:pPr>
            <w:r w:rsidRPr="006E04B2">
              <w:rPr>
                <w:b/>
                <w:sz w:val="16"/>
              </w:rPr>
              <w:t>F (1, 20) = 22.02, p &lt; 0.01</w:t>
            </w:r>
          </w:p>
        </w:tc>
        <w:tc>
          <w:tcPr>
            <w:tcW w:w="1289" w:type="dxa"/>
          </w:tcPr>
          <w:p w14:paraId="6821C43A" w14:textId="77777777" w:rsidR="00CE67B1" w:rsidRPr="006E04B2" w:rsidRDefault="00CE67B1" w:rsidP="005C5186">
            <w:pPr>
              <w:keepNext/>
              <w:spacing w:before="240" w:after="100" w:afterAutospacing="1" w:line="480" w:lineRule="auto"/>
              <w:jc w:val="center"/>
              <w:rPr>
                <w:sz w:val="16"/>
              </w:rPr>
            </w:pPr>
            <w:r w:rsidRPr="006E04B2">
              <w:rPr>
                <w:b/>
                <w:sz w:val="16"/>
              </w:rPr>
              <w:t>F (1, 20) = 53.57, p &lt; 0.01</w:t>
            </w:r>
          </w:p>
        </w:tc>
        <w:tc>
          <w:tcPr>
            <w:tcW w:w="1373" w:type="dxa"/>
          </w:tcPr>
          <w:p w14:paraId="7271C640" w14:textId="77777777" w:rsidR="00CE67B1" w:rsidRPr="006E04B2" w:rsidRDefault="00CE67B1" w:rsidP="005C5186">
            <w:pPr>
              <w:keepNext/>
              <w:spacing w:before="240" w:after="100" w:afterAutospacing="1" w:line="480" w:lineRule="auto"/>
              <w:jc w:val="center"/>
              <w:rPr>
                <w:sz w:val="16"/>
              </w:rPr>
            </w:pPr>
            <w:r w:rsidRPr="006E04B2">
              <w:rPr>
                <w:b/>
                <w:sz w:val="16"/>
              </w:rPr>
              <w:t>F (1, 20) = 192.92, p &lt; 0.001</w:t>
            </w:r>
          </w:p>
        </w:tc>
        <w:tc>
          <w:tcPr>
            <w:tcW w:w="1319" w:type="dxa"/>
          </w:tcPr>
          <w:p w14:paraId="11CF75A5" w14:textId="77777777" w:rsidR="00CE67B1" w:rsidRPr="006E04B2" w:rsidRDefault="00CE67B1" w:rsidP="005C5186">
            <w:pPr>
              <w:keepNext/>
              <w:spacing w:before="240" w:after="100" w:afterAutospacing="1" w:line="480" w:lineRule="auto"/>
              <w:jc w:val="center"/>
              <w:rPr>
                <w:sz w:val="16"/>
              </w:rPr>
            </w:pPr>
            <w:r w:rsidRPr="006E04B2">
              <w:rPr>
                <w:sz w:val="16"/>
              </w:rPr>
              <w:t>F (1, 20) = 0.00, p = 0.98</w:t>
            </w:r>
          </w:p>
        </w:tc>
        <w:tc>
          <w:tcPr>
            <w:tcW w:w="1374" w:type="dxa"/>
          </w:tcPr>
          <w:p w14:paraId="5EE10019" w14:textId="77777777" w:rsidR="00CE67B1" w:rsidRPr="006E04B2" w:rsidRDefault="00CE67B1" w:rsidP="005C5186">
            <w:pPr>
              <w:keepNext/>
              <w:spacing w:before="240" w:after="100" w:afterAutospacing="1" w:line="480" w:lineRule="auto"/>
              <w:jc w:val="center"/>
              <w:rPr>
                <w:sz w:val="16"/>
              </w:rPr>
            </w:pPr>
            <w:r w:rsidRPr="006E04B2">
              <w:rPr>
                <w:b/>
                <w:sz w:val="16"/>
              </w:rPr>
              <w:t>F (1, 20) = 31.51, p &lt; 0.001</w:t>
            </w:r>
          </w:p>
        </w:tc>
        <w:tc>
          <w:tcPr>
            <w:tcW w:w="1276" w:type="dxa"/>
            <w:vAlign w:val="center"/>
          </w:tcPr>
          <w:p w14:paraId="78CDB205" w14:textId="77777777" w:rsidR="00CE67B1" w:rsidRPr="006E04B2" w:rsidRDefault="00CE67B1" w:rsidP="005C5186">
            <w:pPr>
              <w:keepNext/>
              <w:spacing w:before="240" w:after="100" w:afterAutospacing="1" w:line="480" w:lineRule="auto"/>
              <w:jc w:val="center"/>
              <w:rPr>
                <w:sz w:val="16"/>
              </w:rPr>
            </w:pPr>
            <w:r w:rsidRPr="006E04B2">
              <w:rPr>
                <w:sz w:val="16"/>
              </w:rPr>
              <w:t xml:space="preserve">F (1, 20) = </w:t>
            </w:r>
            <w:r w:rsidRPr="006E04B2">
              <w:rPr>
                <w:rFonts w:hint="eastAsia"/>
                <w:sz w:val="16"/>
              </w:rPr>
              <w:t>0.09</w:t>
            </w:r>
            <w:r w:rsidRPr="006E04B2">
              <w:rPr>
                <w:sz w:val="16"/>
              </w:rPr>
              <w:t>, p = 0.</w:t>
            </w:r>
            <w:r w:rsidRPr="006E04B2">
              <w:rPr>
                <w:rFonts w:hint="eastAsia"/>
                <w:sz w:val="16"/>
              </w:rPr>
              <w:t>7</w:t>
            </w:r>
          </w:p>
        </w:tc>
      </w:tr>
      <w:tr w:rsidR="00CE67B1" w:rsidRPr="005164A2" w14:paraId="4422602C" w14:textId="77777777" w:rsidTr="00FD73B9">
        <w:trPr>
          <w:trHeight w:val="958"/>
        </w:trPr>
        <w:tc>
          <w:tcPr>
            <w:tcW w:w="1952" w:type="dxa"/>
            <w:vAlign w:val="center"/>
          </w:tcPr>
          <w:p w14:paraId="7B606B9D" w14:textId="77777777" w:rsidR="00CE67B1" w:rsidRPr="00EE0717" w:rsidRDefault="00CE67B1" w:rsidP="005C5186">
            <w:pPr>
              <w:keepNext/>
              <w:spacing w:before="240" w:after="100" w:afterAutospacing="1" w:line="480" w:lineRule="auto"/>
              <w:jc w:val="center"/>
              <w:rPr>
                <w:sz w:val="16"/>
              </w:rPr>
            </w:pPr>
            <w:r w:rsidRPr="00EE0717">
              <w:rPr>
                <w:sz w:val="16"/>
              </w:rPr>
              <w:t>Duration (200ms vs. 1000ms)</w:t>
            </w:r>
          </w:p>
        </w:tc>
        <w:tc>
          <w:tcPr>
            <w:tcW w:w="1307" w:type="dxa"/>
          </w:tcPr>
          <w:p w14:paraId="3D0D6C02" w14:textId="77777777" w:rsidR="00CE67B1" w:rsidRPr="00EE0717" w:rsidRDefault="00CE67B1" w:rsidP="005C5186">
            <w:pPr>
              <w:keepNext/>
              <w:spacing w:before="240" w:after="100" w:afterAutospacing="1" w:line="480" w:lineRule="auto"/>
              <w:jc w:val="center"/>
              <w:rPr>
                <w:sz w:val="16"/>
              </w:rPr>
            </w:pPr>
            <w:r w:rsidRPr="00EE0717">
              <w:rPr>
                <w:sz w:val="16"/>
              </w:rPr>
              <w:t>F (1, 20) = 1.22, p = 0.28</w:t>
            </w:r>
          </w:p>
        </w:tc>
        <w:tc>
          <w:tcPr>
            <w:tcW w:w="1289" w:type="dxa"/>
          </w:tcPr>
          <w:p w14:paraId="46F559E0" w14:textId="77777777" w:rsidR="00CE67B1" w:rsidRPr="006E04B2" w:rsidRDefault="00CE67B1" w:rsidP="005C5186">
            <w:pPr>
              <w:keepNext/>
              <w:spacing w:before="240" w:after="100" w:afterAutospacing="1" w:line="480" w:lineRule="auto"/>
              <w:jc w:val="center"/>
              <w:rPr>
                <w:sz w:val="16"/>
              </w:rPr>
            </w:pPr>
            <w:r w:rsidRPr="006E04B2">
              <w:rPr>
                <w:b/>
                <w:sz w:val="16"/>
              </w:rPr>
              <w:t>F (1, 20) = 51.24, p &lt; 0.01</w:t>
            </w:r>
          </w:p>
        </w:tc>
        <w:tc>
          <w:tcPr>
            <w:tcW w:w="1373" w:type="dxa"/>
          </w:tcPr>
          <w:p w14:paraId="4D85B559" w14:textId="77777777" w:rsidR="00CE67B1" w:rsidRPr="006E04B2" w:rsidRDefault="00CE67B1" w:rsidP="005C5186">
            <w:pPr>
              <w:keepNext/>
              <w:spacing w:before="240" w:after="100" w:afterAutospacing="1" w:line="480" w:lineRule="auto"/>
              <w:jc w:val="center"/>
              <w:rPr>
                <w:sz w:val="16"/>
              </w:rPr>
            </w:pPr>
            <w:r w:rsidRPr="006E04B2">
              <w:rPr>
                <w:b/>
                <w:sz w:val="16"/>
              </w:rPr>
              <w:t>F (1, 20) = 128.37, p &lt; 0.001</w:t>
            </w:r>
          </w:p>
        </w:tc>
        <w:tc>
          <w:tcPr>
            <w:tcW w:w="1319" w:type="dxa"/>
          </w:tcPr>
          <w:p w14:paraId="1D8B0268" w14:textId="77777777" w:rsidR="00CE67B1" w:rsidRPr="006E04B2" w:rsidRDefault="00CE67B1" w:rsidP="005C5186">
            <w:pPr>
              <w:keepNext/>
              <w:spacing w:before="240" w:after="100" w:afterAutospacing="1" w:line="480" w:lineRule="auto"/>
              <w:jc w:val="center"/>
              <w:rPr>
                <w:sz w:val="16"/>
              </w:rPr>
            </w:pPr>
            <w:r w:rsidRPr="006E04B2">
              <w:rPr>
                <w:sz w:val="16"/>
              </w:rPr>
              <w:t>F (1, 20) = 0.01, p = 0.91</w:t>
            </w:r>
          </w:p>
        </w:tc>
        <w:tc>
          <w:tcPr>
            <w:tcW w:w="1374" w:type="dxa"/>
          </w:tcPr>
          <w:p w14:paraId="78E818E8" w14:textId="77777777" w:rsidR="00CE67B1" w:rsidRPr="006E04B2" w:rsidRDefault="00CE67B1" w:rsidP="005C5186">
            <w:pPr>
              <w:keepNext/>
              <w:spacing w:before="240" w:after="100" w:afterAutospacing="1" w:line="480" w:lineRule="auto"/>
              <w:jc w:val="center"/>
              <w:rPr>
                <w:sz w:val="16"/>
              </w:rPr>
            </w:pPr>
            <w:r w:rsidRPr="006E04B2">
              <w:rPr>
                <w:b/>
                <w:sz w:val="16"/>
              </w:rPr>
              <w:t>F (1, 20) = 78.98, p &lt; 0.001</w:t>
            </w:r>
          </w:p>
        </w:tc>
        <w:tc>
          <w:tcPr>
            <w:tcW w:w="1276" w:type="dxa"/>
            <w:vAlign w:val="center"/>
          </w:tcPr>
          <w:p w14:paraId="7B108745" w14:textId="77777777" w:rsidR="00CE67B1" w:rsidRPr="006E04B2" w:rsidRDefault="00CE67B1" w:rsidP="005C5186">
            <w:pPr>
              <w:keepNext/>
              <w:spacing w:before="240" w:after="100" w:afterAutospacing="1" w:line="480" w:lineRule="auto"/>
              <w:jc w:val="center"/>
              <w:rPr>
                <w:sz w:val="16"/>
              </w:rPr>
            </w:pPr>
            <w:r w:rsidRPr="006E04B2">
              <w:rPr>
                <w:b/>
                <w:sz w:val="16"/>
              </w:rPr>
              <w:t>F (1, 20) = 17.</w:t>
            </w:r>
            <w:r w:rsidRPr="006E04B2">
              <w:rPr>
                <w:rFonts w:hint="eastAsia"/>
                <w:b/>
                <w:sz w:val="16"/>
              </w:rPr>
              <w:t>85</w:t>
            </w:r>
            <w:r w:rsidRPr="006E04B2">
              <w:rPr>
                <w:b/>
                <w:sz w:val="16"/>
              </w:rPr>
              <w:t>, p &lt; 0.001</w:t>
            </w:r>
          </w:p>
        </w:tc>
      </w:tr>
    </w:tbl>
    <w:p w14:paraId="75D0466E" w14:textId="77777777" w:rsidR="00CE67B1" w:rsidRPr="003A3400" w:rsidRDefault="00CE67B1" w:rsidP="00CE67B1"/>
    <w:p w14:paraId="522AF0FB" w14:textId="77777777" w:rsidR="00CE67B1" w:rsidRDefault="00CE67B1" w:rsidP="00CE67B1">
      <w:pPr>
        <w:spacing w:before="240" w:after="100" w:afterAutospacing="1" w:line="480" w:lineRule="auto"/>
        <w:rPr>
          <w:rFonts w:eastAsia="Times New Roman" w:cs="Times New Roman"/>
          <w:bCs/>
          <w:sz w:val="18"/>
          <w:szCs w:val="18"/>
        </w:rPr>
      </w:pPr>
      <w:r w:rsidRPr="005164A2">
        <w:rPr>
          <w:rFonts w:eastAsia="Times New Roman" w:cs="Times New Roman"/>
          <w:bCs/>
          <w:sz w:val="18"/>
          <w:szCs w:val="18"/>
        </w:rPr>
        <w:t>MCV: maximum constriction velocity; ACA: absolute constriction amplitude; BPD: baseline pupil diameter; RCA: relative constriction amplitude; DV1: Dilation velocity at 1s</w:t>
      </w:r>
      <w:r>
        <w:rPr>
          <w:rFonts w:eastAsia="Times New Roman" w:cs="Times New Roman"/>
          <w:bCs/>
          <w:sz w:val="18"/>
          <w:szCs w:val="18"/>
        </w:rPr>
        <w:t xml:space="preserve"> after Maximum constriction; T</w:t>
      </w:r>
      <w:r>
        <w:rPr>
          <w:rFonts w:eastAsia="Times New Roman" w:cs="Times New Roman" w:hint="eastAsia"/>
          <w:bCs/>
          <w:sz w:val="18"/>
          <w:szCs w:val="18"/>
        </w:rPr>
        <w:t>75</w:t>
      </w:r>
      <w:r>
        <w:rPr>
          <w:rFonts w:eastAsia="Times New Roman" w:cs="Times New Roman"/>
          <w:bCs/>
          <w:sz w:val="18"/>
          <w:szCs w:val="18"/>
        </w:rPr>
        <w:t>: time to reach 75</w:t>
      </w:r>
      <w:r w:rsidRPr="005164A2">
        <w:rPr>
          <w:rFonts w:eastAsia="Times New Roman" w:cs="Times New Roman"/>
          <w:bCs/>
          <w:sz w:val="18"/>
          <w:szCs w:val="18"/>
        </w:rPr>
        <w:t>% of initial resting diameter during pupillary re-dilation</w:t>
      </w:r>
    </w:p>
    <w:p w14:paraId="546BB34F" w14:textId="77777777" w:rsidR="00CE67B1" w:rsidRPr="005164A2" w:rsidRDefault="00CE67B1" w:rsidP="00CE67B1">
      <w:pPr>
        <w:spacing w:before="240" w:after="100" w:afterAutospacing="1" w:line="480" w:lineRule="auto"/>
        <w:rPr>
          <w:rFonts w:eastAsia="Times New Roman" w:cs="Times New Roman"/>
          <w:bCs/>
          <w:sz w:val="18"/>
          <w:szCs w:val="18"/>
        </w:rPr>
      </w:pPr>
      <w:r>
        <w:rPr>
          <w:rFonts w:eastAsia="Times New Roman" w:cs="Times New Roman"/>
          <w:bCs/>
          <w:sz w:val="18"/>
          <w:szCs w:val="18"/>
        </w:rPr>
        <w:t xml:space="preserve">Text marked bold: within-subject effect is significant at p &lt; 0.05 </w:t>
      </w:r>
    </w:p>
    <w:p w14:paraId="42CACDA4" w14:textId="77777777" w:rsidR="00CE67B1" w:rsidRPr="00D86722" w:rsidRDefault="00CE67B1" w:rsidP="00CE67B1">
      <w:pPr>
        <w:spacing w:before="240" w:after="100" w:afterAutospacing="1" w:line="480" w:lineRule="auto"/>
        <w:rPr>
          <w:rFonts w:cs="Times New Roman"/>
          <w:szCs w:val="24"/>
        </w:rPr>
      </w:pPr>
    </w:p>
    <w:p w14:paraId="793FF4A6" w14:textId="77777777" w:rsidR="00CE67B1" w:rsidRPr="005164A2" w:rsidRDefault="00CE67B1" w:rsidP="00CE67B1">
      <w:pPr>
        <w:pStyle w:val="Heading2"/>
      </w:pPr>
      <w:r w:rsidRPr="005164A2">
        <w:t>Discussion</w:t>
      </w:r>
    </w:p>
    <w:p w14:paraId="25998FF9" w14:textId="77777777" w:rsidR="00CE67B1" w:rsidRPr="005164A2" w:rsidRDefault="00CE67B1" w:rsidP="00CE67B1">
      <w:pPr>
        <w:spacing w:before="240" w:after="100" w:afterAutospacing="1" w:line="480" w:lineRule="auto"/>
        <w:rPr>
          <w:rFonts w:cs="Times New Roman"/>
        </w:rPr>
      </w:pPr>
      <w:r>
        <w:rPr>
          <w:rFonts w:cs="Times New Roman"/>
        </w:rPr>
        <w:t>In the pilot study, we developed and tested</w:t>
      </w:r>
      <w:r w:rsidRPr="005164A2">
        <w:rPr>
          <w:rFonts w:cs="Times New Roman"/>
        </w:rPr>
        <w:t xml:space="preserve"> a PLR assessment method using a </w:t>
      </w:r>
      <w:r>
        <w:rPr>
          <w:rFonts w:cs="Times New Roman"/>
        </w:rPr>
        <w:t>computer screen set-up</w:t>
      </w:r>
      <w:r w:rsidRPr="005164A2">
        <w:rPr>
          <w:rFonts w:cs="Times New Roman"/>
        </w:rPr>
        <w:t xml:space="preserve"> generat</w:t>
      </w:r>
      <w:r>
        <w:rPr>
          <w:rFonts w:cs="Times New Roman"/>
        </w:rPr>
        <w:t>ing</w:t>
      </w:r>
      <w:r w:rsidRPr="005164A2">
        <w:rPr>
          <w:rFonts w:cs="Times New Roman"/>
        </w:rPr>
        <w:t xml:space="preserve"> the light stimuli</w:t>
      </w:r>
      <w:r>
        <w:rPr>
          <w:rFonts w:cs="Times New Roman"/>
        </w:rPr>
        <w:t xml:space="preserve">. We assessed the </w:t>
      </w:r>
      <w:r w:rsidRPr="005164A2">
        <w:rPr>
          <w:rFonts w:cs="Times New Roman"/>
        </w:rPr>
        <w:t>PLR</w:t>
      </w:r>
      <w:r>
        <w:rPr>
          <w:rFonts w:cs="Times New Roman"/>
        </w:rPr>
        <w:t xml:space="preserve"> in</w:t>
      </w:r>
      <w:r w:rsidRPr="005164A2">
        <w:rPr>
          <w:rFonts w:cs="Times New Roman"/>
        </w:rPr>
        <w:t xml:space="preserve"> eight conditions </w:t>
      </w:r>
      <w:r>
        <w:rPr>
          <w:rFonts w:cs="Times New Roman"/>
        </w:rPr>
        <w:t>in which</w:t>
      </w:r>
      <w:r w:rsidRPr="005164A2">
        <w:rPr>
          <w:rFonts w:cs="Times New Roman"/>
        </w:rPr>
        <w:t xml:space="preserve"> </w:t>
      </w:r>
      <w:r w:rsidRPr="005164A2">
        <w:rPr>
          <w:rFonts w:cs="Times New Roman"/>
          <w:i/>
        </w:rPr>
        <w:t>Color</w:t>
      </w:r>
      <w:r w:rsidRPr="005164A2">
        <w:rPr>
          <w:rFonts w:cs="Times New Roman"/>
        </w:rPr>
        <w:t xml:space="preserve">, </w:t>
      </w:r>
      <w:r w:rsidRPr="005164A2">
        <w:rPr>
          <w:rFonts w:cs="Times New Roman"/>
          <w:i/>
        </w:rPr>
        <w:t>Light Intensity</w:t>
      </w:r>
      <w:r w:rsidRPr="005164A2">
        <w:rPr>
          <w:rFonts w:cs="Times New Roman"/>
        </w:rPr>
        <w:t xml:space="preserve"> and </w:t>
      </w:r>
      <w:r w:rsidRPr="005164A2">
        <w:rPr>
          <w:rFonts w:cs="Times New Roman"/>
          <w:i/>
        </w:rPr>
        <w:t>Duration</w:t>
      </w:r>
      <w:r w:rsidRPr="005164A2">
        <w:rPr>
          <w:rFonts w:cs="Times New Roman"/>
        </w:rPr>
        <w:t xml:space="preserve"> of the light stimuli</w:t>
      </w:r>
      <w:r>
        <w:rPr>
          <w:rFonts w:cs="Times New Roman"/>
        </w:rPr>
        <w:t xml:space="preserve"> were manipulated</w:t>
      </w:r>
      <w:r w:rsidRPr="005164A2">
        <w:rPr>
          <w:rFonts w:cs="Times New Roman"/>
        </w:rPr>
        <w:t xml:space="preserve">. Repeated-measure ANOVAs revealed significant within-subject effects of </w:t>
      </w:r>
      <w:r w:rsidRPr="005164A2">
        <w:rPr>
          <w:rFonts w:cs="Times New Roman"/>
          <w:i/>
        </w:rPr>
        <w:t>Color</w:t>
      </w:r>
      <w:r w:rsidRPr="005164A2">
        <w:rPr>
          <w:rFonts w:cs="Times New Roman"/>
        </w:rPr>
        <w:t xml:space="preserve">, </w:t>
      </w:r>
      <w:r w:rsidRPr="005164A2">
        <w:rPr>
          <w:rFonts w:cs="Times New Roman"/>
          <w:i/>
        </w:rPr>
        <w:t>Light Intensity</w:t>
      </w:r>
      <w:r w:rsidRPr="005164A2">
        <w:rPr>
          <w:rFonts w:cs="Times New Roman"/>
        </w:rPr>
        <w:t xml:space="preserve"> and </w:t>
      </w:r>
      <w:r w:rsidRPr="005164A2">
        <w:rPr>
          <w:rFonts w:cs="Times New Roman"/>
          <w:i/>
        </w:rPr>
        <w:t>Duration</w:t>
      </w:r>
      <w:r w:rsidRPr="005164A2">
        <w:rPr>
          <w:rFonts w:cs="Times New Roman"/>
        </w:rPr>
        <w:t xml:space="preserve"> on most PLR parameters (except for BPD</w:t>
      </w:r>
      <w:r>
        <w:rPr>
          <w:rFonts w:cs="Times New Roman"/>
        </w:rPr>
        <w:t>, MCV and T75</w:t>
      </w:r>
      <w:r w:rsidRPr="005164A2">
        <w:rPr>
          <w:rFonts w:cs="Times New Roman"/>
        </w:rPr>
        <w:t xml:space="preserve">). These results </w:t>
      </w:r>
      <w:r>
        <w:rPr>
          <w:rFonts w:cs="Times New Roman"/>
        </w:rPr>
        <w:t>demonstrate</w:t>
      </w:r>
      <w:r w:rsidRPr="005164A2">
        <w:rPr>
          <w:rFonts w:cs="Times New Roman"/>
        </w:rPr>
        <w:t xml:space="preserve"> that </w:t>
      </w:r>
      <w:r>
        <w:rPr>
          <w:rFonts w:cs="Times New Roman"/>
        </w:rPr>
        <w:t xml:space="preserve">using a computer screen to evoke </w:t>
      </w:r>
      <w:r w:rsidRPr="005164A2">
        <w:rPr>
          <w:rFonts w:cs="Times New Roman"/>
        </w:rPr>
        <w:t>PLR</w:t>
      </w:r>
      <w:r>
        <w:rPr>
          <w:rFonts w:cs="Times New Roman"/>
        </w:rPr>
        <w:t>s</w:t>
      </w:r>
      <w:r w:rsidRPr="005164A2">
        <w:rPr>
          <w:rFonts w:cs="Times New Roman"/>
        </w:rPr>
        <w:t xml:space="preserve"> </w:t>
      </w:r>
      <w:r>
        <w:rPr>
          <w:rFonts w:cs="Times New Roman"/>
        </w:rPr>
        <w:t>results in PLRs that sensitively reflect these</w:t>
      </w:r>
      <w:r w:rsidRPr="005164A2">
        <w:rPr>
          <w:rFonts w:cs="Times New Roman"/>
        </w:rPr>
        <w:t xml:space="preserve"> different </w:t>
      </w:r>
      <w:r>
        <w:rPr>
          <w:rFonts w:cs="Times New Roman"/>
        </w:rPr>
        <w:t xml:space="preserve">stimulus </w:t>
      </w:r>
      <w:r w:rsidRPr="005164A2">
        <w:rPr>
          <w:rFonts w:cs="Times New Roman"/>
        </w:rPr>
        <w:t xml:space="preserve">characteristics. </w:t>
      </w:r>
    </w:p>
    <w:p w14:paraId="0F350D1D" w14:textId="53C0DC59" w:rsidR="00CE67B1" w:rsidRDefault="00CE67B1" w:rsidP="00CE67B1">
      <w:pPr>
        <w:spacing w:before="240" w:after="100" w:afterAutospacing="1" w:line="480" w:lineRule="auto"/>
        <w:rPr>
          <w:rFonts w:cs="Times New Roman"/>
        </w:rPr>
      </w:pPr>
      <w:r w:rsidRPr="005164A2">
        <w:rPr>
          <w:rFonts w:cs="Times New Roman"/>
        </w:rPr>
        <w:t>An interesting finding was the significant m</w:t>
      </w:r>
      <w:r>
        <w:rPr>
          <w:rFonts w:cs="Times New Roman"/>
        </w:rPr>
        <w:t>ai</w:t>
      </w:r>
      <w:r w:rsidRPr="005164A2">
        <w:rPr>
          <w:rFonts w:cs="Times New Roman"/>
        </w:rPr>
        <w:t xml:space="preserve">n effect of </w:t>
      </w:r>
      <w:r w:rsidRPr="006F2BB0">
        <w:rPr>
          <w:rFonts w:cs="Times New Roman"/>
          <w:i/>
        </w:rPr>
        <w:t>Color</w:t>
      </w:r>
      <w:r w:rsidRPr="005164A2">
        <w:rPr>
          <w:rFonts w:cs="Times New Roman"/>
        </w:rPr>
        <w:t xml:space="preserve"> on the BPD, </w:t>
      </w:r>
      <w:r>
        <w:rPr>
          <w:rFonts w:cs="Times New Roman"/>
        </w:rPr>
        <w:t xml:space="preserve">with </w:t>
      </w:r>
      <w:r w:rsidRPr="005164A2">
        <w:rPr>
          <w:rFonts w:cs="Times New Roman"/>
        </w:rPr>
        <w:t>PLRs to the green flash show</w:t>
      </w:r>
      <w:r>
        <w:rPr>
          <w:rFonts w:cs="Times New Roman"/>
        </w:rPr>
        <w:t>ing a</w:t>
      </w:r>
      <w:r w:rsidRPr="005164A2">
        <w:rPr>
          <w:rFonts w:cs="Times New Roman"/>
        </w:rPr>
        <w:t xml:space="preserve"> larger baseline </w:t>
      </w:r>
      <w:r>
        <w:rPr>
          <w:rFonts w:cs="Times New Roman"/>
        </w:rPr>
        <w:t xml:space="preserve">as compared to the </w:t>
      </w:r>
      <w:r w:rsidRPr="005164A2">
        <w:rPr>
          <w:rFonts w:cs="Times New Roman"/>
        </w:rPr>
        <w:t xml:space="preserve">red flash. Previous research indicates that the pre-stimuli pupil diameter (BPD) </w:t>
      </w:r>
      <w:r>
        <w:rPr>
          <w:rFonts w:cs="Times New Roman"/>
        </w:rPr>
        <w:t>is</w:t>
      </w:r>
      <w:r w:rsidRPr="005164A2">
        <w:rPr>
          <w:rFonts w:cs="Times New Roman"/>
        </w:rPr>
        <w:t xml:space="preserve"> independent from the wavelength (color) of the light stimuli </w:t>
      </w:r>
      <w:bookmarkStart w:id="0" w:name="_GoBack"/>
      <w:bookmarkEnd w:id="0"/>
      <w:r w:rsidRPr="005164A2">
        <w:rPr>
          <w:rFonts w:cs="Times New Roman"/>
        </w:rPr>
        <w:fldChar w:fldCharType="begin"/>
      </w:r>
      <w:r w:rsidR="00267F1D">
        <w:rPr>
          <w:rFonts w:cs="Times New Roman"/>
        </w:rPr>
        <w:instrText xml:space="preserve"> ADDIN EN.CITE &lt;EndNote&gt;&lt;Cite&gt;&lt;Author&gt;Ishikawa&lt;/Author&gt;&lt;Year&gt;2012&lt;/Year&gt;&lt;RecNum&gt;86&lt;/RecNum&gt;&lt;DisplayText&gt;[1]&lt;/DisplayText&gt;&lt;record&gt;&lt;rec-number&gt;86&lt;/rec-number&gt;&lt;foreign-keys&gt;&lt;key app="EN" db-id="5x5tatdz5d0sf6ex2snvfvxtfraszzadfdst" timestamp="1498504674"&gt;86&lt;/key&gt;&lt;/foreign-keys&gt;&lt;ref-type name="Journal Article"&gt;17&lt;/ref-type&gt;&lt;contributors&gt;&lt;authors&gt;&lt;author&gt;Ishikawa, Hitoshi&lt;/author&gt;&lt;author&gt;Onodera, Asami&lt;/author&gt;&lt;author&gt;Asakawa, Ken&lt;/author&gt;&lt;author&gt;Nakadomari, Satoshi&lt;/author&gt;&lt;author&gt;Shimizu, Kimiya&lt;/author&gt;&lt;/authors&gt;&lt;/contributors&gt;&lt;titles&gt;&lt;title&gt;Effects of selective-wavelength block filters on pupillary light reflex under red and blue light stimuli&lt;/title&gt;&lt;secondary-title&gt;Japanese journal of ophthalmology&lt;/secondary-title&gt;&lt;/titles&gt;&lt;periodical&gt;&lt;full-title&gt;Japanese journal of ophthalmology&lt;/full-title&gt;&lt;/periodical&gt;&lt;pages&gt;181-186&lt;/pages&gt;&lt;volume&gt;56&lt;/volume&gt;&lt;number&gt;2&lt;/number&gt;&lt;dates&gt;&lt;year&gt;2012&lt;/year&gt;&lt;/dates&gt;&lt;isbn&gt;0021-5155&lt;/isbn&gt;&lt;urls&gt;&lt;/urls&gt;&lt;/record&gt;&lt;/Cite&gt;&lt;/EndNote&gt;</w:instrText>
      </w:r>
      <w:r w:rsidRPr="005164A2">
        <w:rPr>
          <w:rFonts w:cs="Times New Roman"/>
        </w:rPr>
        <w:fldChar w:fldCharType="separate"/>
      </w:r>
      <w:r w:rsidR="00267F1D">
        <w:rPr>
          <w:rFonts w:cs="Times New Roman"/>
          <w:noProof/>
        </w:rPr>
        <w:t>[1]</w:t>
      </w:r>
      <w:r w:rsidRPr="005164A2">
        <w:rPr>
          <w:rFonts w:cs="Times New Roman"/>
        </w:rPr>
        <w:fldChar w:fldCharType="end"/>
      </w:r>
      <w:r w:rsidRPr="005164A2">
        <w:rPr>
          <w:rFonts w:cs="Times New Roman"/>
        </w:rPr>
        <w:t xml:space="preserve">. </w:t>
      </w:r>
      <w:r>
        <w:rPr>
          <w:rFonts w:cs="Times New Roman"/>
        </w:rPr>
        <w:t>T</w:t>
      </w:r>
      <w:r w:rsidRPr="005164A2">
        <w:rPr>
          <w:rFonts w:cs="Times New Roman"/>
        </w:rPr>
        <w:t xml:space="preserve">he larger baseline </w:t>
      </w:r>
      <w:r>
        <w:rPr>
          <w:rFonts w:cs="Times New Roman"/>
        </w:rPr>
        <w:t xml:space="preserve">pupil size for </w:t>
      </w:r>
      <w:r w:rsidRPr="005164A2">
        <w:rPr>
          <w:rFonts w:cs="Times New Roman"/>
        </w:rPr>
        <w:t xml:space="preserve">the PLR </w:t>
      </w:r>
      <w:r>
        <w:rPr>
          <w:rFonts w:cs="Times New Roman"/>
        </w:rPr>
        <w:t xml:space="preserve">evoked with the </w:t>
      </w:r>
      <w:r w:rsidRPr="005164A2">
        <w:rPr>
          <w:rFonts w:cs="Times New Roman"/>
        </w:rPr>
        <w:t>green flash</w:t>
      </w:r>
      <w:r>
        <w:rPr>
          <w:rFonts w:cs="Times New Roman"/>
        </w:rPr>
        <w:t>es</w:t>
      </w:r>
      <w:r w:rsidRPr="005164A2">
        <w:rPr>
          <w:rFonts w:cs="Times New Roman"/>
        </w:rPr>
        <w:t xml:space="preserve"> </w:t>
      </w:r>
      <w:r>
        <w:rPr>
          <w:rFonts w:cs="Times New Roman"/>
        </w:rPr>
        <w:t xml:space="preserve">may be related </w:t>
      </w:r>
      <w:r w:rsidRPr="005164A2">
        <w:rPr>
          <w:rFonts w:cs="Times New Roman"/>
        </w:rPr>
        <w:t xml:space="preserve">to </w:t>
      </w:r>
      <w:r>
        <w:rPr>
          <w:rFonts w:cs="Times New Roman"/>
        </w:rPr>
        <w:t>a</w:t>
      </w:r>
      <w:r w:rsidRPr="005164A2">
        <w:rPr>
          <w:rFonts w:cs="Times New Roman"/>
        </w:rPr>
        <w:t xml:space="preserve"> discomfort effect on the pupil</w:t>
      </w:r>
      <w:r>
        <w:rPr>
          <w:rFonts w:cs="Times New Roman"/>
        </w:rPr>
        <w:t xml:space="preserve"> size</w:t>
      </w:r>
      <w:r w:rsidRPr="005164A2">
        <w:rPr>
          <w:rFonts w:cs="Times New Roman"/>
        </w:rPr>
        <w:t xml:space="preserve">. </w:t>
      </w:r>
      <w:r>
        <w:rPr>
          <w:rFonts w:cs="Times New Roman"/>
        </w:rPr>
        <w:t>Note that the conditions were presented in blocks - s</w:t>
      </w:r>
      <w:r w:rsidRPr="005164A2">
        <w:rPr>
          <w:rFonts w:cs="Times New Roman"/>
        </w:rPr>
        <w:t xml:space="preserve">everal participants </w:t>
      </w:r>
      <w:r>
        <w:rPr>
          <w:rFonts w:cs="Times New Roman"/>
        </w:rPr>
        <w:t>indicated that</w:t>
      </w:r>
      <w:r w:rsidRPr="005164A2">
        <w:rPr>
          <w:rFonts w:cs="Times New Roman"/>
        </w:rPr>
        <w:t xml:space="preserve"> the green</w:t>
      </w:r>
      <w:r>
        <w:rPr>
          <w:rFonts w:cs="Times New Roman"/>
        </w:rPr>
        <w:t>-</w:t>
      </w:r>
      <w:r w:rsidRPr="005164A2">
        <w:rPr>
          <w:rFonts w:cs="Times New Roman"/>
        </w:rPr>
        <w:t>color</w:t>
      </w:r>
      <w:r>
        <w:rPr>
          <w:rFonts w:cs="Times New Roman"/>
        </w:rPr>
        <w:t>ed</w:t>
      </w:r>
      <w:r w:rsidRPr="005164A2">
        <w:rPr>
          <w:rFonts w:cs="Times New Roman"/>
        </w:rPr>
        <w:t xml:space="preserve"> </w:t>
      </w:r>
      <w:r>
        <w:rPr>
          <w:rFonts w:cs="Times New Roman"/>
        </w:rPr>
        <w:t>stimuli were relatively uncomfortable. This</w:t>
      </w:r>
      <w:r w:rsidRPr="005164A2">
        <w:rPr>
          <w:rFonts w:cs="Times New Roman"/>
        </w:rPr>
        <w:t xml:space="preserve"> was not the case for the red </w:t>
      </w:r>
      <w:r>
        <w:rPr>
          <w:rFonts w:cs="Times New Roman"/>
        </w:rPr>
        <w:t>stimuli</w:t>
      </w:r>
      <w:r w:rsidRPr="005164A2">
        <w:rPr>
          <w:rFonts w:cs="Times New Roman"/>
        </w:rPr>
        <w:t xml:space="preserve">. </w:t>
      </w:r>
      <w:r>
        <w:rPr>
          <w:rFonts w:cs="Times New Roman"/>
        </w:rPr>
        <w:t>An i</w:t>
      </w:r>
      <w:r w:rsidRPr="005164A2">
        <w:rPr>
          <w:rFonts w:cs="Times New Roman"/>
        </w:rPr>
        <w:t>ncreased pupil di</w:t>
      </w:r>
      <w:r>
        <w:rPr>
          <w:rFonts w:cs="Times New Roman"/>
        </w:rPr>
        <w:t>ameter</w:t>
      </w:r>
      <w:r w:rsidRPr="005164A2">
        <w:rPr>
          <w:rFonts w:cs="Times New Roman"/>
        </w:rPr>
        <w:t xml:space="preserve"> in response to </w:t>
      </w:r>
      <w:r>
        <w:rPr>
          <w:rFonts w:cs="Times New Roman"/>
        </w:rPr>
        <w:t>uncomfortable</w:t>
      </w:r>
      <w:r w:rsidRPr="005164A2">
        <w:rPr>
          <w:rFonts w:cs="Times New Roman"/>
        </w:rPr>
        <w:t xml:space="preserve"> or painful stimuli </w:t>
      </w:r>
      <w:r>
        <w:rPr>
          <w:rFonts w:cs="Times New Roman"/>
        </w:rPr>
        <w:t>is</w:t>
      </w:r>
      <w:r w:rsidRPr="005164A2">
        <w:rPr>
          <w:rFonts w:cs="Times New Roman"/>
        </w:rPr>
        <w:t xml:space="preserve"> well documented </w:t>
      </w:r>
      <w:r w:rsidRPr="005164A2">
        <w:rPr>
          <w:rFonts w:cs="Times New Roman"/>
        </w:rPr>
        <w:fldChar w:fldCharType="begin"/>
      </w:r>
      <w:r w:rsidR="00267F1D">
        <w:rPr>
          <w:rFonts w:cs="Times New Roman"/>
        </w:rPr>
        <w:instrText xml:space="preserve"> ADDIN EN.CITE &lt;EndNote&gt;&lt;Cite&gt;&lt;Author&gt;Ellermeier&lt;/Author&gt;&lt;Year&gt;1995&lt;/Year&gt;&lt;RecNum&gt;87&lt;/RecNum&gt;&lt;DisplayText&gt;[2, 3]&lt;/DisplayText&gt;&lt;record&gt;&lt;rec-number&gt;87&lt;/rec-number&gt;&lt;foreign-keys&gt;&lt;key app="EN" db-id="5x5tatdz5d0sf6ex2snvfvxtfraszzadfdst" timestamp="1498504796"&gt;87&lt;/key&gt;&lt;/foreign-keys&gt;&lt;ref-type name="Journal Article"&gt;17&lt;/ref-type&gt;&lt;contributors&gt;&lt;authors&gt;&lt;author&gt;Ellermeier, Wolfgang&lt;/author&gt;&lt;author&gt;Westphal, Wolfgang&lt;/author&gt;&lt;/authors&gt;&lt;/contributors&gt;&lt;titles&gt;&lt;title&gt;Gender differences in pain ratings and pupil reactions to painful pressure stimuli&lt;/title&gt;&lt;secondary-title&gt;Pain&lt;/secondary-title&gt;&lt;/titles&gt;&lt;periodical&gt;&lt;full-title&gt;Pain&lt;/full-title&gt;&lt;/periodical&gt;&lt;pages&gt;435-439&lt;/pages&gt;&lt;volume&gt;61&lt;/volume&gt;&lt;number&gt;3&lt;/number&gt;&lt;dates&gt;&lt;year&gt;1995&lt;/year&gt;&lt;/dates&gt;&lt;isbn&gt;0304-3959&lt;/isbn&gt;&lt;urls&gt;&lt;/urls&gt;&lt;/record&gt;&lt;/Cite&gt;&lt;Cite&gt;&lt;Author&gt;Höfle&lt;/Author&gt;&lt;Year&gt;2008&lt;/Year&gt;&lt;RecNum&gt;88&lt;/RecNum&gt;&lt;record&gt;&lt;rec-number&gt;88&lt;/rec-number&gt;&lt;foreign-keys&gt;&lt;key app="EN" db-id="5x5tatdz5d0sf6ex2snvfvxtfraszzadfdst" timestamp="1498504846"&gt;88&lt;/key&gt;&lt;/foreign-keys&gt;&lt;ref-type name="Journal Article"&gt;17&lt;/ref-type&gt;&lt;contributors&gt;&lt;authors&gt;&lt;author&gt;Höfle, Marion&lt;/author&gt;&lt;author&gt;Kenntner-Mabiala, Ramona&lt;/author&gt;&lt;author&gt;Pauli, Paul&lt;/author&gt;&lt;author&gt;Alpers, Georg W&lt;/author&gt;&lt;/authors&gt;&lt;/contributors&gt;&lt;titles&gt;&lt;title&gt;You can see pain in the eye: pupillometry as an index of pain intensity under different luminance conditions&lt;/title&gt;&lt;secondary-title&gt;International journal of psychophysiology&lt;/secondary-title&gt;&lt;/titles&gt;&lt;periodical&gt;&lt;full-title&gt;International Journal of Psychophysiology&lt;/full-title&gt;&lt;/periodical&gt;&lt;pages&gt;171-175&lt;/pages&gt;&lt;volume&gt;70&lt;/volume&gt;&lt;number&gt;3&lt;/number&gt;&lt;dates&gt;&lt;year&gt;2008&lt;/year&gt;&lt;/dates&gt;&lt;isbn&gt;0167-8760&lt;/isbn&gt;&lt;urls&gt;&lt;/urls&gt;&lt;/record&gt;&lt;/Cite&gt;&lt;/EndNote&gt;</w:instrText>
      </w:r>
      <w:r w:rsidRPr="005164A2">
        <w:rPr>
          <w:rFonts w:cs="Times New Roman"/>
        </w:rPr>
        <w:fldChar w:fldCharType="separate"/>
      </w:r>
      <w:r w:rsidR="00267F1D">
        <w:rPr>
          <w:rFonts w:cs="Times New Roman"/>
          <w:noProof/>
        </w:rPr>
        <w:t>[2, 3]</w:t>
      </w:r>
      <w:r w:rsidRPr="005164A2">
        <w:rPr>
          <w:rFonts w:cs="Times New Roman"/>
        </w:rPr>
        <w:fldChar w:fldCharType="end"/>
      </w:r>
      <w:r w:rsidRPr="005164A2">
        <w:rPr>
          <w:rFonts w:cs="Times New Roman"/>
        </w:rPr>
        <w:t xml:space="preserve">. Presenting stimuli from </w:t>
      </w:r>
      <w:r>
        <w:rPr>
          <w:rFonts w:cs="Times New Roman"/>
        </w:rPr>
        <w:t xml:space="preserve">a </w:t>
      </w:r>
      <w:r w:rsidRPr="005164A2">
        <w:rPr>
          <w:rFonts w:cs="Times New Roman"/>
        </w:rPr>
        <w:t xml:space="preserve">light source with </w:t>
      </w:r>
      <w:r>
        <w:rPr>
          <w:rFonts w:cs="Times New Roman"/>
        </w:rPr>
        <w:t xml:space="preserve">a </w:t>
      </w:r>
      <w:r w:rsidRPr="005164A2">
        <w:rPr>
          <w:rFonts w:cs="Times New Roman"/>
        </w:rPr>
        <w:t>wide</w:t>
      </w:r>
      <w:r>
        <w:rPr>
          <w:rFonts w:cs="Times New Roman"/>
        </w:rPr>
        <w:t xml:space="preserve"> </w:t>
      </w:r>
      <w:r w:rsidRPr="005164A2">
        <w:rPr>
          <w:rFonts w:cs="Times New Roman"/>
        </w:rPr>
        <w:t>visual</w:t>
      </w:r>
      <w:r>
        <w:rPr>
          <w:rFonts w:cs="Times New Roman"/>
        </w:rPr>
        <w:t xml:space="preserve"> </w:t>
      </w:r>
      <w:r w:rsidRPr="005164A2">
        <w:rPr>
          <w:rFonts w:cs="Times New Roman"/>
        </w:rPr>
        <w:t>field (</w:t>
      </w:r>
      <w:r>
        <w:rPr>
          <w:rFonts w:cs="Times New Roman"/>
        </w:rPr>
        <w:t xml:space="preserve">e.g. a </w:t>
      </w:r>
      <w:r w:rsidRPr="005164A2">
        <w:rPr>
          <w:rFonts w:cs="Times New Roman"/>
        </w:rPr>
        <w:t>computer screen) might increase the discomfort caused by certain wavelength</w:t>
      </w:r>
      <w:r>
        <w:rPr>
          <w:rFonts w:cs="Times New Roman"/>
        </w:rPr>
        <w:t>s</w:t>
      </w:r>
      <w:r w:rsidRPr="005164A2">
        <w:rPr>
          <w:rFonts w:cs="Times New Roman"/>
        </w:rPr>
        <w:t>, and hence increase the baseline significantly. This</w:t>
      </w:r>
      <w:r>
        <w:rPr>
          <w:rFonts w:cs="Times New Roman"/>
        </w:rPr>
        <w:t xml:space="preserve"> has, however, never been</w:t>
      </w:r>
      <w:r w:rsidRPr="005164A2">
        <w:rPr>
          <w:rFonts w:cs="Times New Roman"/>
        </w:rPr>
        <w:t xml:space="preserve"> </w:t>
      </w:r>
      <w:r>
        <w:rPr>
          <w:rFonts w:cs="Times New Roman"/>
        </w:rPr>
        <w:t xml:space="preserve">tested formally as </w:t>
      </w:r>
      <w:r w:rsidRPr="005164A2">
        <w:rPr>
          <w:rFonts w:cs="Times New Roman"/>
        </w:rPr>
        <w:t xml:space="preserve">most </w:t>
      </w:r>
      <w:r>
        <w:rPr>
          <w:rFonts w:cs="Times New Roman"/>
        </w:rPr>
        <w:t xml:space="preserve">studies used </w:t>
      </w:r>
      <w:r w:rsidRPr="005164A2">
        <w:rPr>
          <w:rFonts w:cs="Times New Roman"/>
        </w:rPr>
        <w:t>narrow-field light stimuli (LED) and different light stimuli</w:t>
      </w:r>
      <w:r>
        <w:rPr>
          <w:rFonts w:cs="Times New Roman"/>
        </w:rPr>
        <w:t xml:space="preserve"> </w:t>
      </w:r>
      <w:r>
        <w:rPr>
          <w:rFonts w:cs="Times New Roman"/>
        </w:rPr>
        <w:fldChar w:fldCharType="begin"/>
      </w:r>
      <w:r w:rsidR="00267F1D">
        <w:rPr>
          <w:rFonts w:cs="Times New Roman"/>
        </w:rPr>
        <w:instrText xml:space="preserve"> ADDIN EN.CITE &lt;EndNote&gt;&lt;Cite&gt;&lt;Author&gt;Steinhauer&lt;/Author&gt;&lt;Year&gt;2000&lt;/Year&gt;&lt;RecNum&gt;84&lt;/RecNum&gt;&lt;DisplayText&gt;[4, 5]&lt;/DisplayText&gt;&lt;record&gt;&lt;rec-number&gt;84&lt;/rec-number&gt;&lt;foreign-keys&gt;&lt;key app="EN" db-id="5x5tatdz5d0sf6ex2snvfvxtfraszzadfdst" timestamp="1498503899"&gt;84&lt;/key&gt;&lt;/foreign-keys&gt;&lt;ref-type name="Journal Article"&gt;17&lt;/ref-type&gt;&lt;contributors&gt;&lt;authors&gt;&lt;author&gt;Steinhauer, Stuart R&lt;/author&gt;&lt;author&gt;Condray, Ruth&lt;/author&gt;&lt;author&gt;Kasparek, Annette&lt;/author&gt;&lt;/authors&gt;&lt;/contributors&gt;&lt;titles&gt;&lt;title&gt;Cognitive modulation of midbrain function: task-induced reduction of the pupillary light reflex&lt;/title&gt;&lt;secondary-title&gt;International Journal of Psychophysiology&lt;/secondary-title&gt;&lt;/titles&gt;&lt;periodical&gt;&lt;full-title&gt;International Journal of Psychophysiology&lt;/full-title&gt;&lt;/periodical&gt;&lt;pages&gt;21-30&lt;/pages&gt;&lt;volume&gt;39&lt;/volume&gt;&lt;number&gt;1&lt;/number&gt;&lt;dates&gt;&lt;year&gt;2000&lt;/year&gt;&lt;/dates&gt;&lt;isbn&gt;0167-8760&lt;/isbn&gt;&lt;urls&gt;&lt;/urls&gt;&lt;/record&gt;&lt;/Cite&gt;&lt;Cite&gt;&lt;Author&gt;Bitsios&lt;/Author&gt;&lt;Year&gt;1999&lt;/Year&gt;&lt;RecNum&gt;99&lt;/RecNum&gt;&lt;record&gt;&lt;rec-number&gt;99&lt;/rec-number&gt;&lt;foreign-keys&gt;&lt;key app="EN" db-id="5x5tatdz5d0sf6ex2snvfvxtfraszzadfdst" timestamp="1499709718"&gt;99&lt;/key&gt;&lt;/foreign-keys&gt;&lt;ref-type name="Journal Article"&gt;17&lt;/ref-type&gt;&lt;contributors&gt;&lt;authors&gt;&lt;author&gt;Bitsios, P&lt;/author&gt;&lt;author&gt;Szabadi, E&lt;/author&gt;&lt;author&gt;Bradshaw, CM&lt;/author&gt;&lt;/authors&gt;&lt;/contributors&gt;&lt;titles&gt;&lt;title&gt;Comparison of the effects of venlafaxine, paroxetine and desipramine on the pupillary light reflex in man&lt;/title&gt;&lt;secondary-title&gt;Psychopharmacology&lt;/secondary-title&gt;&lt;/titles&gt;&lt;periodical&gt;&lt;full-title&gt;Psychopharmacology&lt;/full-title&gt;&lt;/periodical&gt;&lt;pages&gt;286-292&lt;/pages&gt;&lt;volume&gt;143&lt;/volume&gt;&lt;number&gt;3&lt;/number&gt;&lt;dates&gt;&lt;year&gt;1999&lt;/year&gt;&lt;/dates&gt;&lt;isbn&gt;0033-3158&lt;/isbn&gt;&lt;urls&gt;&lt;/urls&gt;&lt;/record&gt;&lt;/Cite&gt;&lt;/EndNote&gt;</w:instrText>
      </w:r>
      <w:r>
        <w:rPr>
          <w:rFonts w:cs="Times New Roman"/>
        </w:rPr>
        <w:fldChar w:fldCharType="separate"/>
      </w:r>
      <w:r w:rsidR="00267F1D">
        <w:rPr>
          <w:rFonts w:cs="Times New Roman"/>
          <w:noProof/>
        </w:rPr>
        <w:t>[4, 5]</w:t>
      </w:r>
      <w:r>
        <w:rPr>
          <w:rFonts w:cs="Times New Roman"/>
        </w:rPr>
        <w:fldChar w:fldCharType="end"/>
      </w:r>
      <w:r>
        <w:rPr>
          <w:rFonts w:cs="Times New Roman"/>
        </w:rPr>
        <w:t>.</w:t>
      </w:r>
      <w:r w:rsidRPr="005164A2">
        <w:rPr>
          <w:rFonts w:cs="Times New Roman"/>
        </w:rPr>
        <w:t xml:space="preserve"> </w:t>
      </w:r>
    </w:p>
    <w:p w14:paraId="0144DA38" w14:textId="1ABE8A07" w:rsidR="00CE67B1" w:rsidRPr="005C700D" w:rsidRDefault="00CE67B1" w:rsidP="00CE67B1">
      <w:pPr>
        <w:spacing w:before="240" w:after="100" w:afterAutospacing="1" w:line="480" w:lineRule="auto"/>
        <w:rPr>
          <w:rFonts w:cs="Times New Roman"/>
        </w:rPr>
      </w:pPr>
      <w:r w:rsidRPr="007604F9">
        <w:rPr>
          <w:rFonts w:cs="Times New Roman"/>
        </w:rPr>
        <w:t xml:space="preserve">When inspecting the averaged PLRs in </w:t>
      </w:r>
      <w:r w:rsidR="00397802">
        <w:rPr>
          <w:rFonts w:cs="Times New Roman" w:hint="eastAsia"/>
        </w:rPr>
        <w:t xml:space="preserve">S1 </w:t>
      </w:r>
      <w:r>
        <w:rPr>
          <w:rFonts w:cs="Times New Roman"/>
        </w:rPr>
        <w:t>Fig</w:t>
      </w:r>
      <w:r w:rsidRPr="007604F9">
        <w:rPr>
          <w:rFonts w:cs="Times New Roman"/>
        </w:rPr>
        <w:t>, we found that a pre-constriction occurred about 400 ms after the onset of the warning sign</w:t>
      </w:r>
      <w:r>
        <w:rPr>
          <w:rFonts w:cs="Times New Roman"/>
        </w:rPr>
        <w:t>al, and was evident</w:t>
      </w:r>
      <w:r w:rsidRPr="007604F9">
        <w:rPr>
          <w:rFonts w:cs="Times New Roman"/>
        </w:rPr>
        <w:t xml:space="preserve"> until the warning sign</w:t>
      </w:r>
      <w:r>
        <w:rPr>
          <w:rFonts w:cs="Times New Roman"/>
        </w:rPr>
        <w:t xml:space="preserve">al </w:t>
      </w:r>
      <w:r w:rsidRPr="007604F9">
        <w:rPr>
          <w:rFonts w:cs="Times New Roman"/>
        </w:rPr>
        <w:t xml:space="preserve">offset / flash onset. We suggest that this effect may reflect </w:t>
      </w:r>
      <w:r>
        <w:rPr>
          <w:rFonts w:cs="Times New Roman"/>
        </w:rPr>
        <w:t xml:space="preserve">that participants anticipated the </w:t>
      </w:r>
      <w:r w:rsidRPr="007604F9">
        <w:rPr>
          <w:rFonts w:cs="Times New Roman"/>
        </w:rPr>
        <w:t xml:space="preserve">flash. </w:t>
      </w:r>
      <w:r>
        <w:rPr>
          <w:rFonts w:cs="Times New Roman"/>
        </w:rPr>
        <w:t xml:space="preserve">A </w:t>
      </w:r>
      <w:r w:rsidRPr="007604F9">
        <w:rPr>
          <w:rFonts w:cs="Times New Roman"/>
        </w:rPr>
        <w:t xml:space="preserve">similar pattern of pupil constriction </w:t>
      </w:r>
      <w:r>
        <w:rPr>
          <w:rFonts w:cs="Times New Roman"/>
        </w:rPr>
        <w:t>has been</w:t>
      </w:r>
      <w:r w:rsidRPr="007604F9">
        <w:rPr>
          <w:rFonts w:cs="Times New Roman"/>
        </w:rPr>
        <w:t xml:space="preserve"> observed during the first few seconds of picture viewing </w:t>
      </w:r>
      <w:r>
        <w:rPr>
          <w:rFonts w:cs="Times New Roman"/>
        </w:rPr>
        <w:fldChar w:fldCharType="begin"/>
      </w:r>
      <w:r w:rsidR="00267F1D">
        <w:rPr>
          <w:rFonts w:cs="Times New Roman"/>
        </w:rPr>
        <w:instrText xml:space="preserve"> ADDIN EN.CITE &lt;EndNote&gt;&lt;Cite&gt;&lt;Author&gt;Naber&lt;/Author&gt;&lt;Year&gt;2013&lt;/Year&gt;&lt;RecNum&gt;100&lt;/RecNum&gt;&lt;DisplayText&gt;[6, 7]&lt;/DisplayText&gt;&lt;record&gt;&lt;rec-number&gt;100&lt;/rec-number&gt;&lt;foreign-keys&gt;&lt;key app="EN" db-id="5x5tatdz5d0sf6ex2snvfvxtfraszzadfdst" timestamp="1499709766"&gt;100&lt;/key&gt;&lt;/foreign-keys&gt;&lt;ref-type name="Journal Article"&gt;17&lt;/ref-type&gt;&lt;contributors&gt;&lt;authors&gt;&lt;author&gt;Naber, Marnix&lt;/author&gt;&lt;author&gt;Nakayama, Ken&lt;/author&gt;&lt;/authors&gt;&lt;/contributors&gt;&lt;titles&gt;&lt;title&gt;Pupil responses to high-level image content&lt;/title&gt;&lt;secondary-title&gt;Journal of vision&lt;/secondary-title&gt;&lt;/titles&gt;&lt;periodical&gt;&lt;full-title&gt;Journal of vision&lt;/full-title&gt;&lt;/periodical&gt;&lt;pages&gt;7-7&lt;/pages&gt;&lt;volume&gt;13&lt;/volume&gt;&lt;number&gt;6&lt;/number&gt;&lt;dates&gt;&lt;year&gt;2013&lt;/year&gt;&lt;/dates&gt;&lt;isbn&gt;1534-7362&lt;/isbn&gt;&lt;urls&gt;&lt;/urls&gt;&lt;/record&gt;&lt;/Cite&gt;&lt;Cite&gt;&lt;Author&gt;Libby&lt;/Author&gt;&lt;Year&gt;1973&lt;/Year&gt;&lt;RecNum&gt;101&lt;/RecNum&gt;&lt;record&gt;&lt;rec-number&gt;101&lt;/rec-number&gt;&lt;foreign-keys&gt;&lt;key app="EN" db-id="5x5tatdz5d0sf6ex2snvfvxtfraszzadfdst" timestamp="1499709838"&gt;101&lt;/key&gt;&lt;/foreign-keys&gt;&lt;ref-type name="Journal Article"&gt;17&lt;/ref-type&gt;&lt;contributors&gt;&lt;authors&gt;&lt;author&gt;Libby, William L&lt;/author&gt;&lt;author&gt;Lacey, Beatrice C&lt;/author&gt;&lt;author&gt;Lacey, John I&lt;/author&gt;&lt;/authors&gt;&lt;/contributors&gt;&lt;titles&gt;&lt;title&gt;Pupillary and cardiac activity during visual attention&lt;/title&gt;&lt;secondary-title&gt;Psychophysiology&lt;/secondary-title&gt;&lt;/titles&gt;&lt;periodical&gt;&lt;full-title&gt;Psychophysiology&lt;/full-title&gt;&lt;/periodical&gt;&lt;pages&gt;270-294&lt;/pages&gt;&lt;volume&gt;10&lt;/volume&gt;&lt;number&gt;3&lt;/number&gt;&lt;dates&gt;&lt;year&gt;1973&lt;/year&gt;&lt;/dates&gt;&lt;isbn&gt;1469-8986&lt;/isbn&gt;&lt;urls&gt;&lt;/urls&gt;&lt;/record&gt;&lt;/Cite&gt;&lt;/EndNote&gt;</w:instrText>
      </w:r>
      <w:r>
        <w:rPr>
          <w:rFonts w:cs="Times New Roman"/>
        </w:rPr>
        <w:fldChar w:fldCharType="separate"/>
      </w:r>
      <w:r w:rsidR="00267F1D">
        <w:rPr>
          <w:rFonts w:cs="Times New Roman"/>
          <w:noProof/>
        </w:rPr>
        <w:t>[6, 7]</w:t>
      </w:r>
      <w:r>
        <w:rPr>
          <w:rFonts w:cs="Times New Roman"/>
        </w:rPr>
        <w:fldChar w:fldCharType="end"/>
      </w:r>
      <w:r>
        <w:rPr>
          <w:rFonts w:cs="Times New Roman"/>
        </w:rPr>
        <w:t xml:space="preserve">. Also, the pupil size </w:t>
      </w:r>
      <w:r>
        <w:rPr>
          <w:rFonts w:cs="Times New Roman" w:hint="eastAsia"/>
        </w:rPr>
        <w:t>decreases</w:t>
      </w:r>
      <w:r>
        <w:rPr>
          <w:rFonts w:cs="Times New Roman"/>
        </w:rPr>
        <w:t xml:space="preserve"> when participants anticipate a relatively bright stimulus, even when the stimulus intensity is kept constant </w:t>
      </w:r>
      <w:r>
        <w:rPr>
          <w:rFonts w:cs="Times New Roman"/>
        </w:rPr>
        <w:fldChar w:fldCharType="begin"/>
      </w:r>
      <w:r w:rsidR="00267F1D">
        <w:rPr>
          <w:rFonts w:cs="Times New Roman"/>
        </w:rPr>
        <w:instrText xml:space="preserve"> ADDIN EN.CITE &lt;EndNote&gt;&lt;Cite&gt;&lt;Author&gt;Naber&lt;/Author&gt;&lt;Year&gt;2013&lt;/Year&gt;&lt;RecNum&gt;100&lt;/RecNum&gt;&lt;DisplayText&gt;[6]&lt;/DisplayText&gt;&lt;record&gt;&lt;rec-number&gt;100&lt;/rec-number&gt;&lt;foreign-keys&gt;&lt;key app="EN" db-id="5x5tatdz5d0sf6ex2snvfvxtfraszzadfdst" timestamp="1499709766"&gt;100&lt;/key&gt;&lt;/foreign-keys&gt;&lt;ref-type name="Journal Article"&gt;17&lt;/ref-type&gt;&lt;contributors&gt;&lt;authors&gt;&lt;author&gt;Naber, Marnix&lt;/author&gt;&lt;author&gt;Nakayama, Ken&lt;/author&gt;&lt;/authors&gt;&lt;/contributors&gt;&lt;titles&gt;&lt;title&gt;Pupil responses to high-level image content&lt;/title&gt;&lt;secondary-title&gt;Journal of vision&lt;/secondary-title&gt;&lt;/titles&gt;&lt;periodical&gt;&lt;full-title&gt;Journal of vision&lt;/full-title&gt;&lt;/periodical&gt;&lt;pages&gt;7-7&lt;/pages&gt;&lt;volume&gt;13&lt;/volume&gt;&lt;number&gt;6&lt;/number&gt;&lt;dates&gt;&lt;year&gt;2013&lt;/year&gt;&lt;/dates&gt;&lt;isbn&gt;1534-7362&lt;/isbn&gt;&lt;urls&gt;&lt;/urls&gt;&lt;/record&gt;&lt;/Cite&gt;&lt;/EndNote&gt;</w:instrText>
      </w:r>
      <w:r>
        <w:rPr>
          <w:rFonts w:cs="Times New Roman"/>
        </w:rPr>
        <w:fldChar w:fldCharType="separate"/>
      </w:r>
      <w:r w:rsidR="00267F1D">
        <w:rPr>
          <w:rFonts w:cs="Times New Roman"/>
          <w:noProof/>
        </w:rPr>
        <w:t>[6]</w:t>
      </w:r>
      <w:r>
        <w:rPr>
          <w:rFonts w:cs="Times New Roman"/>
        </w:rPr>
        <w:fldChar w:fldCharType="end"/>
      </w:r>
      <w:r>
        <w:rPr>
          <w:rFonts w:cs="Times New Roman" w:hint="eastAsia"/>
        </w:rPr>
        <w:t>.</w:t>
      </w:r>
      <w:r>
        <w:rPr>
          <w:rFonts w:cs="Times New Roman"/>
        </w:rPr>
        <w:t xml:space="preserve"> Similarly, t</w:t>
      </w:r>
      <w:r w:rsidRPr="007604F9">
        <w:rPr>
          <w:rFonts w:cs="Times New Roman"/>
        </w:rPr>
        <w:t xml:space="preserve">he </w:t>
      </w:r>
      <w:r>
        <w:rPr>
          <w:rFonts w:cs="Times New Roman"/>
        </w:rPr>
        <w:t xml:space="preserve">baseline pupil size and therefore the </w:t>
      </w:r>
      <w:r w:rsidRPr="007604F9">
        <w:rPr>
          <w:rFonts w:cs="Times New Roman"/>
        </w:rPr>
        <w:t>PLRs observed in the</w:t>
      </w:r>
      <w:r>
        <w:rPr>
          <w:rFonts w:cs="Times New Roman"/>
        </w:rPr>
        <w:t xml:space="preserve"> current</w:t>
      </w:r>
      <w:r w:rsidRPr="007604F9">
        <w:rPr>
          <w:rFonts w:cs="Times New Roman"/>
        </w:rPr>
        <w:t xml:space="preserve"> </w:t>
      </w:r>
      <w:r>
        <w:rPr>
          <w:rFonts w:cs="Times New Roman"/>
        </w:rPr>
        <w:t xml:space="preserve">pilot study </w:t>
      </w:r>
      <w:r w:rsidRPr="007604F9">
        <w:rPr>
          <w:rFonts w:cs="Times New Roman"/>
        </w:rPr>
        <w:t xml:space="preserve">may have been </w:t>
      </w:r>
      <w:r>
        <w:rPr>
          <w:rFonts w:cs="Times New Roman"/>
        </w:rPr>
        <w:t xml:space="preserve">affected </w:t>
      </w:r>
      <w:r w:rsidRPr="007604F9">
        <w:rPr>
          <w:rFonts w:cs="Times New Roman"/>
        </w:rPr>
        <w:t xml:space="preserve">by this anticipatory response, which may have subsequently reduced the sensitivity of the paradigm to </w:t>
      </w:r>
      <w:r>
        <w:rPr>
          <w:rFonts w:cs="Times New Roman"/>
        </w:rPr>
        <w:t xml:space="preserve">measure </w:t>
      </w:r>
      <w:r w:rsidRPr="007604F9">
        <w:rPr>
          <w:rFonts w:cs="Times New Roman"/>
        </w:rPr>
        <w:t>PNS activation</w:t>
      </w:r>
      <w:r>
        <w:rPr>
          <w:rFonts w:cs="Times New Roman"/>
        </w:rPr>
        <w:t xml:space="preserve">. </w:t>
      </w:r>
      <w:r w:rsidRPr="007604F9">
        <w:rPr>
          <w:rFonts w:cs="Times New Roman"/>
        </w:rPr>
        <w:t xml:space="preserve">Therefore, we </w:t>
      </w:r>
      <w:r>
        <w:rPr>
          <w:rFonts w:cs="Times New Roman"/>
        </w:rPr>
        <w:t xml:space="preserve">decided to </w:t>
      </w:r>
      <w:r w:rsidRPr="007604F9">
        <w:rPr>
          <w:rFonts w:cs="Times New Roman"/>
        </w:rPr>
        <w:t>refine our PLR assessment by removing the warning sign</w:t>
      </w:r>
      <w:r>
        <w:rPr>
          <w:rFonts w:cs="Times New Roman"/>
        </w:rPr>
        <w:t>al</w:t>
      </w:r>
      <w:r w:rsidRPr="007604F9">
        <w:rPr>
          <w:rFonts w:cs="Times New Roman"/>
        </w:rPr>
        <w:t xml:space="preserve"> </w:t>
      </w:r>
      <w:r>
        <w:rPr>
          <w:rFonts w:cs="Times New Roman"/>
        </w:rPr>
        <w:t>in the later experimental test.</w:t>
      </w:r>
      <w:r w:rsidRPr="007604F9">
        <w:rPr>
          <w:rFonts w:cs="Times New Roman"/>
        </w:rPr>
        <w:t xml:space="preserve"> </w:t>
      </w:r>
      <w:r>
        <w:rPr>
          <w:rFonts w:cs="Times New Roman"/>
        </w:rPr>
        <w:t>The results of the current pilot study indicated that red stimuli are preferable to use as compared to green stimuli. Furthermore</w:t>
      </w:r>
      <w:r>
        <w:t xml:space="preserve">, the PLRs evoked by the red stimuli with low intensity and short duration showed good data quality. It resulted in the smallest constriction amplitude, which provides a relatively large dynamic range for between-subject and/or between-condition variations. For example, </w:t>
      </w:r>
      <w:r>
        <w:rPr>
          <w:rFonts w:hint="eastAsia"/>
        </w:rPr>
        <w:t xml:space="preserve">the floor effect of the pupil light reflex becomes </w:t>
      </w:r>
      <w:r>
        <w:t>observable</w:t>
      </w:r>
      <w:r>
        <w:rPr>
          <w:rFonts w:hint="eastAsia"/>
        </w:rPr>
        <w:t xml:space="preserve"> when the pupil </w:t>
      </w:r>
      <w:r w:rsidRPr="00643CBB">
        <w:rPr>
          <w:rFonts w:hint="eastAsia"/>
        </w:rPr>
        <w:t>diameter is smaller than 4</w:t>
      </w:r>
      <w:r w:rsidRPr="00643CBB">
        <w:t xml:space="preserve"> mm </w:t>
      </w:r>
      <w:r w:rsidRPr="00643CBB">
        <w:fldChar w:fldCharType="begin"/>
      </w:r>
      <w:r w:rsidR="00267F1D">
        <w:instrText xml:space="preserve"> ADDIN EN.CITE &lt;EndNote&gt;&lt;Cite&gt;&lt;Author&gt;Loewenfeld&lt;/Author&gt;&lt;Year&gt;1971&lt;/Year&gt;&lt;RecNum&gt;128&lt;/RecNum&gt;&lt;DisplayText&gt;[8]&lt;/DisplayText&gt;&lt;record&gt;&lt;rec-number&gt;128&lt;/rec-number&gt;&lt;foreign-keys&gt;&lt;key app="EN" db-id="5x5tatdz5d0sf6ex2snvfvxtfraszzadfdst" timestamp="1507814785"&gt;128&lt;/key&gt;&lt;/foreign-keys&gt;&lt;ref-type name="Journal Article"&gt;17&lt;/ref-type&gt;&lt;contributors&gt;&lt;authors&gt;&lt;author&gt;Loewenfeld, Irene E&lt;/author&gt;&lt;author&gt;Newsome, David A&lt;/author&gt;&lt;/authors&gt;&lt;/contributors&gt;&lt;titles&gt;&lt;title&gt;Iris mechanics I. Influence of pupil size on dynamics of pupillary movements&lt;/title&gt;&lt;secondary-title&gt;American journal of ophthalmology&lt;/secondary-title&gt;&lt;/titles&gt;&lt;periodical&gt;&lt;full-title&gt;American journal of ophthalmology&lt;/full-title&gt;&lt;/periodical&gt;&lt;pages&gt;347-362&lt;/pages&gt;&lt;volume&gt;71&lt;/volume&gt;&lt;number&gt;1&lt;/number&gt;&lt;dates&gt;&lt;year&gt;1971&lt;/year&gt;&lt;/dates&gt;&lt;isbn&gt;0002-9394&lt;/isbn&gt;&lt;urls&gt;&lt;/urls&gt;&lt;/record&gt;&lt;/Cite&gt;&lt;/EndNote&gt;</w:instrText>
      </w:r>
      <w:r w:rsidRPr="00643CBB">
        <w:fldChar w:fldCharType="separate"/>
      </w:r>
      <w:r w:rsidR="00267F1D">
        <w:rPr>
          <w:noProof/>
        </w:rPr>
        <w:t>[8]</w:t>
      </w:r>
      <w:r w:rsidRPr="00643CBB">
        <w:fldChar w:fldCharType="end"/>
      </w:r>
      <w:r w:rsidRPr="00643CBB">
        <w:rPr>
          <w:rFonts w:hint="eastAsia"/>
        </w:rPr>
        <w:t>,</w:t>
      </w:r>
      <w:r>
        <w:t xml:space="preserve"> this may reduce the sensitivity of the method to detect the effect of the factors under study. Therefore, the RL200 stimuli were presented in the main experiment, using a paradigm similar to that of the pilot study, but without the warning sign. </w:t>
      </w:r>
    </w:p>
    <w:p w14:paraId="65280AC5" w14:textId="77777777" w:rsidR="00267F1D" w:rsidRDefault="00267F1D"/>
    <w:p w14:paraId="35A361FF" w14:textId="77777777" w:rsidR="00267F1D" w:rsidRDefault="00267F1D"/>
    <w:p w14:paraId="5910A260" w14:textId="77777777" w:rsidR="00267F1D" w:rsidRPr="00267F1D" w:rsidRDefault="00267F1D" w:rsidP="00267F1D">
      <w:pPr>
        <w:pStyle w:val="EndNoteBibliography"/>
        <w:spacing w:after="0"/>
        <w:ind w:left="720" w:hanging="720"/>
        <w:rPr>
          <w:noProof/>
        </w:rPr>
      </w:pPr>
      <w:r>
        <w:fldChar w:fldCharType="begin"/>
      </w:r>
      <w:r>
        <w:instrText xml:space="preserve"> ADDIN EN.REFLIST </w:instrText>
      </w:r>
      <w:r>
        <w:fldChar w:fldCharType="separate"/>
      </w:r>
      <w:r w:rsidRPr="00267F1D">
        <w:rPr>
          <w:noProof/>
        </w:rPr>
        <w:t>1. Ishikawa H, Onodera A, Asakawa K, Nakadomari S, Shimizu K (2012) Effects of selective-wavelength block filters on pupillary light reflex under red and blue light stimuli. Japanese journal of ophthalmology 56: 181-186.</w:t>
      </w:r>
    </w:p>
    <w:p w14:paraId="7E8C5287" w14:textId="77777777" w:rsidR="00267F1D" w:rsidRPr="00267F1D" w:rsidRDefault="00267F1D" w:rsidP="00267F1D">
      <w:pPr>
        <w:pStyle w:val="EndNoteBibliography"/>
        <w:spacing w:after="0"/>
        <w:ind w:left="720" w:hanging="720"/>
        <w:rPr>
          <w:noProof/>
        </w:rPr>
      </w:pPr>
      <w:r w:rsidRPr="00267F1D">
        <w:rPr>
          <w:noProof/>
        </w:rPr>
        <w:t>2. Ellermeier W, Westphal W (1995) Gender differences in pain ratings and pupil reactions to painful pressure stimuli. Pain 61: 435-439.</w:t>
      </w:r>
    </w:p>
    <w:p w14:paraId="2A35E150" w14:textId="77777777" w:rsidR="00267F1D" w:rsidRPr="00267F1D" w:rsidRDefault="00267F1D" w:rsidP="00267F1D">
      <w:pPr>
        <w:pStyle w:val="EndNoteBibliography"/>
        <w:spacing w:after="0"/>
        <w:ind w:left="720" w:hanging="720"/>
        <w:rPr>
          <w:noProof/>
        </w:rPr>
      </w:pPr>
      <w:r w:rsidRPr="00267F1D">
        <w:rPr>
          <w:noProof/>
        </w:rPr>
        <w:t>3. Höfle M, Kenntner-Mabiala R, Pauli P, Alpers GW (2008) You can see pain in the eye: pupillometry as an index of pain intensity under different luminance conditions. International journal of psychophysiology 70: 171-175.</w:t>
      </w:r>
    </w:p>
    <w:p w14:paraId="73B42362" w14:textId="77777777" w:rsidR="00267F1D" w:rsidRPr="00267F1D" w:rsidRDefault="00267F1D" w:rsidP="00267F1D">
      <w:pPr>
        <w:pStyle w:val="EndNoteBibliography"/>
        <w:spacing w:after="0"/>
        <w:ind w:left="720" w:hanging="720"/>
        <w:rPr>
          <w:noProof/>
        </w:rPr>
      </w:pPr>
      <w:r w:rsidRPr="00267F1D">
        <w:rPr>
          <w:noProof/>
        </w:rPr>
        <w:t>4. Steinhauer SR, Condray R, Kasparek A (2000) Cognitive modulation of midbrain function: task-induced reduction of the pupillary light reflex. International Journal of Psychophysiology 39: 21-30.</w:t>
      </w:r>
    </w:p>
    <w:p w14:paraId="04A2D157" w14:textId="77777777" w:rsidR="00267F1D" w:rsidRPr="00267F1D" w:rsidRDefault="00267F1D" w:rsidP="00267F1D">
      <w:pPr>
        <w:pStyle w:val="EndNoteBibliography"/>
        <w:spacing w:after="0"/>
        <w:ind w:left="720" w:hanging="720"/>
        <w:rPr>
          <w:noProof/>
        </w:rPr>
      </w:pPr>
      <w:r w:rsidRPr="00267F1D">
        <w:rPr>
          <w:noProof/>
        </w:rPr>
        <w:t>5. Bitsios P, Szabadi E, Bradshaw C (1999) Comparison of the effects of venlafaxine, paroxetine and desipramine on the pupillary light reflex in man. Psychopharmacology 143: 286-292.</w:t>
      </w:r>
    </w:p>
    <w:p w14:paraId="7932665D" w14:textId="77777777" w:rsidR="00267F1D" w:rsidRPr="00267F1D" w:rsidRDefault="00267F1D" w:rsidP="00267F1D">
      <w:pPr>
        <w:pStyle w:val="EndNoteBibliography"/>
        <w:spacing w:after="0"/>
        <w:ind w:left="720" w:hanging="720"/>
        <w:rPr>
          <w:noProof/>
        </w:rPr>
      </w:pPr>
      <w:r w:rsidRPr="00267F1D">
        <w:rPr>
          <w:noProof/>
        </w:rPr>
        <w:t>6. Naber M, Nakayama K (2013) Pupil responses to high-level image content. Journal of vision 13: 7-7.</w:t>
      </w:r>
    </w:p>
    <w:p w14:paraId="6764B1F9" w14:textId="77777777" w:rsidR="00267F1D" w:rsidRPr="00267F1D" w:rsidRDefault="00267F1D" w:rsidP="00267F1D">
      <w:pPr>
        <w:pStyle w:val="EndNoteBibliography"/>
        <w:spacing w:after="0"/>
        <w:ind w:left="720" w:hanging="720"/>
        <w:rPr>
          <w:noProof/>
        </w:rPr>
      </w:pPr>
      <w:r w:rsidRPr="00267F1D">
        <w:rPr>
          <w:noProof/>
        </w:rPr>
        <w:t>7. Libby WL, Lacey BC, Lacey JI (1973) Pupillary and cardiac activity during visual attention. Psychophysiology 10: 270-294.</w:t>
      </w:r>
    </w:p>
    <w:p w14:paraId="420A2ABB" w14:textId="77777777" w:rsidR="00267F1D" w:rsidRPr="00267F1D" w:rsidRDefault="00267F1D" w:rsidP="00267F1D">
      <w:pPr>
        <w:pStyle w:val="EndNoteBibliography"/>
        <w:ind w:left="720" w:hanging="720"/>
        <w:rPr>
          <w:noProof/>
        </w:rPr>
      </w:pPr>
      <w:r w:rsidRPr="00267F1D">
        <w:rPr>
          <w:noProof/>
        </w:rPr>
        <w:t>8. Loewenfeld IE, Newsome DA (1971) Iris mechanics I. Influence of pupil size on dynamics of pupillary movements. American journal of ophthalmology 71: 347-362.</w:t>
      </w:r>
    </w:p>
    <w:p w14:paraId="4974512A" w14:textId="0645E260" w:rsidR="00B04609" w:rsidRDefault="00267F1D">
      <w:r>
        <w:fldChar w:fldCharType="end"/>
      </w:r>
    </w:p>
    <w:sectPr w:rsidR="00B04609" w:rsidSect="006B7AAA">
      <w:footerReference w:type="even" r:id="rId6"/>
      <w:footerReference w:type="default" r:id="rId7"/>
      <w:pgSz w:w="11900" w:h="16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441F1" w14:textId="77777777" w:rsidR="00D74F31" w:rsidRDefault="00D74F31" w:rsidP="00FC4FA5">
      <w:pPr>
        <w:spacing w:after="0" w:line="240" w:lineRule="auto"/>
      </w:pPr>
      <w:r>
        <w:separator/>
      </w:r>
    </w:p>
  </w:endnote>
  <w:endnote w:type="continuationSeparator" w:id="0">
    <w:p w14:paraId="3A72D98F" w14:textId="77777777" w:rsidR="00D74F31" w:rsidRDefault="00D74F31" w:rsidP="00FC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7F9BC" w14:textId="77777777" w:rsidR="00FC4FA5" w:rsidRDefault="00FC4FA5" w:rsidP="00C672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0014746" w14:textId="77777777" w:rsidR="00FC4FA5" w:rsidRDefault="00FC4FA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055140" w14:textId="77777777" w:rsidR="00FC4FA5" w:rsidRDefault="00FC4FA5" w:rsidP="00C672D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4F31">
      <w:rPr>
        <w:rStyle w:val="PageNumber"/>
        <w:noProof/>
      </w:rPr>
      <w:t>1</w:t>
    </w:r>
    <w:r>
      <w:rPr>
        <w:rStyle w:val="PageNumber"/>
      </w:rPr>
      <w:fldChar w:fldCharType="end"/>
    </w:r>
  </w:p>
  <w:p w14:paraId="15C19F34" w14:textId="77777777" w:rsidR="00FC4FA5" w:rsidRDefault="00FC4FA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B992C" w14:textId="77777777" w:rsidR="00D74F31" w:rsidRDefault="00D74F31" w:rsidP="00FC4FA5">
      <w:pPr>
        <w:spacing w:after="0" w:line="240" w:lineRule="auto"/>
      </w:pPr>
      <w:r>
        <w:separator/>
      </w:r>
    </w:p>
  </w:footnote>
  <w:footnote w:type="continuationSeparator" w:id="0">
    <w:p w14:paraId="526857EA" w14:textId="77777777" w:rsidR="00D74F31" w:rsidRDefault="00D74F31" w:rsidP="00FC4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 Copy&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x5tatdz5d0sf6ex2snvfvxtfraszzadfdst&quot;&gt;Reference Lib&lt;record-ids&gt;&lt;item&gt;84&lt;/item&gt;&lt;item&gt;86&lt;/item&gt;&lt;item&gt;87&lt;/item&gt;&lt;item&gt;88&lt;/item&gt;&lt;item&gt;99&lt;/item&gt;&lt;item&gt;100&lt;/item&gt;&lt;item&gt;101&lt;/item&gt;&lt;item&gt;128&lt;/item&gt;&lt;/record-ids&gt;&lt;/item&gt;&lt;/Libraries&gt;"/>
  </w:docVars>
  <w:rsids>
    <w:rsidRoot w:val="00CE67B1"/>
    <w:rsid w:val="00023349"/>
    <w:rsid w:val="00207E41"/>
    <w:rsid w:val="00267F1D"/>
    <w:rsid w:val="002B34C0"/>
    <w:rsid w:val="002F1BEF"/>
    <w:rsid w:val="00323009"/>
    <w:rsid w:val="003720BE"/>
    <w:rsid w:val="00397802"/>
    <w:rsid w:val="003F6AEC"/>
    <w:rsid w:val="00453A2C"/>
    <w:rsid w:val="0048614A"/>
    <w:rsid w:val="00564988"/>
    <w:rsid w:val="00655D08"/>
    <w:rsid w:val="00685B84"/>
    <w:rsid w:val="006B7AAA"/>
    <w:rsid w:val="006C48D7"/>
    <w:rsid w:val="006D2D25"/>
    <w:rsid w:val="00765B9C"/>
    <w:rsid w:val="00787ED1"/>
    <w:rsid w:val="007949A3"/>
    <w:rsid w:val="007F7333"/>
    <w:rsid w:val="00A92F2D"/>
    <w:rsid w:val="00AD623F"/>
    <w:rsid w:val="00AF2BF4"/>
    <w:rsid w:val="00AF7417"/>
    <w:rsid w:val="00C71D80"/>
    <w:rsid w:val="00CA0B6D"/>
    <w:rsid w:val="00CE67B1"/>
    <w:rsid w:val="00D74F31"/>
    <w:rsid w:val="00DC1954"/>
    <w:rsid w:val="00DE1C38"/>
    <w:rsid w:val="00E81FB7"/>
    <w:rsid w:val="00E82B76"/>
    <w:rsid w:val="00EE2A18"/>
    <w:rsid w:val="00F8430A"/>
    <w:rsid w:val="00FC4FA5"/>
    <w:rsid w:val="00FC6A51"/>
    <w:rsid w:val="00FD73B9"/>
    <w:rsid w:val="00FE0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277EF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宋体" w:hAnsiTheme="minorHAnsi" w:cstheme="minorBidi"/>
        <w:sz w:val="24"/>
        <w:szCs w:val="24"/>
        <w:lang w:val="da-DK" w:eastAsia="zh-CN"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7B1"/>
    <w:pPr>
      <w:spacing w:after="160" w:line="252" w:lineRule="auto"/>
      <w:jc w:val="both"/>
    </w:pPr>
    <w:rPr>
      <w:rFonts w:ascii="Times New Roman" w:eastAsiaTheme="minorEastAsia" w:hAnsi="Times New Roman"/>
      <w:sz w:val="22"/>
      <w:szCs w:val="22"/>
      <w:lang w:val="en-US"/>
    </w:rPr>
  </w:style>
  <w:style w:type="paragraph" w:styleId="Heading1">
    <w:name w:val="heading 1"/>
    <w:basedOn w:val="Normal"/>
    <w:next w:val="Normal"/>
    <w:link w:val="Heading1Char"/>
    <w:uiPriority w:val="99"/>
    <w:qFormat/>
    <w:rsid w:val="00CE67B1"/>
    <w:pPr>
      <w:keepNext/>
      <w:keepLines/>
      <w:spacing w:before="320" w:after="40" w:line="480" w:lineRule="auto"/>
      <w:outlineLvl w:val="0"/>
    </w:pPr>
    <w:rPr>
      <w:rFonts w:eastAsiaTheme="majorEastAsia" w:cs="Times New Roman"/>
      <w:b/>
      <w:bCs/>
      <w:spacing w:val="4"/>
      <w:sz w:val="28"/>
      <w:szCs w:val="24"/>
    </w:rPr>
  </w:style>
  <w:style w:type="paragraph" w:styleId="Heading2">
    <w:name w:val="heading 2"/>
    <w:basedOn w:val="Normal"/>
    <w:next w:val="Normal"/>
    <w:link w:val="Heading2Char"/>
    <w:uiPriority w:val="99"/>
    <w:unhideWhenUsed/>
    <w:qFormat/>
    <w:rsid w:val="00CE67B1"/>
    <w:pPr>
      <w:keepNext/>
      <w:keepLines/>
      <w:spacing w:before="360" w:after="240" w:line="480" w:lineRule="auto"/>
      <w:outlineLvl w:val="1"/>
    </w:pPr>
    <w:rPr>
      <w:rFonts w:eastAsiaTheme="majorEastAsia" w:cstheme="majorBidi"/>
      <w:b/>
      <w:bCs/>
      <w:sz w:val="24"/>
      <w:szCs w:val="28"/>
    </w:rPr>
  </w:style>
  <w:style w:type="paragraph" w:styleId="Heading3">
    <w:name w:val="heading 3"/>
    <w:basedOn w:val="Normal"/>
    <w:next w:val="Normal"/>
    <w:link w:val="Heading3Char"/>
    <w:autoRedefine/>
    <w:uiPriority w:val="99"/>
    <w:unhideWhenUsed/>
    <w:qFormat/>
    <w:rsid w:val="002F1BEF"/>
    <w:pPr>
      <w:spacing w:before="320" w:line="360" w:lineRule="auto"/>
      <w:outlineLvl w:val="2"/>
    </w:pPr>
    <w:rPr>
      <w:rFonts w:eastAsiaTheme="majorEastAsia" w:cs="Times New Roman"/>
      <w:b/>
      <w:bCs/>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F1BEF"/>
    <w:rPr>
      <w:rFonts w:ascii="Times New Roman" w:eastAsiaTheme="majorEastAsia" w:hAnsi="Times New Roman" w:cs="Times New Roman"/>
      <w:b/>
      <w:bCs/>
      <w:iCs/>
      <w:lang w:val="en-US"/>
    </w:rPr>
  </w:style>
  <w:style w:type="character" w:customStyle="1" w:styleId="Heading1Char">
    <w:name w:val="Heading 1 Char"/>
    <w:basedOn w:val="DefaultParagraphFont"/>
    <w:link w:val="Heading1"/>
    <w:uiPriority w:val="99"/>
    <w:rsid w:val="00CE67B1"/>
    <w:rPr>
      <w:rFonts w:ascii="Times New Roman" w:eastAsiaTheme="majorEastAsia" w:hAnsi="Times New Roman" w:cs="Times New Roman"/>
      <w:b/>
      <w:bCs/>
      <w:spacing w:val="4"/>
      <w:sz w:val="28"/>
      <w:lang w:val="en-US"/>
    </w:rPr>
  </w:style>
  <w:style w:type="character" w:customStyle="1" w:styleId="Heading2Char">
    <w:name w:val="Heading 2 Char"/>
    <w:basedOn w:val="DefaultParagraphFont"/>
    <w:link w:val="Heading2"/>
    <w:uiPriority w:val="99"/>
    <w:rsid w:val="00CE67B1"/>
    <w:rPr>
      <w:rFonts w:ascii="Times New Roman" w:eastAsiaTheme="majorEastAsia" w:hAnsi="Times New Roman" w:cstheme="majorBidi"/>
      <w:b/>
      <w:bCs/>
      <w:szCs w:val="28"/>
      <w:lang w:val="en-US"/>
    </w:rPr>
  </w:style>
  <w:style w:type="paragraph" w:styleId="Caption">
    <w:name w:val="caption"/>
    <w:basedOn w:val="Normal"/>
    <w:next w:val="Normal"/>
    <w:uiPriority w:val="35"/>
    <w:unhideWhenUsed/>
    <w:qFormat/>
    <w:rsid w:val="00CE67B1"/>
    <w:rPr>
      <w:b/>
      <w:bCs/>
      <w:sz w:val="18"/>
      <w:szCs w:val="18"/>
    </w:rPr>
  </w:style>
  <w:style w:type="table" w:styleId="TableGrid">
    <w:name w:val="Table Grid"/>
    <w:basedOn w:val="TableNormal"/>
    <w:rsid w:val="00CE67B1"/>
    <w:pPr>
      <w:jc w:val="both"/>
    </w:pPr>
    <w:rPr>
      <w:rFonts w:eastAsiaTheme="minorEastAsia" w:cs="Times New Roman"/>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6B7AAA"/>
  </w:style>
  <w:style w:type="paragraph" w:styleId="Footer">
    <w:name w:val="footer"/>
    <w:basedOn w:val="Normal"/>
    <w:link w:val="FooterChar"/>
    <w:uiPriority w:val="99"/>
    <w:unhideWhenUsed/>
    <w:rsid w:val="00FC4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FA5"/>
    <w:rPr>
      <w:rFonts w:ascii="Times New Roman" w:eastAsiaTheme="minorEastAsia" w:hAnsi="Times New Roman"/>
      <w:sz w:val="22"/>
      <w:szCs w:val="22"/>
      <w:lang w:val="en-US"/>
    </w:rPr>
  </w:style>
  <w:style w:type="character" w:styleId="PageNumber">
    <w:name w:val="page number"/>
    <w:basedOn w:val="DefaultParagraphFont"/>
    <w:uiPriority w:val="99"/>
    <w:semiHidden/>
    <w:unhideWhenUsed/>
    <w:rsid w:val="00FC4FA5"/>
  </w:style>
  <w:style w:type="paragraph" w:customStyle="1" w:styleId="EndNoteBibliographyTitle">
    <w:name w:val="EndNote Bibliography Title"/>
    <w:basedOn w:val="Normal"/>
    <w:rsid w:val="00267F1D"/>
    <w:pPr>
      <w:spacing w:after="0"/>
      <w:jc w:val="center"/>
    </w:pPr>
    <w:rPr>
      <w:rFonts w:cs="Times New Roman"/>
    </w:rPr>
  </w:style>
  <w:style w:type="paragraph" w:customStyle="1" w:styleId="EndNoteBibliography">
    <w:name w:val="EndNote Bibliography"/>
    <w:basedOn w:val="Normal"/>
    <w:rsid w:val="00267F1D"/>
    <w:pPr>
      <w:spacing w:line="240" w:lineRule="auto"/>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3169</Words>
  <Characters>17086</Characters>
  <Application>Microsoft Macintosh Word</Application>
  <DocSecurity>0</DocSecurity>
  <Lines>517</Lines>
  <Paragraphs>215</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S1 Appendix – Pilot Study</vt:lpstr>
      <vt:lpstr>    Objective</vt:lpstr>
      <vt:lpstr>    Methods</vt:lpstr>
      <vt:lpstr>        Participants</vt:lpstr>
      <vt:lpstr>        Pupillometry</vt:lpstr>
      <vt:lpstr>        Conditions and Procedure</vt:lpstr>
      <vt:lpstr>        Pupil data processing</vt:lpstr>
      <vt:lpstr>        Statistical Analyses	</vt:lpstr>
      <vt:lpstr>    Results	</vt:lpstr>
      <vt:lpstr>    Discussion</vt:lpstr>
    </vt:vector>
  </TitlesOfParts>
  <LinksUpToDate>false</LinksUpToDate>
  <CharactersWithSpaces>20040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Wang</dc:creator>
  <cp:keywords/>
  <dc:description/>
  <cp:lastModifiedBy>Yang Wang</cp:lastModifiedBy>
  <cp:revision>5</cp:revision>
  <dcterms:created xsi:type="dcterms:W3CDTF">2018-05-17T13:54:00Z</dcterms:created>
  <dcterms:modified xsi:type="dcterms:W3CDTF">2018-05-17T14:36:00Z</dcterms:modified>
</cp:coreProperties>
</file>