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1" w:rsidRPr="006B7815" w:rsidRDefault="00E73FD1" w:rsidP="00E73FD1">
      <w:pPr>
        <w:pageBreakBefore/>
        <w:spacing w:after="0" w:line="480" w:lineRule="auto"/>
        <w:rPr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</w:t>
      </w:r>
      <w:r w:rsidR="00216A18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lang w:val="en-US"/>
        </w:rPr>
        <w:t xml:space="preserve"> Table</w:t>
      </w:r>
      <w:r w:rsidRPr="006B7815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6B7815">
        <w:rPr>
          <w:rFonts w:ascii="Times New Roman" w:hAnsi="Times New Roman" w:cs="Times New Roman"/>
          <w:sz w:val="24"/>
          <w:lang w:val="en-US"/>
        </w:rPr>
        <w:t>Characteristics of pregnant women (</w:t>
      </w:r>
      <w:r w:rsidRPr="006B7815">
        <w:rPr>
          <w:rFonts w:ascii="Times New Roman" w:hAnsi="Times New Roman" w:cs="Times New Roman"/>
          <w:i/>
          <w:sz w:val="24"/>
          <w:lang w:val="en-US"/>
        </w:rPr>
        <w:t>n</w:t>
      </w:r>
      <w:r w:rsidRPr="006B7815">
        <w:rPr>
          <w:rFonts w:ascii="Times New Roman" w:hAnsi="Times New Roman" w:cs="Times New Roman"/>
          <w:sz w:val="24"/>
          <w:lang w:val="en-US"/>
        </w:rPr>
        <w:t>=115) included in the acceptability study of dietary changes during pregnancy</w:t>
      </w:r>
    </w:p>
    <w:tbl>
      <w:tblPr>
        <w:tblW w:w="0" w:type="auto"/>
        <w:tblInd w:w="-15" w:type="dxa"/>
        <w:tblLayout w:type="fixed"/>
        <w:tblLook w:val="0000"/>
      </w:tblPr>
      <w:tblGrid>
        <w:gridCol w:w="3368"/>
        <w:gridCol w:w="1559"/>
        <w:gridCol w:w="1559"/>
        <w:gridCol w:w="1559"/>
        <w:gridCol w:w="1590"/>
      </w:tblGrid>
      <w:tr w:rsidR="00E73FD1" w:rsidRPr="00216A18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6B7815" w:rsidRDefault="00E73FD1" w:rsidP="008D2B82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Total (</w:t>
            </w:r>
            <w:r w:rsidRPr="00D54959">
              <w:rPr>
                <w:rFonts w:ascii="Times New Roman" w:hAnsi="Times New Roman" w:cs="Times New Roman"/>
                <w:i/>
                <w:sz w:val="20"/>
                <w:lang w:val="en-US"/>
              </w:rPr>
              <w:t>n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=115)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Group 1 (</w:t>
            </w:r>
            <w:r w:rsidRPr="00D54959">
              <w:rPr>
                <w:rFonts w:ascii="Times New Roman" w:hAnsi="Times New Roman" w:cs="Times New Roman"/>
                <w:i/>
                <w:sz w:val="20"/>
                <w:lang w:val="en-US"/>
              </w:rPr>
              <w:t>n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=39)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Group 2 (</w:t>
            </w:r>
            <w:r w:rsidRPr="00D54959">
              <w:rPr>
                <w:rFonts w:ascii="Times New Roman" w:hAnsi="Times New Roman" w:cs="Times New Roman"/>
                <w:i/>
                <w:sz w:val="20"/>
                <w:lang w:val="en-US"/>
              </w:rPr>
              <w:t>n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=38)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216A18" w:rsidRDefault="00E73FD1" w:rsidP="008D2B82">
            <w:pPr>
              <w:spacing w:after="0" w:line="100" w:lineRule="atLeast"/>
              <w:jc w:val="center"/>
              <w:rPr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Group 3 (</w:t>
            </w:r>
            <w:r w:rsidRPr="00D54959">
              <w:rPr>
                <w:rFonts w:ascii="Times New Roman" w:hAnsi="Times New Roman" w:cs="Times New Roman"/>
                <w:i/>
                <w:sz w:val="20"/>
                <w:lang w:val="en-US"/>
              </w:rPr>
              <w:t>n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=38)</w:t>
            </w:r>
          </w:p>
        </w:tc>
      </w:tr>
      <w:tr w:rsidR="00E73FD1" w:rsidRPr="00216A18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Age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1,4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 xml:space="preserve"> (years)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31.1</w:t>
            </w:r>
            <w:r w:rsidRPr="00D549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± 4.2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32.0</w:t>
            </w:r>
            <w:r w:rsidRPr="00D549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± 4.2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31.2</w:t>
            </w:r>
            <w:r w:rsidRPr="00D549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± 4.4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216A18" w:rsidRDefault="00E73FD1" w:rsidP="008D2B82">
            <w:pPr>
              <w:spacing w:after="0" w:line="100" w:lineRule="atLeast"/>
              <w:jc w:val="center"/>
              <w:rPr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30.2</w:t>
            </w:r>
            <w:r w:rsidRPr="00D549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± 4.1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Months of pregnancy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Less than 3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 or 4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 or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39.1% (45)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32.2% (37)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28.7% 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35.9% (14)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33.3%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30.8% (12)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36.8% (14)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28.9% (11)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34.2% (13)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44.7% (17)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34.2%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21.1% (8)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Primiparous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47.8% (55)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41.0% 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55.3% (21)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47.4% (18)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Number of people composing the household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6 or more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0.9%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52.2% (60)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36.5% (42)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7.0% (8)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1.7%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1.7%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51.3%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38.5% (15)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5.1%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52.6%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34.2%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10.5% (4)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52.6%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36.8% (14)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7.9% (3)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Number of children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 or more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Absence of answer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47.8% (55)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40.0% (47)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7.8% (9)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1.7%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1.7%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0.9%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41.0% (16)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46.2% (18)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5.1%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5.1%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52.6%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34.2%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10.5% (4)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50.0% (19)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39.5% (15)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7.9% (3)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Occupation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Farmer, Craftsperson, Storekeeper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Professional, executive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profession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 worker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Inactive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0.9% (1)</w:t>
            </w:r>
          </w:p>
          <w:p w:rsidR="00E73FD1" w:rsidRPr="00D54959" w:rsidRDefault="00E73FD1" w:rsidP="008D2B82">
            <w:pPr>
              <w:keepNext/>
              <w:tabs>
                <w:tab w:val="left" w:pos="315"/>
                <w:tab w:val="center" w:pos="601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20.0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ab/>
              <w:t>% (23)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14.8% (17)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50.4% (58)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0.9% (1)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13.1% (15)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15.4% (6)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20.5% (8)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51.3%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12.8%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23.7% (9)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13.2% (5)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55.3% (21)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5.3% (2)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2.6% (1)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21.1% (8)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10.5% (4)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44.7% (17)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0.0% (0)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21.1% (8)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Socio-professional category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2,3,5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High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Low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Unemployed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35.7% (41)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50.4% (58)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13.9% (16)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35.9% (14)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51.3% (20)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12.8%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36.8% (14)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55.3% (21)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7.9% (3)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34.2%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44.7% (17)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21.1% (8)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Urbanization of the place of residence</w:t>
            </w:r>
            <w:r w:rsidRPr="00D54959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2,5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Paris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Major city (&gt;100,000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Medium-sized town (20 – 100,000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Small-sized town (2 – 20,000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Rural area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Absence of answer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8.7% (10)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26.1% (30)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24.3% (28)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25.2% (29)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13.0% (15)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2.6%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7.7% (3)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33.3% (13)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23.1% (9)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17.9% (7)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15.4% (6)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2.6%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13.2% (5)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23.7% (5)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18.2% (7)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26.3% (10)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18.4% (7)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0.0% (0)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5.3%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21.1% (8)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31.6% (12)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31.6% (12)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5.3% (2)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5.3% (2)</w:t>
            </w:r>
          </w:p>
        </w:tc>
      </w:tr>
      <w:tr w:rsidR="00E73FD1" w:rsidRPr="00D54959" w:rsidTr="008D2B8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Nutrition awareness during pregnancy</w:t>
            </w:r>
            <w:r w:rsidRPr="00D54959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2,5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Much more aware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A little more aware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Not really more aware</w:t>
            </w:r>
          </w:p>
          <w:p w:rsidR="00E73FD1" w:rsidRPr="00D54959" w:rsidRDefault="00E73FD1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Not more aware at 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25.2% (29)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59.1% (68)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14.8% (17)</w:t>
            </w:r>
          </w:p>
          <w:p w:rsidR="00E73FD1" w:rsidRPr="00D54959" w:rsidRDefault="00E73FD1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0.9%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23.1% (9)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56.4% (22)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20.5% (8)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0.0% (0)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23.7% (9)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60.5% (23)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13.2% (5)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2.6% (1)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D1" w:rsidRPr="00D54959" w:rsidRDefault="00E73FD1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28.9% (11)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60.5% (23)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10.5% (4)</w:t>
            </w:r>
          </w:p>
          <w:p w:rsidR="00E73FD1" w:rsidRPr="00D54959" w:rsidRDefault="00E73FD1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0.0% (0)</w:t>
            </w:r>
          </w:p>
        </w:tc>
      </w:tr>
    </w:tbl>
    <w:p w:rsidR="00E73FD1" w:rsidRPr="00D54959" w:rsidRDefault="00E73FD1" w:rsidP="00E73FD1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>Values are mean ± SD</w:t>
      </w:r>
    </w:p>
    <w:p w:rsidR="00E73FD1" w:rsidRPr="00D54959" w:rsidRDefault="00E73FD1" w:rsidP="00E73F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Values correspond to the percentage of participants presenting the characteristic described in the first column followed by the associated number of participants in parentheses. </w:t>
      </w:r>
    </w:p>
    <w:p w:rsidR="00E73FD1" w:rsidRPr="00D54959" w:rsidRDefault="00E73FD1" w:rsidP="00E73F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 Socio-professional categories were derived from occupations. “Farmer, craftsperson, storekeeper”, “Professional, executive”, and “Intermediate profession” belong to the High socio-professional category, “Employee”, “Manual worker” and “Student” belong to the Low socio-professional category and “Unemployed” belong to the Inactive socio-professional category.</w:t>
      </w:r>
    </w:p>
    <w:p w:rsidR="00E73FD1" w:rsidRPr="00D54959" w:rsidRDefault="00E73FD1" w:rsidP="00E73F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4 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No significant difference between groups for age as tested with a simple linear model, </w:t>
      </w:r>
      <w:r w:rsidRPr="00D54959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>&gt;0.05</w:t>
      </w:r>
    </w:p>
    <w:p w:rsidR="00B67946" w:rsidRPr="00E73FD1" w:rsidRDefault="00E73FD1" w:rsidP="00E73F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5 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No significant difference between groups for the repartition of participants as tested with exact Fisher tests, </w:t>
      </w:r>
      <w:r w:rsidRPr="00D54959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>&gt;0.05</w:t>
      </w:r>
      <w:bookmarkStart w:id="0" w:name="_GoBack"/>
      <w:bookmarkEnd w:id="0"/>
    </w:p>
    <w:sectPr w:rsidR="00B67946" w:rsidRPr="00E73FD1" w:rsidSect="00FF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FD1"/>
    <w:rsid w:val="00216A18"/>
    <w:rsid w:val="00392CBE"/>
    <w:rsid w:val="00B67946"/>
    <w:rsid w:val="00E73FD1"/>
    <w:rsid w:val="00F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2018-03-17T19:21:00Z</dcterms:created>
  <dcterms:modified xsi:type="dcterms:W3CDTF">2018-03-17T19:21:00Z</dcterms:modified>
</cp:coreProperties>
</file>