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5169B" w14:textId="42053D13" w:rsidR="004A10BE" w:rsidRPr="00B40B36" w:rsidRDefault="00297D99" w:rsidP="00E43AA5">
      <w:pPr>
        <w:pStyle w:val="SOMHead"/>
        <w:spacing w:before="0" w:line="360" w:lineRule="auto"/>
      </w:pPr>
      <w:r>
        <w:t xml:space="preserve">S1 </w:t>
      </w:r>
      <w:r w:rsidR="00D36BD1">
        <w:t>Appendix: Other figures and tables</w:t>
      </w:r>
      <w:r w:rsidR="005040E6">
        <w:t xml:space="preserve">.  </w:t>
      </w:r>
      <w:bookmarkStart w:id="0" w:name="_GoBack"/>
      <w:r w:rsidR="005040E6" w:rsidRPr="005040E6">
        <w:rPr>
          <w:b w:val="0"/>
        </w:rPr>
        <w:t>Figures and tables describing raw data and 2014 pre-moratorium results for neonicotinoid residues in honey.</w:t>
      </w:r>
      <w:bookmarkEnd w:id="0"/>
    </w:p>
    <w:p w14:paraId="191118D2" w14:textId="77777777" w:rsidR="00330DA4" w:rsidRDefault="00330DA4" w:rsidP="007F3A57">
      <w:pPr>
        <w:pStyle w:val="Acknowledgement"/>
        <w:spacing w:before="0" w:line="360" w:lineRule="auto"/>
        <w:ind w:left="1440"/>
        <w:rPr>
          <w:b/>
        </w:rPr>
      </w:pPr>
    </w:p>
    <w:p w14:paraId="3FF1E1F8" w14:textId="6F8356A4" w:rsidR="007F3A57" w:rsidRDefault="007F3A57" w:rsidP="00D149E9">
      <w:pPr>
        <w:pStyle w:val="Acknowledgement"/>
        <w:spacing w:before="0" w:line="360" w:lineRule="auto"/>
        <w:ind w:left="0" w:firstLine="0"/>
      </w:pPr>
      <w:r>
        <w:rPr>
          <w:b/>
        </w:rPr>
        <w:t>Fig</w:t>
      </w:r>
      <w:r w:rsidR="00297D99">
        <w:rPr>
          <w:b/>
        </w:rPr>
        <w:t xml:space="preserve"> A</w:t>
      </w:r>
      <w:r>
        <w:rPr>
          <w:b/>
        </w:rPr>
        <w:t xml:space="preserve">. </w:t>
      </w:r>
      <w:r w:rsidRPr="000203D5">
        <w:rPr>
          <w:b/>
        </w:rPr>
        <w:t xml:space="preserve">Effect of </w:t>
      </w:r>
      <w:r>
        <w:rPr>
          <w:b/>
        </w:rPr>
        <w:t>arable crop</w:t>
      </w:r>
      <w:r w:rsidRPr="000203D5">
        <w:rPr>
          <w:b/>
        </w:rPr>
        <w:t xml:space="preserve"> cover on neonicotinoid residues</w:t>
      </w:r>
      <w:r>
        <w:rPr>
          <w:b/>
        </w:rPr>
        <w:t xml:space="preserve"> in honey</w:t>
      </w:r>
      <w:r w:rsidRPr="00B40B36">
        <w:t xml:space="preserve">.  </w:t>
      </w:r>
      <w:r>
        <w:t>This is based on the overall 2014</w:t>
      </w:r>
      <w:r w:rsidR="00523D84">
        <w:t xml:space="preserve"> </w:t>
      </w:r>
      <w:r>
        <w:t>data set for honey</w:t>
      </w:r>
      <w:r w:rsidR="000627CB">
        <w:t xml:space="preserve"> and shows the response of combined neonicotinoid residues (clothianidin, thiamethoxam and imidacloprid) to the cover of oilseed rape within 2km of honeybee hives</w:t>
      </w:r>
      <w:r w:rsidR="00523D84">
        <w:t xml:space="preserve">.  </w:t>
      </w:r>
      <w:r w:rsidR="00C83BD6">
        <w:t xml:space="preserve">There was no evidence of </w:t>
      </w:r>
      <w:r w:rsidR="00C83BD6" w:rsidRPr="00B40B36">
        <w:t>spatial autocorrelation</w:t>
      </w:r>
      <w:r w:rsidR="00C83BD6">
        <w:t xml:space="preserve"> in the combined residues of</w:t>
      </w:r>
      <w:r w:rsidR="00C83BD6" w:rsidRPr="00B40B36">
        <w:t xml:space="preserve"> </w:t>
      </w:r>
      <w:r w:rsidR="00C83BD6">
        <w:t xml:space="preserve">neonicotinoid across the overall data set </w:t>
      </w:r>
      <w:r w:rsidR="00C83BD6" w:rsidRPr="00FC5AA2">
        <w:t>(</w:t>
      </w:r>
      <w:r w:rsidR="00C83BD6">
        <w:t xml:space="preserve">Moran’s I test: </w:t>
      </w:r>
      <w:r w:rsidR="00C83BD6" w:rsidRPr="00FC5AA2">
        <w:t>observed / ex</w:t>
      </w:r>
      <w:r w:rsidR="00C83BD6">
        <w:t>pected I =</w:t>
      </w:r>
      <w:r w:rsidR="00884BC3">
        <w:t xml:space="preserve"> </w:t>
      </w:r>
      <w:r w:rsidR="00C83BD6">
        <w:t>-0.13/-0.05, p=0.42)</w:t>
      </w:r>
    </w:p>
    <w:p w14:paraId="3D76AAFB" w14:textId="77777777" w:rsidR="000627CB" w:rsidRDefault="000627CB" w:rsidP="007F3A57">
      <w:pPr>
        <w:pStyle w:val="Acknowledgement"/>
        <w:spacing w:before="0" w:line="360" w:lineRule="auto"/>
        <w:ind w:left="1440"/>
      </w:pPr>
    </w:p>
    <w:p w14:paraId="0C8A2864" w14:textId="77777777" w:rsidR="000627CB" w:rsidRDefault="00FD44CF" w:rsidP="007F3A57">
      <w:pPr>
        <w:pStyle w:val="Acknowledgement"/>
        <w:spacing w:before="0" w:line="360" w:lineRule="auto"/>
        <w:ind w:left="1440"/>
      </w:pPr>
      <w:r>
        <w:rPr>
          <w:noProof/>
          <w:lang w:val="en-GB" w:eastAsia="en-GB"/>
        </w:rPr>
        <w:drawing>
          <wp:inline distT="0" distB="0" distL="0" distR="0" wp14:anchorId="2B82B53E" wp14:editId="506FE5D0">
            <wp:extent cx="3578860" cy="3481070"/>
            <wp:effectExtent l="0" t="0" r="254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8860" cy="3481070"/>
                    </a:xfrm>
                    <a:prstGeom prst="rect">
                      <a:avLst/>
                    </a:prstGeom>
                    <a:noFill/>
                  </pic:spPr>
                </pic:pic>
              </a:graphicData>
            </a:graphic>
          </wp:inline>
        </w:drawing>
      </w:r>
    </w:p>
    <w:p w14:paraId="2B3C4990" w14:textId="77777777" w:rsidR="000627CB" w:rsidRDefault="000627CB" w:rsidP="007F3A57">
      <w:pPr>
        <w:pStyle w:val="Acknowledgement"/>
        <w:spacing w:before="0" w:line="360" w:lineRule="auto"/>
        <w:ind w:left="1440"/>
      </w:pPr>
    </w:p>
    <w:p w14:paraId="42DEECDC" w14:textId="4C298FE6" w:rsidR="005226DE" w:rsidRDefault="005226DE" w:rsidP="00D149E9">
      <w:pPr>
        <w:pStyle w:val="Legend"/>
        <w:spacing w:before="0" w:line="360" w:lineRule="auto"/>
      </w:pPr>
      <w:r w:rsidRPr="00B40B36">
        <w:rPr>
          <w:b/>
        </w:rPr>
        <w:t>Table</w:t>
      </w:r>
      <w:r w:rsidR="00297D99">
        <w:rPr>
          <w:b/>
        </w:rPr>
        <w:t xml:space="preserve"> A</w:t>
      </w:r>
      <w:r w:rsidRPr="00B40B36">
        <w:rPr>
          <w:b/>
        </w:rPr>
        <w:t>.</w:t>
      </w:r>
      <w:r w:rsidRPr="00B40B36">
        <w:t xml:space="preserve"> </w:t>
      </w:r>
      <w:r>
        <w:rPr>
          <w:b/>
        </w:rPr>
        <w:t>EU Neonicotinoid moratorium time line</w:t>
      </w:r>
      <w:r w:rsidRPr="00B40B36">
        <w:rPr>
          <w:b/>
        </w:rPr>
        <w:t xml:space="preserve">. </w:t>
      </w:r>
      <w:r>
        <w:t xml:space="preserve">  This table provides a time line of when the EU moratorium was initiated and the impacts that this had on neonicotinoid use on oilseed rape in GB.</w:t>
      </w:r>
      <w:r w:rsidR="00FA0DB7">
        <w:t xml:space="preserve">  This is based on the 2017 </w:t>
      </w:r>
      <w:r w:rsidR="00FA0DB7" w:rsidRPr="00FA0DB7">
        <w:t>House of Com</w:t>
      </w:r>
      <w:r w:rsidR="00FA0DB7">
        <w:t>m</w:t>
      </w:r>
      <w:r w:rsidR="00FA0DB7" w:rsidRPr="00FA0DB7">
        <w:t>ons Briefing paper number 06656</w:t>
      </w:r>
      <w:r w:rsidR="00294D26">
        <w:t xml:space="preserve"> </w:t>
      </w:r>
      <w:r w:rsidR="00294D26">
        <w:fldChar w:fldCharType="begin"/>
      </w:r>
      <w:r w:rsidR="009C7607">
        <w:instrText xml:space="preserve"> ADDIN EN.CITE &lt;EndNote&gt;&lt;Cite&gt;&lt;Author&gt;Grimwood&lt;/Author&gt;&lt;Year&gt;2017&lt;/Year&gt;&lt;RecNum&gt;12716&lt;/RecNum&gt;&lt;DisplayText&gt;[10]&lt;/DisplayText&gt;&lt;record&gt;&lt;rec-number&gt;12716&lt;/rec-number&gt;&lt;foreign-keys&gt;&lt;key app="EN" db-id="0fdzptfsqwz5xse99z7xaz96dazf5vzzwa2w" timestamp="1489398850"&gt;12716&lt;/key&gt;&lt;/foreign-keys&gt;&lt;ref-type name="Book"&gt;6&lt;/ref-type&gt;&lt;contributors&gt;&lt;authors&gt;&lt;author&gt;Grimwood, G.G.&lt;/author&gt;&lt;author&gt;Downing, D.&lt;/author&gt;&lt;/authors&gt;&lt;/contributors&gt;&lt;titles&gt;&lt;title&gt;Bees an neonicotinoids.  Briefing paper number 06656&lt;/title&gt;&lt;/titles&gt;&lt;dates&gt;&lt;year&gt;2017&lt;/year&gt;&lt;/dates&gt;&lt;pub-location&gt;London&lt;/pub-location&gt;&lt;publisher&gt;House of Commons Library&lt;/publisher&gt;&lt;urls&gt;&lt;/urls&gt;&lt;/record&gt;&lt;/Cite&gt;&lt;/EndNote&gt;</w:instrText>
      </w:r>
      <w:r w:rsidR="00294D26">
        <w:fldChar w:fldCharType="separate"/>
      </w:r>
      <w:r w:rsidR="009C7607">
        <w:rPr>
          <w:noProof/>
        </w:rPr>
        <w:t>[10]</w:t>
      </w:r>
      <w:r w:rsidR="00294D26">
        <w:fldChar w:fldCharType="end"/>
      </w:r>
      <w:r w:rsidR="00FA0DB7" w:rsidRPr="00FA0DB7">
        <w:t>.</w:t>
      </w:r>
    </w:p>
    <w:p w14:paraId="7D317BB3" w14:textId="77777777" w:rsidR="005226DE" w:rsidRDefault="005226DE" w:rsidP="005226DE">
      <w:pPr>
        <w:pStyle w:val="Legend"/>
        <w:spacing w:before="0" w:line="360" w:lineRule="auto"/>
        <w:ind w:left="1440" w:hanging="720"/>
      </w:pPr>
    </w:p>
    <w:tbl>
      <w:tblPr>
        <w:tblW w:w="0" w:type="auto"/>
        <w:tblInd w:w="1440" w:type="dxa"/>
        <w:tblLook w:val="04A0" w:firstRow="1" w:lastRow="0" w:firstColumn="1" w:lastColumn="0" w:noHBand="0" w:noVBand="1"/>
      </w:tblPr>
      <w:tblGrid>
        <w:gridCol w:w="1050"/>
        <w:gridCol w:w="1692"/>
        <w:gridCol w:w="5178"/>
      </w:tblGrid>
      <w:tr w:rsidR="005226DE" w:rsidRPr="00C24481" w14:paraId="589109CE" w14:textId="77777777" w:rsidTr="00C24481">
        <w:tc>
          <w:tcPr>
            <w:tcW w:w="1078" w:type="dxa"/>
            <w:tcBorders>
              <w:top w:val="single" w:sz="12" w:space="0" w:color="auto"/>
              <w:bottom w:val="single" w:sz="12" w:space="0" w:color="auto"/>
            </w:tcBorders>
            <w:shd w:val="clear" w:color="auto" w:fill="auto"/>
          </w:tcPr>
          <w:p w14:paraId="6E6382AD" w14:textId="77777777" w:rsidR="005226DE" w:rsidRPr="00C24481" w:rsidRDefault="005226DE" w:rsidP="00C24481">
            <w:pPr>
              <w:pStyle w:val="Legend"/>
              <w:spacing w:before="0"/>
              <w:rPr>
                <w:rFonts w:ascii="Times" w:hAnsi="Times"/>
                <w:b/>
                <w:sz w:val="22"/>
              </w:rPr>
            </w:pPr>
            <w:r w:rsidRPr="00C24481">
              <w:rPr>
                <w:rFonts w:ascii="Times" w:hAnsi="Times"/>
                <w:b/>
                <w:sz w:val="22"/>
              </w:rPr>
              <w:t>Year</w:t>
            </w:r>
          </w:p>
        </w:tc>
        <w:tc>
          <w:tcPr>
            <w:tcW w:w="1701" w:type="dxa"/>
            <w:tcBorders>
              <w:top w:val="single" w:sz="12" w:space="0" w:color="auto"/>
              <w:bottom w:val="single" w:sz="12" w:space="0" w:color="auto"/>
            </w:tcBorders>
            <w:shd w:val="clear" w:color="auto" w:fill="auto"/>
          </w:tcPr>
          <w:p w14:paraId="7A992267" w14:textId="77777777" w:rsidR="005226DE" w:rsidRPr="00C24481" w:rsidRDefault="005226DE" w:rsidP="00C24481">
            <w:pPr>
              <w:pStyle w:val="Legend"/>
              <w:spacing w:before="0"/>
              <w:rPr>
                <w:rFonts w:ascii="Times" w:hAnsi="Times"/>
                <w:b/>
                <w:sz w:val="22"/>
              </w:rPr>
            </w:pPr>
            <w:r w:rsidRPr="00C24481">
              <w:rPr>
                <w:rFonts w:ascii="Times" w:hAnsi="Times"/>
                <w:b/>
                <w:sz w:val="22"/>
              </w:rPr>
              <w:t>Season</w:t>
            </w:r>
          </w:p>
        </w:tc>
        <w:tc>
          <w:tcPr>
            <w:tcW w:w="5447" w:type="dxa"/>
            <w:tcBorders>
              <w:top w:val="single" w:sz="12" w:space="0" w:color="auto"/>
              <w:bottom w:val="single" w:sz="12" w:space="0" w:color="auto"/>
            </w:tcBorders>
            <w:shd w:val="clear" w:color="auto" w:fill="auto"/>
          </w:tcPr>
          <w:p w14:paraId="5FC9B77C" w14:textId="77777777" w:rsidR="005226DE" w:rsidRPr="00C24481" w:rsidRDefault="005226DE" w:rsidP="00C24481">
            <w:pPr>
              <w:pStyle w:val="Legend"/>
              <w:spacing w:before="0"/>
              <w:rPr>
                <w:rFonts w:ascii="Times" w:hAnsi="Times"/>
                <w:b/>
                <w:sz w:val="22"/>
              </w:rPr>
            </w:pPr>
            <w:r w:rsidRPr="00C24481">
              <w:rPr>
                <w:rFonts w:ascii="Times" w:hAnsi="Times"/>
                <w:b/>
                <w:sz w:val="22"/>
              </w:rPr>
              <w:t>Event</w:t>
            </w:r>
          </w:p>
        </w:tc>
      </w:tr>
      <w:tr w:rsidR="005226DE" w:rsidRPr="00C24481" w14:paraId="5CBC864D" w14:textId="77777777" w:rsidTr="00C24481">
        <w:tc>
          <w:tcPr>
            <w:tcW w:w="1078" w:type="dxa"/>
            <w:tcBorders>
              <w:top w:val="single" w:sz="12" w:space="0" w:color="auto"/>
            </w:tcBorders>
            <w:shd w:val="clear" w:color="auto" w:fill="auto"/>
          </w:tcPr>
          <w:p w14:paraId="4F32040B" w14:textId="77777777" w:rsidR="005226DE" w:rsidRPr="00C24481" w:rsidRDefault="005226DE" w:rsidP="00C24481">
            <w:pPr>
              <w:pStyle w:val="Legend"/>
              <w:spacing w:before="0"/>
              <w:rPr>
                <w:rFonts w:ascii="Times" w:hAnsi="Times"/>
                <w:sz w:val="22"/>
              </w:rPr>
            </w:pPr>
            <w:r w:rsidRPr="00C24481">
              <w:rPr>
                <w:rFonts w:ascii="Times" w:hAnsi="Times"/>
                <w:sz w:val="22"/>
              </w:rPr>
              <w:t>2013</w:t>
            </w:r>
          </w:p>
        </w:tc>
        <w:tc>
          <w:tcPr>
            <w:tcW w:w="1701" w:type="dxa"/>
            <w:tcBorders>
              <w:top w:val="single" w:sz="12" w:space="0" w:color="auto"/>
            </w:tcBorders>
            <w:shd w:val="clear" w:color="auto" w:fill="auto"/>
          </w:tcPr>
          <w:p w14:paraId="4CD1FC87" w14:textId="77777777" w:rsidR="005226DE" w:rsidRPr="00C24481" w:rsidRDefault="005226DE" w:rsidP="00C24481">
            <w:pPr>
              <w:pStyle w:val="Legend"/>
              <w:spacing w:before="0"/>
              <w:rPr>
                <w:rFonts w:ascii="Times" w:hAnsi="Times"/>
                <w:sz w:val="22"/>
              </w:rPr>
            </w:pPr>
            <w:r w:rsidRPr="00C24481">
              <w:rPr>
                <w:rFonts w:ascii="Times" w:hAnsi="Times"/>
                <w:sz w:val="22"/>
              </w:rPr>
              <w:t>Autumn</w:t>
            </w:r>
          </w:p>
        </w:tc>
        <w:tc>
          <w:tcPr>
            <w:tcW w:w="5447" w:type="dxa"/>
            <w:tcBorders>
              <w:top w:val="single" w:sz="12" w:space="0" w:color="auto"/>
            </w:tcBorders>
            <w:shd w:val="clear" w:color="auto" w:fill="auto"/>
          </w:tcPr>
          <w:p w14:paraId="2ED19B6A" w14:textId="77777777" w:rsidR="005226DE" w:rsidRPr="00C24481" w:rsidRDefault="005226DE" w:rsidP="00C24481">
            <w:pPr>
              <w:pStyle w:val="Legend"/>
              <w:spacing w:before="0"/>
              <w:rPr>
                <w:rFonts w:ascii="Times" w:hAnsi="Times"/>
                <w:sz w:val="22"/>
              </w:rPr>
            </w:pPr>
            <w:r w:rsidRPr="00C24481">
              <w:rPr>
                <w:rFonts w:ascii="Times" w:hAnsi="Times"/>
                <w:sz w:val="22"/>
              </w:rPr>
              <w:t>Winter oilseed rape treated with neonicotinoid seed treatments sown for harvest in 2014.</w:t>
            </w:r>
          </w:p>
          <w:p w14:paraId="3A43F937" w14:textId="77777777" w:rsidR="00362276" w:rsidRPr="00C24481" w:rsidRDefault="00362276" w:rsidP="00C24481">
            <w:pPr>
              <w:pStyle w:val="Legend"/>
              <w:spacing w:before="0"/>
              <w:rPr>
                <w:rFonts w:ascii="Times" w:hAnsi="Times"/>
                <w:sz w:val="10"/>
                <w:szCs w:val="10"/>
              </w:rPr>
            </w:pPr>
          </w:p>
        </w:tc>
      </w:tr>
      <w:tr w:rsidR="005226DE" w:rsidRPr="00C24481" w14:paraId="1D4FCE90" w14:textId="77777777" w:rsidTr="00C24481">
        <w:tc>
          <w:tcPr>
            <w:tcW w:w="1078" w:type="dxa"/>
            <w:tcBorders>
              <w:bottom w:val="dotted" w:sz="4" w:space="0" w:color="auto"/>
            </w:tcBorders>
            <w:shd w:val="clear" w:color="auto" w:fill="auto"/>
          </w:tcPr>
          <w:p w14:paraId="47791136" w14:textId="77777777" w:rsidR="005226DE" w:rsidRPr="00C24481" w:rsidRDefault="005226DE" w:rsidP="00C24481">
            <w:pPr>
              <w:pStyle w:val="Legend"/>
              <w:spacing w:before="0"/>
              <w:rPr>
                <w:rFonts w:ascii="Times" w:hAnsi="Times"/>
                <w:sz w:val="22"/>
              </w:rPr>
            </w:pPr>
            <w:r w:rsidRPr="00C24481">
              <w:rPr>
                <w:rFonts w:ascii="Times" w:hAnsi="Times"/>
                <w:sz w:val="22"/>
              </w:rPr>
              <w:t>2013</w:t>
            </w:r>
          </w:p>
        </w:tc>
        <w:tc>
          <w:tcPr>
            <w:tcW w:w="1701" w:type="dxa"/>
            <w:tcBorders>
              <w:bottom w:val="dotted" w:sz="4" w:space="0" w:color="auto"/>
            </w:tcBorders>
            <w:shd w:val="clear" w:color="auto" w:fill="auto"/>
          </w:tcPr>
          <w:p w14:paraId="0A962B46" w14:textId="77777777" w:rsidR="005226DE" w:rsidRPr="00C24481" w:rsidRDefault="005226DE" w:rsidP="00C24481">
            <w:pPr>
              <w:pStyle w:val="Legend"/>
              <w:spacing w:before="0"/>
              <w:rPr>
                <w:rFonts w:ascii="Times" w:hAnsi="Times"/>
                <w:sz w:val="22"/>
              </w:rPr>
            </w:pPr>
            <w:r w:rsidRPr="00C24481">
              <w:rPr>
                <w:rFonts w:ascii="Times" w:hAnsi="Times"/>
                <w:sz w:val="22"/>
              </w:rPr>
              <w:t>December</w:t>
            </w:r>
          </w:p>
        </w:tc>
        <w:tc>
          <w:tcPr>
            <w:tcW w:w="5447" w:type="dxa"/>
            <w:tcBorders>
              <w:bottom w:val="dotted" w:sz="4" w:space="0" w:color="auto"/>
            </w:tcBorders>
            <w:shd w:val="clear" w:color="auto" w:fill="auto"/>
          </w:tcPr>
          <w:p w14:paraId="3E06CA10" w14:textId="77777777" w:rsidR="005226DE" w:rsidRPr="00C24481" w:rsidRDefault="005226DE" w:rsidP="00C24481">
            <w:pPr>
              <w:pStyle w:val="Legend"/>
              <w:spacing w:before="0"/>
              <w:rPr>
                <w:rFonts w:ascii="Times" w:hAnsi="Times"/>
                <w:sz w:val="22"/>
              </w:rPr>
            </w:pPr>
            <w:r w:rsidRPr="00C24481">
              <w:rPr>
                <w:rFonts w:ascii="Times" w:hAnsi="Times"/>
                <w:sz w:val="22"/>
              </w:rPr>
              <w:t>EU moratorium on neonicotinoid use in mass flowering crops instigated.</w:t>
            </w:r>
            <w:r w:rsidR="001865C0" w:rsidRPr="00C24481">
              <w:rPr>
                <w:rFonts w:ascii="Times" w:hAnsi="Times"/>
                <w:sz w:val="22"/>
              </w:rPr>
              <w:t xml:space="preserve">  Winter cereals are not part of the moratorium restrictions.</w:t>
            </w:r>
          </w:p>
          <w:p w14:paraId="2582930B" w14:textId="77777777" w:rsidR="00362276" w:rsidRPr="00C24481" w:rsidRDefault="00362276" w:rsidP="00C24481">
            <w:pPr>
              <w:pStyle w:val="Legend"/>
              <w:spacing w:before="0"/>
              <w:rPr>
                <w:rFonts w:ascii="Times" w:hAnsi="Times"/>
                <w:sz w:val="10"/>
                <w:szCs w:val="10"/>
              </w:rPr>
            </w:pPr>
          </w:p>
        </w:tc>
      </w:tr>
      <w:tr w:rsidR="005226DE" w:rsidRPr="00C24481" w14:paraId="47E12383" w14:textId="77777777" w:rsidTr="00C24481">
        <w:tc>
          <w:tcPr>
            <w:tcW w:w="1078" w:type="dxa"/>
            <w:tcBorders>
              <w:top w:val="dotted" w:sz="4" w:space="0" w:color="auto"/>
            </w:tcBorders>
            <w:shd w:val="clear" w:color="auto" w:fill="auto"/>
          </w:tcPr>
          <w:p w14:paraId="19B41B51" w14:textId="77777777" w:rsidR="005226DE" w:rsidRPr="00C24481" w:rsidRDefault="005226DE" w:rsidP="00C24481">
            <w:pPr>
              <w:pStyle w:val="Legend"/>
              <w:spacing w:before="0"/>
              <w:rPr>
                <w:rFonts w:ascii="Times" w:hAnsi="Times"/>
                <w:sz w:val="22"/>
              </w:rPr>
            </w:pPr>
            <w:r w:rsidRPr="00C24481">
              <w:rPr>
                <w:rFonts w:ascii="Times" w:hAnsi="Times"/>
                <w:sz w:val="22"/>
              </w:rPr>
              <w:t>2014</w:t>
            </w:r>
          </w:p>
        </w:tc>
        <w:tc>
          <w:tcPr>
            <w:tcW w:w="1701" w:type="dxa"/>
            <w:tcBorders>
              <w:top w:val="dotted" w:sz="4" w:space="0" w:color="auto"/>
            </w:tcBorders>
            <w:shd w:val="clear" w:color="auto" w:fill="auto"/>
          </w:tcPr>
          <w:p w14:paraId="2D88C453" w14:textId="77777777" w:rsidR="005226DE" w:rsidRPr="00C24481" w:rsidRDefault="005226DE" w:rsidP="00C24481">
            <w:pPr>
              <w:pStyle w:val="Legend"/>
              <w:spacing w:before="0"/>
              <w:rPr>
                <w:rFonts w:ascii="Times" w:hAnsi="Times"/>
                <w:sz w:val="22"/>
              </w:rPr>
            </w:pPr>
            <w:r w:rsidRPr="00C24481">
              <w:rPr>
                <w:rFonts w:ascii="Times" w:hAnsi="Times"/>
                <w:sz w:val="22"/>
              </w:rPr>
              <w:t>Spring/summer</w:t>
            </w:r>
          </w:p>
        </w:tc>
        <w:tc>
          <w:tcPr>
            <w:tcW w:w="5447" w:type="dxa"/>
            <w:tcBorders>
              <w:top w:val="dotted" w:sz="4" w:space="0" w:color="auto"/>
            </w:tcBorders>
            <w:shd w:val="clear" w:color="auto" w:fill="auto"/>
          </w:tcPr>
          <w:p w14:paraId="72E06C15" w14:textId="77777777" w:rsidR="005226DE" w:rsidRPr="00C24481" w:rsidRDefault="005226DE" w:rsidP="00C24481">
            <w:pPr>
              <w:pStyle w:val="Legend"/>
              <w:spacing w:before="0"/>
              <w:rPr>
                <w:rFonts w:ascii="Times" w:hAnsi="Times"/>
                <w:sz w:val="22"/>
              </w:rPr>
            </w:pPr>
            <w:r w:rsidRPr="00C24481">
              <w:rPr>
                <w:rFonts w:ascii="Times" w:hAnsi="Times"/>
                <w:sz w:val="22"/>
              </w:rPr>
              <w:t xml:space="preserve">Oilseed rape treated with neonicotinoids </w:t>
            </w:r>
            <w:r w:rsidR="007B4B5E" w:rsidRPr="00C24481">
              <w:rPr>
                <w:rFonts w:ascii="Times" w:hAnsi="Times"/>
                <w:sz w:val="22"/>
              </w:rPr>
              <w:t xml:space="preserve">in 2014 both </w:t>
            </w:r>
            <w:r w:rsidRPr="00C24481">
              <w:rPr>
                <w:rFonts w:ascii="Times" w:hAnsi="Times"/>
                <w:sz w:val="22"/>
              </w:rPr>
              <w:t xml:space="preserve">flowers and is harvested. </w:t>
            </w:r>
          </w:p>
          <w:p w14:paraId="269F49DB" w14:textId="77777777" w:rsidR="00362276" w:rsidRPr="00C24481" w:rsidRDefault="00362276" w:rsidP="00C24481">
            <w:pPr>
              <w:pStyle w:val="Legend"/>
              <w:spacing w:before="0"/>
              <w:rPr>
                <w:rFonts w:ascii="Times" w:hAnsi="Times"/>
                <w:sz w:val="10"/>
                <w:szCs w:val="10"/>
              </w:rPr>
            </w:pPr>
          </w:p>
        </w:tc>
      </w:tr>
      <w:tr w:rsidR="005226DE" w:rsidRPr="00C24481" w14:paraId="6EFFB786" w14:textId="77777777" w:rsidTr="00C24481">
        <w:tc>
          <w:tcPr>
            <w:tcW w:w="1078" w:type="dxa"/>
            <w:tcBorders>
              <w:bottom w:val="dotted" w:sz="4" w:space="0" w:color="auto"/>
            </w:tcBorders>
            <w:shd w:val="clear" w:color="auto" w:fill="auto"/>
          </w:tcPr>
          <w:p w14:paraId="231C20F9" w14:textId="77777777" w:rsidR="005226DE" w:rsidRPr="00C24481" w:rsidRDefault="005226DE" w:rsidP="00C24481">
            <w:pPr>
              <w:pStyle w:val="Legend"/>
              <w:spacing w:before="0"/>
              <w:rPr>
                <w:rFonts w:ascii="Times" w:hAnsi="Times"/>
                <w:sz w:val="22"/>
              </w:rPr>
            </w:pPr>
            <w:r w:rsidRPr="00C24481">
              <w:rPr>
                <w:rFonts w:ascii="Times" w:hAnsi="Times"/>
                <w:sz w:val="22"/>
              </w:rPr>
              <w:t>2014</w:t>
            </w:r>
          </w:p>
        </w:tc>
        <w:tc>
          <w:tcPr>
            <w:tcW w:w="1701" w:type="dxa"/>
            <w:tcBorders>
              <w:bottom w:val="dotted" w:sz="4" w:space="0" w:color="auto"/>
            </w:tcBorders>
            <w:shd w:val="clear" w:color="auto" w:fill="auto"/>
          </w:tcPr>
          <w:p w14:paraId="0929B5C5" w14:textId="77777777" w:rsidR="005226DE" w:rsidRPr="00C24481" w:rsidRDefault="005226DE" w:rsidP="00C24481">
            <w:pPr>
              <w:pStyle w:val="Legend"/>
              <w:spacing w:before="0"/>
              <w:rPr>
                <w:rFonts w:ascii="Times" w:hAnsi="Times"/>
                <w:sz w:val="22"/>
              </w:rPr>
            </w:pPr>
            <w:r w:rsidRPr="00C24481">
              <w:rPr>
                <w:rFonts w:ascii="Times" w:hAnsi="Times"/>
                <w:sz w:val="22"/>
              </w:rPr>
              <w:t>Autumn</w:t>
            </w:r>
          </w:p>
        </w:tc>
        <w:tc>
          <w:tcPr>
            <w:tcW w:w="5447" w:type="dxa"/>
            <w:tcBorders>
              <w:bottom w:val="dotted" w:sz="4" w:space="0" w:color="auto"/>
            </w:tcBorders>
            <w:shd w:val="clear" w:color="auto" w:fill="auto"/>
          </w:tcPr>
          <w:p w14:paraId="202EFAB8" w14:textId="77777777" w:rsidR="005226DE" w:rsidRPr="00C24481" w:rsidRDefault="005226DE" w:rsidP="00C24481">
            <w:pPr>
              <w:pStyle w:val="Legend"/>
              <w:spacing w:before="0"/>
              <w:rPr>
                <w:rFonts w:ascii="Times" w:hAnsi="Times"/>
                <w:sz w:val="22"/>
              </w:rPr>
            </w:pPr>
            <w:r w:rsidRPr="00C24481">
              <w:rPr>
                <w:rFonts w:ascii="Times" w:hAnsi="Times"/>
                <w:sz w:val="22"/>
              </w:rPr>
              <w:t xml:space="preserve">Winter oilseed rape receiving no neonicotinoid seed treatment </w:t>
            </w:r>
            <w:r w:rsidR="007B4B5E" w:rsidRPr="00C24481">
              <w:rPr>
                <w:rFonts w:ascii="Times" w:hAnsi="Times"/>
                <w:sz w:val="22"/>
              </w:rPr>
              <w:t>(</w:t>
            </w:r>
            <w:r w:rsidRPr="00C24481">
              <w:rPr>
                <w:rFonts w:ascii="Times" w:hAnsi="Times"/>
                <w:sz w:val="22"/>
              </w:rPr>
              <w:t>due to moratorium</w:t>
            </w:r>
            <w:r w:rsidR="007B4B5E" w:rsidRPr="00C24481">
              <w:rPr>
                <w:rFonts w:ascii="Times" w:hAnsi="Times"/>
                <w:sz w:val="22"/>
              </w:rPr>
              <w:t>)</w:t>
            </w:r>
            <w:r w:rsidRPr="00C24481">
              <w:rPr>
                <w:rFonts w:ascii="Times" w:hAnsi="Times"/>
                <w:sz w:val="22"/>
              </w:rPr>
              <w:t xml:space="preserve"> is sown for harvest in 2015.</w:t>
            </w:r>
          </w:p>
          <w:p w14:paraId="45552881" w14:textId="77777777" w:rsidR="00362276" w:rsidRPr="00C24481" w:rsidRDefault="00362276" w:rsidP="00C24481">
            <w:pPr>
              <w:pStyle w:val="Legend"/>
              <w:spacing w:before="0"/>
              <w:rPr>
                <w:rFonts w:ascii="Times" w:hAnsi="Times"/>
                <w:sz w:val="10"/>
                <w:szCs w:val="10"/>
              </w:rPr>
            </w:pPr>
          </w:p>
        </w:tc>
      </w:tr>
      <w:tr w:rsidR="005226DE" w:rsidRPr="00C24481" w14:paraId="6C4D79E4" w14:textId="77777777" w:rsidTr="00C24481">
        <w:tc>
          <w:tcPr>
            <w:tcW w:w="1078" w:type="dxa"/>
            <w:tcBorders>
              <w:top w:val="dotted" w:sz="4" w:space="0" w:color="auto"/>
            </w:tcBorders>
            <w:shd w:val="clear" w:color="auto" w:fill="auto"/>
          </w:tcPr>
          <w:p w14:paraId="633087A3" w14:textId="77777777" w:rsidR="005226DE" w:rsidRPr="00C24481" w:rsidRDefault="005226DE" w:rsidP="00C24481">
            <w:pPr>
              <w:pStyle w:val="Legend"/>
              <w:spacing w:before="0"/>
              <w:rPr>
                <w:rFonts w:ascii="Times" w:hAnsi="Times"/>
                <w:sz w:val="22"/>
              </w:rPr>
            </w:pPr>
            <w:r w:rsidRPr="00C24481">
              <w:rPr>
                <w:rFonts w:ascii="Times" w:hAnsi="Times"/>
                <w:sz w:val="22"/>
              </w:rPr>
              <w:t>2015</w:t>
            </w:r>
          </w:p>
        </w:tc>
        <w:tc>
          <w:tcPr>
            <w:tcW w:w="1701" w:type="dxa"/>
            <w:tcBorders>
              <w:top w:val="dotted" w:sz="4" w:space="0" w:color="auto"/>
            </w:tcBorders>
            <w:shd w:val="clear" w:color="auto" w:fill="auto"/>
          </w:tcPr>
          <w:p w14:paraId="57D07113" w14:textId="77777777" w:rsidR="005226DE" w:rsidRPr="00C24481" w:rsidRDefault="005226DE" w:rsidP="00C24481">
            <w:pPr>
              <w:pStyle w:val="Legend"/>
              <w:spacing w:before="0"/>
              <w:rPr>
                <w:rFonts w:ascii="Times" w:hAnsi="Times"/>
                <w:sz w:val="22"/>
              </w:rPr>
            </w:pPr>
            <w:r w:rsidRPr="00C24481">
              <w:rPr>
                <w:rFonts w:ascii="Times" w:hAnsi="Times"/>
                <w:sz w:val="22"/>
              </w:rPr>
              <w:t>Spring/summer</w:t>
            </w:r>
          </w:p>
        </w:tc>
        <w:tc>
          <w:tcPr>
            <w:tcW w:w="5447" w:type="dxa"/>
            <w:tcBorders>
              <w:top w:val="dotted" w:sz="4" w:space="0" w:color="auto"/>
            </w:tcBorders>
            <w:shd w:val="clear" w:color="auto" w:fill="auto"/>
          </w:tcPr>
          <w:p w14:paraId="728EBF37" w14:textId="77777777" w:rsidR="005226DE" w:rsidRPr="00C24481" w:rsidRDefault="005226DE" w:rsidP="00C24481">
            <w:pPr>
              <w:pStyle w:val="Legend"/>
              <w:spacing w:before="0"/>
              <w:rPr>
                <w:rFonts w:ascii="Times" w:hAnsi="Times"/>
                <w:sz w:val="22"/>
              </w:rPr>
            </w:pPr>
            <w:r w:rsidRPr="00C24481">
              <w:rPr>
                <w:rFonts w:ascii="Times" w:hAnsi="Times"/>
                <w:sz w:val="22"/>
              </w:rPr>
              <w:t xml:space="preserve">Untreated oilseed rape flowers and is harvested. </w:t>
            </w:r>
          </w:p>
          <w:p w14:paraId="694A8E99" w14:textId="77777777" w:rsidR="00362276" w:rsidRPr="00C24481" w:rsidRDefault="00362276" w:rsidP="00C24481">
            <w:pPr>
              <w:pStyle w:val="Legend"/>
              <w:spacing w:before="0"/>
              <w:rPr>
                <w:rFonts w:ascii="Times" w:hAnsi="Times"/>
                <w:sz w:val="10"/>
                <w:szCs w:val="10"/>
              </w:rPr>
            </w:pPr>
          </w:p>
        </w:tc>
      </w:tr>
      <w:tr w:rsidR="001865C0" w:rsidRPr="00C24481" w14:paraId="49ABFC9A" w14:textId="77777777" w:rsidTr="00C24481">
        <w:tc>
          <w:tcPr>
            <w:tcW w:w="1078" w:type="dxa"/>
            <w:shd w:val="clear" w:color="auto" w:fill="auto"/>
          </w:tcPr>
          <w:p w14:paraId="734A18C2" w14:textId="77777777" w:rsidR="001865C0" w:rsidRPr="00C24481" w:rsidRDefault="001865C0" w:rsidP="00C24481">
            <w:pPr>
              <w:pStyle w:val="Legend"/>
              <w:spacing w:before="0"/>
              <w:rPr>
                <w:rFonts w:ascii="Times" w:hAnsi="Times"/>
                <w:sz w:val="22"/>
              </w:rPr>
            </w:pPr>
            <w:r w:rsidRPr="00C24481">
              <w:rPr>
                <w:rFonts w:ascii="Times" w:hAnsi="Times"/>
                <w:sz w:val="22"/>
              </w:rPr>
              <w:t>2015</w:t>
            </w:r>
          </w:p>
        </w:tc>
        <w:tc>
          <w:tcPr>
            <w:tcW w:w="1701" w:type="dxa"/>
            <w:shd w:val="clear" w:color="auto" w:fill="auto"/>
          </w:tcPr>
          <w:p w14:paraId="7CA4D145" w14:textId="77777777" w:rsidR="001865C0" w:rsidRPr="00C24481" w:rsidRDefault="001865C0" w:rsidP="00C24481">
            <w:pPr>
              <w:pStyle w:val="Legend"/>
              <w:spacing w:before="0"/>
              <w:rPr>
                <w:rFonts w:ascii="Times" w:hAnsi="Times"/>
                <w:sz w:val="22"/>
              </w:rPr>
            </w:pPr>
            <w:r w:rsidRPr="00C24481">
              <w:rPr>
                <w:rFonts w:ascii="Times" w:hAnsi="Times"/>
                <w:sz w:val="22"/>
              </w:rPr>
              <w:t>July</w:t>
            </w:r>
          </w:p>
        </w:tc>
        <w:tc>
          <w:tcPr>
            <w:tcW w:w="5447" w:type="dxa"/>
            <w:shd w:val="clear" w:color="auto" w:fill="auto"/>
          </w:tcPr>
          <w:p w14:paraId="59FD3B93" w14:textId="77777777" w:rsidR="001865C0" w:rsidRPr="00C24481" w:rsidRDefault="001865C0" w:rsidP="00C24481">
            <w:pPr>
              <w:pStyle w:val="Legend"/>
              <w:spacing w:before="0"/>
              <w:rPr>
                <w:rFonts w:ascii="Times" w:hAnsi="Times"/>
                <w:sz w:val="22"/>
              </w:rPr>
            </w:pPr>
            <w:r w:rsidRPr="00C24481">
              <w:rPr>
                <w:rFonts w:ascii="Times" w:hAnsi="Times"/>
                <w:sz w:val="22"/>
              </w:rPr>
              <w:t>Emergency derogations are granted for some areas of UK allowing the use of neonicotinoids seed treatments on oilseed rape.   This equated to approximately 5% of the sown area of crop as was restricted to the countries of Cambridgeshire, Suffolk, Hertfordshire and Bedfordshire.</w:t>
            </w:r>
          </w:p>
          <w:p w14:paraId="62E36BD0" w14:textId="77777777" w:rsidR="00362276" w:rsidRPr="00C24481" w:rsidRDefault="00362276" w:rsidP="00C24481">
            <w:pPr>
              <w:pStyle w:val="Legend"/>
              <w:spacing w:before="0"/>
              <w:rPr>
                <w:rFonts w:ascii="Times" w:hAnsi="Times"/>
                <w:sz w:val="10"/>
                <w:szCs w:val="10"/>
              </w:rPr>
            </w:pPr>
          </w:p>
        </w:tc>
      </w:tr>
      <w:tr w:rsidR="001865C0" w:rsidRPr="00C24481" w14:paraId="0B427725" w14:textId="77777777" w:rsidTr="00C24481">
        <w:tc>
          <w:tcPr>
            <w:tcW w:w="1078" w:type="dxa"/>
            <w:tcBorders>
              <w:bottom w:val="dotted" w:sz="4" w:space="0" w:color="auto"/>
            </w:tcBorders>
            <w:shd w:val="clear" w:color="auto" w:fill="auto"/>
          </w:tcPr>
          <w:p w14:paraId="66068B51" w14:textId="77777777" w:rsidR="001865C0" w:rsidRPr="00C24481" w:rsidRDefault="001865C0" w:rsidP="00C24481">
            <w:pPr>
              <w:pStyle w:val="Legend"/>
              <w:spacing w:before="0"/>
              <w:rPr>
                <w:rFonts w:ascii="Times" w:hAnsi="Times"/>
                <w:sz w:val="22"/>
              </w:rPr>
            </w:pPr>
            <w:r w:rsidRPr="00C24481">
              <w:rPr>
                <w:rFonts w:ascii="Times" w:hAnsi="Times"/>
                <w:sz w:val="22"/>
              </w:rPr>
              <w:t>2015</w:t>
            </w:r>
          </w:p>
        </w:tc>
        <w:tc>
          <w:tcPr>
            <w:tcW w:w="1701" w:type="dxa"/>
            <w:tcBorders>
              <w:bottom w:val="dotted" w:sz="4" w:space="0" w:color="auto"/>
            </w:tcBorders>
            <w:shd w:val="clear" w:color="auto" w:fill="auto"/>
          </w:tcPr>
          <w:p w14:paraId="241B876E" w14:textId="77777777" w:rsidR="001865C0" w:rsidRPr="00C24481" w:rsidRDefault="001865C0" w:rsidP="00C24481">
            <w:pPr>
              <w:pStyle w:val="Legend"/>
              <w:spacing w:before="0"/>
              <w:rPr>
                <w:rFonts w:ascii="Times" w:hAnsi="Times"/>
                <w:sz w:val="22"/>
              </w:rPr>
            </w:pPr>
            <w:r w:rsidRPr="00C24481">
              <w:rPr>
                <w:rFonts w:ascii="Times" w:hAnsi="Times"/>
                <w:sz w:val="22"/>
              </w:rPr>
              <w:t>Autumn</w:t>
            </w:r>
          </w:p>
        </w:tc>
        <w:tc>
          <w:tcPr>
            <w:tcW w:w="5447" w:type="dxa"/>
            <w:tcBorders>
              <w:bottom w:val="dotted" w:sz="4" w:space="0" w:color="auto"/>
            </w:tcBorders>
            <w:shd w:val="clear" w:color="auto" w:fill="auto"/>
          </w:tcPr>
          <w:p w14:paraId="4F275B1B" w14:textId="77777777" w:rsidR="001865C0" w:rsidRPr="00C24481" w:rsidRDefault="001865C0" w:rsidP="00C24481">
            <w:pPr>
              <w:pStyle w:val="Legend"/>
              <w:spacing w:before="0"/>
              <w:rPr>
                <w:rFonts w:ascii="Times" w:hAnsi="Times"/>
                <w:sz w:val="22"/>
              </w:rPr>
            </w:pPr>
            <w:r w:rsidRPr="00C24481">
              <w:rPr>
                <w:rFonts w:ascii="Times" w:hAnsi="Times"/>
                <w:sz w:val="22"/>
              </w:rPr>
              <w:t>Winter oilseed rape treated receiving no neonicotinoid seed treatment due to moratorium is sown for harvest in 2015.   However, due to exemptions granted neonicotinoid treated oilseed rape is four counties in the UK.</w:t>
            </w:r>
          </w:p>
          <w:p w14:paraId="33DEF3F9" w14:textId="77777777" w:rsidR="00362276" w:rsidRPr="00C24481" w:rsidRDefault="00362276" w:rsidP="00C24481">
            <w:pPr>
              <w:pStyle w:val="Legend"/>
              <w:spacing w:before="0"/>
              <w:rPr>
                <w:rFonts w:ascii="Times" w:hAnsi="Times"/>
                <w:sz w:val="10"/>
                <w:szCs w:val="10"/>
              </w:rPr>
            </w:pPr>
          </w:p>
        </w:tc>
      </w:tr>
      <w:tr w:rsidR="001865C0" w:rsidRPr="00C24481" w14:paraId="01AA0088" w14:textId="77777777" w:rsidTr="00C24481">
        <w:tc>
          <w:tcPr>
            <w:tcW w:w="1078" w:type="dxa"/>
            <w:tcBorders>
              <w:top w:val="dotted" w:sz="4" w:space="0" w:color="auto"/>
              <w:bottom w:val="single" w:sz="12" w:space="0" w:color="auto"/>
            </w:tcBorders>
            <w:shd w:val="clear" w:color="auto" w:fill="auto"/>
          </w:tcPr>
          <w:p w14:paraId="0FE17832" w14:textId="77777777" w:rsidR="001865C0" w:rsidRPr="00C24481" w:rsidRDefault="001865C0" w:rsidP="00C24481">
            <w:pPr>
              <w:pStyle w:val="Legend"/>
              <w:spacing w:before="0"/>
              <w:rPr>
                <w:rFonts w:ascii="Times" w:hAnsi="Times"/>
                <w:sz w:val="22"/>
              </w:rPr>
            </w:pPr>
            <w:r w:rsidRPr="00C24481">
              <w:rPr>
                <w:rFonts w:ascii="Times" w:hAnsi="Times"/>
                <w:sz w:val="22"/>
              </w:rPr>
              <w:t>2016</w:t>
            </w:r>
          </w:p>
        </w:tc>
        <w:tc>
          <w:tcPr>
            <w:tcW w:w="1701" w:type="dxa"/>
            <w:tcBorders>
              <w:top w:val="dotted" w:sz="4" w:space="0" w:color="auto"/>
              <w:bottom w:val="single" w:sz="12" w:space="0" w:color="auto"/>
            </w:tcBorders>
            <w:shd w:val="clear" w:color="auto" w:fill="auto"/>
          </w:tcPr>
          <w:p w14:paraId="57CCE104" w14:textId="77777777" w:rsidR="001865C0" w:rsidRPr="00C24481" w:rsidRDefault="001865C0" w:rsidP="00C24481">
            <w:pPr>
              <w:pStyle w:val="Legend"/>
              <w:spacing w:before="0"/>
              <w:rPr>
                <w:rFonts w:ascii="Times" w:hAnsi="Times"/>
                <w:sz w:val="22"/>
              </w:rPr>
            </w:pPr>
            <w:r w:rsidRPr="00C24481">
              <w:rPr>
                <w:rFonts w:ascii="Times" w:hAnsi="Times"/>
                <w:sz w:val="22"/>
              </w:rPr>
              <w:t>Spring/summer</w:t>
            </w:r>
          </w:p>
        </w:tc>
        <w:tc>
          <w:tcPr>
            <w:tcW w:w="5447" w:type="dxa"/>
            <w:tcBorders>
              <w:top w:val="dotted" w:sz="4" w:space="0" w:color="auto"/>
              <w:bottom w:val="single" w:sz="12" w:space="0" w:color="auto"/>
            </w:tcBorders>
            <w:shd w:val="clear" w:color="auto" w:fill="auto"/>
          </w:tcPr>
          <w:p w14:paraId="69E141E6" w14:textId="77777777" w:rsidR="001865C0" w:rsidRPr="00C24481" w:rsidRDefault="001865C0" w:rsidP="00C24481">
            <w:pPr>
              <w:pStyle w:val="Legend"/>
              <w:spacing w:before="0"/>
              <w:rPr>
                <w:rFonts w:ascii="Times" w:hAnsi="Times"/>
                <w:sz w:val="22"/>
              </w:rPr>
            </w:pPr>
            <w:r w:rsidRPr="00C24481">
              <w:rPr>
                <w:rFonts w:ascii="Times" w:hAnsi="Times"/>
                <w:sz w:val="22"/>
              </w:rPr>
              <w:t>Untreated oilseed rape flowers and is harvested wit</w:t>
            </w:r>
            <w:r w:rsidR="00362276" w:rsidRPr="00C24481">
              <w:rPr>
                <w:rFonts w:ascii="Times" w:hAnsi="Times"/>
                <w:sz w:val="22"/>
              </w:rPr>
              <w:t xml:space="preserve">h the exception of those areas </w:t>
            </w:r>
            <w:r w:rsidRPr="00C24481">
              <w:rPr>
                <w:rFonts w:ascii="Times" w:hAnsi="Times"/>
                <w:sz w:val="22"/>
              </w:rPr>
              <w:t>treated with neonicotinoids as part of the exemptions granted in 2015.</w:t>
            </w:r>
          </w:p>
        </w:tc>
      </w:tr>
    </w:tbl>
    <w:p w14:paraId="71E30B10" w14:textId="77777777" w:rsidR="005226DE" w:rsidRPr="00B40B36" w:rsidRDefault="005226DE" w:rsidP="005226DE">
      <w:pPr>
        <w:pStyle w:val="Legend"/>
        <w:spacing w:before="0" w:line="360" w:lineRule="auto"/>
        <w:ind w:left="1440" w:hanging="720"/>
      </w:pPr>
    </w:p>
    <w:p w14:paraId="2E2C64B8" w14:textId="77777777" w:rsidR="00013086" w:rsidRDefault="005226DE" w:rsidP="00D42162">
      <w:pPr>
        <w:pStyle w:val="Acknowledgement"/>
        <w:spacing w:before="0" w:line="360" w:lineRule="auto"/>
        <w:ind w:firstLine="0"/>
        <w:rPr>
          <w:b/>
        </w:rPr>
      </w:pPr>
      <w:r>
        <w:rPr>
          <w:b/>
        </w:rPr>
        <w:br w:type="page"/>
      </w:r>
    </w:p>
    <w:p w14:paraId="4441FD8F" w14:textId="6883F6BC" w:rsidR="007F38B4" w:rsidRPr="00DB6F0B" w:rsidRDefault="007F38B4" w:rsidP="007F38B4">
      <w:pPr>
        <w:pStyle w:val="Acknowledgement"/>
        <w:spacing w:before="0" w:line="360" w:lineRule="auto"/>
        <w:ind w:left="1440"/>
        <w:rPr>
          <w:b/>
        </w:rPr>
      </w:pPr>
      <w:r w:rsidRPr="00DB6F0B">
        <w:rPr>
          <w:b/>
        </w:rPr>
        <w:lastRenderedPageBreak/>
        <w:t xml:space="preserve"> </w:t>
      </w:r>
    </w:p>
    <w:p w14:paraId="32A93058" w14:textId="3D62C5C7" w:rsidR="005B6F15" w:rsidRDefault="005B6F15" w:rsidP="00D149E9">
      <w:pPr>
        <w:pStyle w:val="Acknowledgement"/>
        <w:spacing w:before="0" w:line="360" w:lineRule="auto"/>
        <w:ind w:left="0" w:firstLine="0"/>
      </w:pPr>
      <w:r w:rsidRPr="00DB6F0B">
        <w:rPr>
          <w:b/>
        </w:rPr>
        <w:t>Table</w:t>
      </w:r>
      <w:r w:rsidR="00297D99">
        <w:rPr>
          <w:b/>
        </w:rPr>
        <w:t xml:space="preserve"> B</w:t>
      </w:r>
      <w:r w:rsidRPr="00DB6F0B">
        <w:rPr>
          <w:b/>
        </w:rPr>
        <w:t>.</w:t>
      </w:r>
      <w:r>
        <w:t xml:space="preserve">  </w:t>
      </w:r>
      <w:r w:rsidRPr="00093850">
        <w:rPr>
          <w:b/>
        </w:rPr>
        <w:t>Raw data providing for neonicotinoid residues in honey.</w:t>
      </w:r>
      <w:r>
        <w:t xml:space="preserve">  Both combined (NNI) and separate thiamethoxam, (TMX), clothianidin (CTD) and imidacloprid (IMI) neonicotinoid residues are given.    The spatial location of each </w:t>
      </w:r>
      <w:r w:rsidR="00A637CF">
        <w:t>beekeeper</w:t>
      </w:r>
      <w:r>
        <w:t xml:space="preserve"> is anonymized to a 10 km grid square resolution. </w:t>
      </w:r>
      <w:r w:rsidR="00A637CF">
        <w:t xml:space="preserve"> </w:t>
      </w:r>
      <w:r w:rsidR="005C104A">
        <w:t>The calendar month of honey harvest.</w:t>
      </w:r>
      <w:r w:rsidR="00AB13DC">
        <w:t xml:space="preserve"> </w:t>
      </w:r>
      <w:r w:rsidR="005C104A">
        <w:t xml:space="preserve">Residues below the </w:t>
      </w:r>
      <w:r w:rsidR="00AB13DC">
        <w:t>limit of quantification</w:t>
      </w:r>
      <w:r w:rsidR="005C104A">
        <w:t xml:space="preserve"> (</w:t>
      </w:r>
      <w:r w:rsidR="00AB13DC">
        <w:t>LOQ=</w:t>
      </w:r>
      <w:r w:rsidR="005C104A">
        <w:t>0.53 ng g</w:t>
      </w:r>
      <w:r w:rsidR="005C104A" w:rsidRPr="005C104A">
        <w:rPr>
          <w:vertAlign w:val="superscript"/>
        </w:rPr>
        <w:t>-1</w:t>
      </w:r>
      <w:r w:rsidR="005C104A">
        <w:t xml:space="preserve"> w/w) but above the </w:t>
      </w:r>
      <w:r w:rsidR="00AB13DC">
        <w:t>limit of detection</w:t>
      </w:r>
      <w:r w:rsidR="005C104A">
        <w:t xml:space="preserve"> (</w:t>
      </w:r>
      <w:r w:rsidR="00AB13DC">
        <w:t>LOD=</w:t>
      </w:r>
      <w:r w:rsidR="005C104A">
        <w:t>0.38 ng g</w:t>
      </w:r>
      <w:r w:rsidR="005C104A" w:rsidRPr="005C104A">
        <w:rPr>
          <w:vertAlign w:val="superscript"/>
        </w:rPr>
        <w:t>-1</w:t>
      </w:r>
      <w:r w:rsidR="005C104A">
        <w:t xml:space="preserve"> w/w) are set to the LOD, v</w:t>
      </w:r>
      <w:r w:rsidR="00AB13DC">
        <w:t>alue</w:t>
      </w:r>
      <w:r w:rsidR="005C104A">
        <w:t>s</w:t>
      </w:r>
      <w:r w:rsidR="00AB13DC">
        <w:t xml:space="preserve"> </w:t>
      </w:r>
      <w:r w:rsidR="005C104A">
        <w:t xml:space="preserve">below the LOD are set to 0.00.  </w:t>
      </w:r>
    </w:p>
    <w:p w14:paraId="1FB05ED6" w14:textId="77777777" w:rsidR="005C104A" w:rsidRDefault="005C104A" w:rsidP="001B2F0E">
      <w:pPr>
        <w:pStyle w:val="Acknowledgement"/>
        <w:spacing w:before="0" w:line="360" w:lineRule="auto"/>
        <w:ind w:left="1440"/>
      </w:pPr>
    </w:p>
    <w:p w14:paraId="4C32FA6E" w14:textId="77777777" w:rsidR="005C104A" w:rsidRDefault="005C104A" w:rsidP="001B2F0E">
      <w:pPr>
        <w:pStyle w:val="Acknowledgement"/>
        <w:spacing w:before="0" w:line="360" w:lineRule="auto"/>
        <w:ind w:left="1440"/>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0"/>
        <w:gridCol w:w="794"/>
        <w:gridCol w:w="861"/>
        <w:gridCol w:w="994"/>
        <w:gridCol w:w="927"/>
        <w:gridCol w:w="851"/>
        <w:gridCol w:w="850"/>
        <w:gridCol w:w="851"/>
        <w:gridCol w:w="850"/>
        <w:gridCol w:w="851"/>
        <w:gridCol w:w="850"/>
      </w:tblGrid>
      <w:tr w:rsidR="00AB13DC" w:rsidRPr="008A38A6" w14:paraId="135F35C7" w14:textId="77777777" w:rsidTr="00AB13DC">
        <w:trPr>
          <w:trHeight w:val="300"/>
        </w:trPr>
        <w:tc>
          <w:tcPr>
            <w:tcW w:w="960" w:type="dxa"/>
            <w:shd w:val="clear" w:color="auto" w:fill="auto"/>
            <w:noWrap/>
            <w:hideMark/>
          </w:tcPr>
          <w:p w14:paraId="5ABE1AC3" w14:textId="77777777" w:rsidR="00AB13DC" w:rsidRPr="00AB13DC" w:rsidRDefault="00AB13DC" w:rsidP="005C104A">
            <w:pPr>
              <w:rPr>
                <w:rFonts w:eastAsia="Times New Roman"/>
                <w:b/>
                <w:lang w:val="en-GB" w:eastAsia="en-GB"/>
              </w:rPr>
            </w:pPr>
            <w:r w:rsidRPr="00AB13DC">
              <w:rPr>
                <w:rFonts w:eastAsia="Times New Roman"/>
                <w:b/>
                <w:lang w:val="en-GB" w:eastAsia="en-GB"/>
              </w:rPr>
              <w:t>Year</w:t>
            </w:r>
          </w:p>
        </w:tc>
        <w:tc>
          <w:tcPr>
            <w:tcW w:w="794" w:type="dxa"/>
            <w:shd w:val="clear" w:color="auto" w:fill="auto"/>
            <w:noWrap/>
            <w:hideMark/>
          </w:tcPr>
          <w:p w14:paraId="4A158BA6" w14:textId="77777777" w:rsidR="00AB13DC" w:rsidRPr="00AB13DC" w:rsidRDefault="00AB13DC" w:rsidP="00AB13DC">
            <w:pPr>
              <w:rPr>
                <w:rFonts w:eastAsia="Times New Roman"/>
                <w:b/>
                <w:lang w:val="en-GB" w:eastAsia="en-GB"/>
              </w:rPr>
            </w:pPr>
            <w:r w:rsidRPr="00AB13DC">
              <w:rPr>
                <w:rFonts w:eastAsia="Times New Roman"/>
                <w:b/>
                <w:lang w:val="en-GB" w:eastAsia="en-GB"/>
              </w:rPr>
              <w:t xml:space="preserve">Month </w:t>
            </w:r>
          </w:p>
        </w:tc>
        <w:tc>
          <w:tcPr>
            <w:tcW w:w="861" w:type="dxa"/>
            <w:shd w:val="clear" w:color="auto" w:fill="auto"/>
            <w:noWrap/>
            <w:hideMark/>
          </w:tcPr>
          <w:p w14:paraId="379B2CDB" w14:textId="77777777" w:rsidR="00AB13DC" w:rsidRPr="00AB13DC" w:rsidRDefault="00AB13DC" w:rsidP="005C104A">
            <w:pPr>
              <w:rPr>
                <w:rFonts w:eastAsia="Times New Roman"/>
                <w:b/>
                <w:lang w:val="en-GB" w:eastAsia="en-GB"/>
              </w:rPr>
            </w:pPr>
            <w:r w:rsidRPr="00AB13DC">
              <w:rPr>
                <w:rFonts w:eastAsia="Times New Roman"/>
                <w:b/>
                <w:lang w:val="en-GB" w:eastAsia="en-GB"/>
              </w:rPr>
              <w:t>Easting</w:t>
            </w:r>
          </w:p>
        </w:tc>
        <w:tc>
          <w:tcPr>
            <w:tcW w:w="994" w:type="dxa"/>
            <w:shd w:val="clear" w:color="auto" w:fill="auto"/>
            <w:noWrap/>
            <w:hideMark/>
          </w:tcPr>
          <w:p w14:paraId="5714A752" w14:textId="77777777" w:rsidR="00AB13DC" w:rsidRPr="00AB13DC" w:rsidRDefault="00AB13DC" w:rsidP="005C104A">
            <w:pPr>
              <w:rPr>
                <w:rFonts w:eastAsia="Times New Roman"/>
                <w:b/>
                <w:lang w:val="en-GB" w:eastAsia="en-GB"/>
              </w:rPr>
            </w:pPr>
            <w:r w:rsidRPr="00AB13DC">
              <w:rPr>
                <w:rFonts w:eastAsia="Times New Roman"/>
                <w:b/>
                <w:lang w:val="en-GB" w:eastAsia="en-GB"/>
              </w:rPr>
              <w:t>Northing</w:t>
            </w:r>
          </w:p>
        </w:tc>
        <w:tc>
          <w:tcPr>
            <w:tcW w:w="927" w:type="dxa"/>
            <w:shd w:val="clear" w:color="auto" w:fill="auto"/>
            <w:noWrap/>
            <w:hideMark/>
          </w:tcPr>
          <w:p w14:paraId="4E63E5DB" w14:textId="77777777" w:rsidR="00AB13DC" w:rsidRPr="00AB13DC" w:rsidRDefault="00AB13DC" w:rsidP="005C104A">
            <w:pPr>
              <w:rPr>
                <w:rFonts w:eastAsia="Times New Roman"/>
                <w:b/>
                <w:lang w:val="en-GB" w:eastAsia="en-GB"/>
              </w:rPr>
            </w:pPr>
            <w:r w:rsidRPr="00AB13DC">
              <w:rPr>
                <w:rFonts w:eastAsia="Times New Roman"/>
                <w:b/>
                <w:lang w:val="en-GB" w:eastAsia="en-GB"/>
              </w:rPr>
              <w:t>Arable cover (% in 2 km radius)</w:t>
            </w:r>
          </w:p>
        </w:tc>
        <w:tc>
          <w:tcPr>
            <w:tcW w:w="851" w:type="dxa"/>
            <w:shd w:val="clear" w:color="auto" w:fill="auto"/>
            <w:noWrap/>
            <w:hideMark/>
          </w:tcPr>
          <w:p w14:paraId="6975E011" w14:textId="77777777" w:rsidR="00AB13DC" w:rsidRPr="00AB13DC" w:rsidRDefault="00AB13DC" w:rsidP="005C104A">
            <w:pPr>
              <w:rPr>
                <w:rFonts w:eastAsia="Times New Roman"/>
                <w:b/>
                <w:lang w:val="en-GB" w:eastAsia="en-GB"/>
              </w:rPr>
            </w:pPr>
            <w:r w:rsidRPr="00AB13DC">
              <w:rPr>
                <w:rFonts w:eastAsia="Times New Roman"/>
                <w:b/>
                <w:lang w:val="en-GB" w:eastAsia="en-GB"/>
              </w:rPr>
              <w:t>Oilseed rape cover (% in 2 km radius)</w:t>
            </w:r>
          </w:p>
        </w:tc>
        <w:tc>
          <w:tcPr>
            <w:tcW w:w="850" w:type="dxa"/>
            <w:shd w:val="clear" w:color="auto" w:fill="auto"/>
            <w:noWrap/>
            <w:hideMark/>
          </w:tcPr>
          <w:p w14:paraId="6A21E063" w14:textId="77777777" w:rsidR="00AB13DC" w:rsidRPr="00AB13DC" w:rsidRDefault="00AB13DC" w:rsidP="005C104A">
            <w:pPr>
              <w:rPr>
                <w:rFonts w:eastAsia="Times New Roman"/>
                <w:b/>
                <w:lang w:val="en-GB" w:eastAsia="en-GB"/>
              </w:rPr>
            </w:pPr>
            <w:r w:rsidRPr="00AB13DC">
              <w:rPr>
                <w:rFonts w:eastAsia="Times New Roman"/>
                <w:b/>
                <w:lang w:val="en-GB" w:eastAsia="en-GB"/>
              </w:rPr>
              <w:t>Winter cereals cover (% in 2 km radius)</w:t>
            </w:r>
          </w:p>
        </w:tc>
        <w:tc>
          <w:tcPr>
            <w:tcW w:w="851" w:type="dxa"/>
            <w:shd w:val="clear" w:color="auto" w:fill="auto"/>
            <w:noWrap/>
            <w:hideMark/>
          </w:tcPr>
          <w:p w14:paraId="30AA2B9B" w14:textId="77777777" w:rsidR="00AB13DC" w:rsidRPr="00AB13DC" w:rsidRDefault="00AB13DC" w:rsidP="005C104A">
            <w:pPr>
              <w:rPr>
                <w:rFonts w:eastAsia="Times New Roman"/>
                <w:b/>
                <w:lang w:val="en-GB" w:eastAsia="en-GB"/>
              </w:rPr>
            </w:pPr>
            <w:r w:rsidRPr="00AB13DC">
              <w:rPr>
                <w:rFonts w:eastAsia="Times New Roman"/>
                <w:b/>
                <w:lang w:val="en-GB" w:eastAsia="en-GB"/>
              </w:rPr>
              <w:t>TMX (w/w ng g</w:t>
            </w:r>
            <w:r w:rsidRPr="00AB13DC">
              <w:rPr>
                <w:rFonts w:eastAsia="Times New Roman"/>
                <w:b/>
                <w:vertAlign w:val="superscript"/>
                <w:lang w:val="en-GB" w:eastAsia="en-GB"/>
              </w:rPr>
              <w:t>-1</w:t>
            </w:r>
            <w:r w:rsidRPr="00AB13DC">
              <w:rPr>
                <w:rFonts w:eastAsia="Times New Roman"/>
                <w:b/>
                <w:lang w:val="en-GB" w:eastAsia="en-GB"/>
              </w:rPr>
              <w:t>)</w:t>
            </w:r>
          </w:p>
        </w:tc>
        <w:tc>
          <w:tcPr>
            <w:tcW w:w="850" w:type="dxa"/>
            <w:shd w:val="clear" w:color="auto" w:fill="auto"/>
            <w:noWrap/>
            <w:hideMark/>
          </w:tcPr>
          <w:p w14:paraId="0B579388" w14:textId="77777777" w:rsidR="00AB13DC" w:rsidRPr="00AB13DC" w:rsidRDefault="00AB13DC" w:rsidP="005C104A">
            <w:pPr>
              <w:rPr>
                <w:rFonts w:eastAsia="Times New Roman"/>
                <w:b/>
                <w:lang w:val="en-GB" w:eastAsia="en-GB"/>
              </w:rPr>
            </w:pPr>
            <w:r w:rsidRPr="00AB13DC">
              <w:rPr>
                <w:rFonts w:eastAsia="Times New Roman"/>
                <w:b/>
                <w:lang w:val="en-GB" w:eastAsia="en-GB"/>
              </w:rPr>
              <w:t>CTD (w/w ng g</w:t>
            </w:r>
            <w:r w:rsidRPr="00AB13DC">
              <w:rPr>
                <w:rFonts w:eastAsia="Times New Roman"/>
                <w:b/>
                <w:vertAlign w:val="superscript"/>
                <w:lang w:val="en-GB" w:eastAsia="en-GB"/>
              </w:rPr>
              <w:t>-1</w:t>
            </w:r>
            <w:r w:rsidRPr="00AB13DC">
              <w:rPr>
                <w:rFonts w:eastAsia="Times New Roman"/>
                <w:b/>
                <w:lang w:val="en-GB" w:eastAsia="en-GB"/>
              </w:rPr>
              <w:t>)</w:t>
            </w:r>
          </w:p>
        </w:tc>
        <w:tc>
          <w:tcPr>
            <w:tcW w:w="851" w:type="dxa"/>
            <w:shd w:val="clear" w:color="auto" w:fill="auto"/>
            <w:noWrap/>
            <w:hideMark/>
          </w:tcPr>
          <w:p w14:paraId="39C3810E" w14:textId="77777777" w:rsidR="00AB13DC" w:rsidRPr="00AB13DC" w:rsidRDefault="00AB13DC" w:rsidP="005C104A">
            <w:pPr>
              <w:rPr>
                <w:rFonts w:eastAsia="Times New Roman"/>
                <w:b/>
                <w:lang w:val="en-GB" w:eastAsia="en-GB"/>
              </w:rPr>
            </w:pPr>
            <w:r w:rsidRPr="00AB13DC">
              <w:rPr>
                <w:rFonts w:eastAsia="Times New Roman"/>
                <w:b/>
                <w:lang w:val="en-GB" w:eastAsia="en-GB"/>
              </w:rPr>
              <w:t>IMI (w/w ng g</w:t>
            </w:r>
            <w:r w:rsidRPr="00AB13DC">
              <w:rPr>
                <w:rFonts w:eastAsia="Times New Roman"/>
                <w:b/>
                <w:vertAlign w:val="superscript"/>
                <w:lang w:val="en-GB" w:eastAsia="en-GB"/>
              </w:rPr>
              <w:t>-1</w:t>
            </w:r>
            <w:r w:rsidRPr="00AB13DC">
              <w:rPr>
                <w:rFonts w:eastAsia="Times New Roman"/>
                <w:b/>
                <w:lang w:val="en-GB" w:eastAsia="en-GB"/>
              </w:rPr>
              <w:t>)</w:t>
            </w:r>
          </w:p>
        </w:tc>
        <w:tc>
          <w:tcPr>
            <w:tcW w:w="850" w:type="dxa"/>
            <w:shd w:val="clear" w:color="auto" w:fill="auto"/>
            <w:noWrap/>
            <w:hideMark/>
          </w:tcPr>
          <w:p w14:paraId="1C3AB5DA" w14:textId="77777777" w:rsidR="00AB13DC" w:rsidRPr="00AB13DC" w:rsidRDefault="00AB13DC" w:rsidP="005C104A">
            <w:pPr>
              <w:rPr>
                <w:rFonts w:eastAsia="Times New Roman"/>
                <w:b/>
                <w:lang w:val="en-GB" w:eastAsia="en-GB"/>
              </w:rPr>
            </w:pPr>
            <w:r w:rsidRPr="00AB13DC">
              <w:rPr>
                <w:rFonts w:eastAsia="Times New Roman"/>
                <w:b/>
                <w:lang w:val="en-GB" w:eastAsia="en-GB"/>
              </w:rPr>
              <w:t>NNI (w/w ng g</w:t>
            </w:r>
            <w:r w:rsidRPr="00AB13DC">
              <w:rPr>
                <w:rFonts w:eastAsia="Times New Roman"/>
                <w:b/>
                <w:vertAlign w:val="superscript"/>
                <w:lang w:val="en-GB" w:eastAsia="en-GB"/>
              </w:rPr>
              <w:t>-1</w:t>
            </w:r>
            <w:r w:rsidRPr="00AB13DC">
              <w:rPr>
                <w:rFonts w:eastAsia="Times New Roman"/>
                <w:b/>
                <w:lang w:val="en-GB" w:eastAsia="en-GB"/>
              </w:rPr>
              <w:t>)</w:t>
            </w:r>
          </w:p>
        </w:tc>
      </w:tr>
      <w:tr w:rsidR="00AB13DC" w:rsidRPr="008A38A6" w14:paraId="464D10F3" w14:textId="77777777" w:rsidTr="00AB13DC">
        <w:trPr>
          <w:trHeight w:val="300"/>
        </w:trPr>
        <w:tc>
          <w:tcPr>
            <w:tcW w:w="960" w:type="dxa"/>
            <w:shd w:val="clear" w:color="auto" w:fill="auto"/>
            <w:noWrap/>
            <w:vAlign w:val="bottom"/>
            <w:hideMark/>
          </w:tcPr>
          <w:p w14:paraId="469ED501"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vAlign w:val="bottom"/>
            <w:hideMark/>
          </w:tcPr>
          <w:p w14:paraId="565E6CAA" w14:textId="77777777" w:rsidR="00AB13DC" w:rsidRPr="008A38A6" w:rsidRDefault="00AB13DC" w:rsidP="00D824E7">
            <w:pPr>
              <w:rPr>
                <w:rFonts w:ascii="Calibri" w:eastAsia="Times New Roman" w:hAnsi="Calibri"/>
                <w:lang w:val="en-GB" w:eastAsia="en-GB"/>
              </w:rPr>
            </w:pPr>
            <w:r w:rsidRPr="008A38A6">
              <w:rPr>
                <w:rFonts w:ascii="Calibri" w:eastAsia="Times New Roman" w:hAnsi="Calibri"/>
                <w:lang w:val="en-GB" w:eastAsia="en-GB"/>
              </w:rPr>
              <w:t>May</w:t>
            </w:r>
          </w:p>
        </w:tc>
        <w:tc>
          <w:tcPr>
            <w:tcW w:w="861" w:type="dxa"/>
            <w:shd w:val="clear" w:color="auto" w:fill="auto"/>
            <w:noWrap/>
            <w:vAlign w:val="bottom"/>
            <w:hideMark/>
          </w:tcPr>
          <w:p w14:paraId="7F7BA5C6"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441900</w:t>
            </w:r>
          </w:p>
        </w:tc>
        <w:tc>
          <w:tcPr>
            <w:tcW w:w="994" w:type="dxa"/>
            <w:shd w:val="clear" w:color="auto" w:fill="auto"/>
            <w:noWrap/>
            <w:vAlign w:val="bottom"/>
            <w:hideMark/>
          </w:tcPr>
          <w:p w14:paraId="45938BF9"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177100</w:t>
            </w:r>
          </w:p>
        </w:tc>
        <w:tc>
          <w:tcPr>
            <w:tcW w:w="927" w:type="dxa"/>
            <w:shd w:val="clear" w:color="auto" w:fill="auto"/>
            <w:noWrap/>
            <w:vAlign w:val="bottom"/>
            <w:hideMark/>
          </w:tcPr>
          <w:p w14:paraId="486DB0CA"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80.12</w:t>
            </w:r>
          </w:p>
        </w:tc>
        <w:tc>
          <w:tcPr>
            <w:tcW w:w="851" w:type="dxa"/>
            <w:shd w:val="clear" w:color="auto" w:fill="auto"/>
            <w:noWrap/>
            <w:vAlign w:val="bottom"/>
            <w:hideMark/>
          </w:tcPr>
          <w:p w14:paraId="33240D5A"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10.28</w:t>
            </w:r>
          </w:p>
        </w:tc>
        <w:tc>
          <w:tcPr>
            <w:tcW w:w="850" w:type="dxa"/>
            <w:shd w:val="clear" w:color="auto" w:fill="auto"/>
            <w:noWrap/>
            <w:vAlign w:val="bottom"/>
            <w:hideMark/>
          </w:tcPr>
          <w:p w14:paraId="0920F29E"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24.60</w:t>
            </w:r>
          </w:p>
        </w:tc>
        <w:tc>
          <w:tcPr>
            <w:tcW w:w="851" w:type="dxa"/>
            <w:shd w:val="clear" w:color="auto" w:fill="auto"/>
            <w:noWrap/>
            <w:vAlign w:val="bottom"/>
            <w:hideMark/>
          </w:tcPr>
          <w:p w14:paraId="50083E5C"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74D3AA4"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0.69</w:t>
            </w:r>
          </w:p>
        </w:tc>
        <w:tc>
          <w:tcPr>
            <w:tcW w:w="851" w:type="dxa"/>
            <w:shd w:val="clear" w:color="auto" w:fill="auto"/>
            <w:noWrap/>
            <w:vAlign w:val="bottom"/>
            <w:hideMark/>
          </w:tcPr>
          <w:p w14:paraId="18CFA303"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0AD601C"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0.69</w:t>
            </w:r>
          </w:p>
        </w:tc>
      </w:tr>
      <w:tr w:rsidR="00AB13DC" w:rsidRPr="008A38A6" w14:paraId="2343B855" w14:textId="77777777" w:rsidTr="00F560C9">
        <w:trPr>
          <w:trHeight w:val="300"/>
        </w:trPr>
        <w:tc>
          <w:tcPr>
            <w:tcW w:w="960" w:type="dxa"/>
            <w:shd w:val="clear" w:color="auto" w:fill="auto"/>
            <w:noWrap/>
            <w:vAlign w:val="bottom"/>
            <w:hideMark/>
          </w:tcPr>
          <w:p w14:paraId="1590210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554EFE53" w14:textId="77777777" w:rsidR="00AB13DC" w:rsidRDefault="00AB13DC" w:rsidP="00AB13DC">
            <w:r w:rsidRPr="008A38A6">
              <w:rPr>
                <w:rFonts w:ascii="Calibri" w:eastAsia="Times New Roman" w:hAnsi="Calibri"/>
                <w:lang w:val="en-GB" w:eastAsia="en-GB"/>
              </w:rPr>
              <w:t>May</w:t>
            </w:r>
          </w:p>
        </w:tc>
        <w:tc>
          <w:tcPr>
            <w:tcW w:w="861" w:type="dxa"/>
            <w:shd w:val="clear" w:color="auto" w:fill="auto"/>
            <w:noWrap/>
            <w:vAlign w:val="bottom"/>
            <w:hideMark/>
          </w:tcPr>
          <w:p w14:paraId="527FA39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596500</w:t>
            </w:r>
          </w:p>
        </w:tc>
        <w:tc>
          <w:tcPr>
            <w:tcW w:w="994" w:type="dxa"/>
            <w:shd w:val="clear" w:color="auto" w:fill="auto"/>
            <w:noWrap/>
            <w:vAlign w:val="bottom"/>
            <w:hideMark/>
          </w:tcPr>
          <w:p w14:paraId="05B4F31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259600</w:t>
            </w:r>
          </w:p>
        </w:tc>
        <w:tc>
          <w:tcPr>
            <w:tcW w:w="927" w:type="dxa"/>
            <w:shd w:val="clear" w:color="auto" w:fill="auto"/>
            <w:noWrap/>
            <w:vAlign w:val="bottom"/>
            <w:hideMark/>
          </w:tcPr>
          <w:p w14:paraId="09DD80A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83.47</w:t>
            </w:r>
          </w:p>
        </w:tc>
        <w:tc>
          <w:tcPr>
            <w:tcW w:w="851" w:type="dxa"/>
            <w:shd w:val="clear" w:color="auto" w:fill="auto"/>
            <w:noWrap/>
            <w:vAlign w:val="bottom"/>
            <w:hideMark/>
          </w:tcPr>
          <w:p w14:paraId="119D90B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14.67</w:t>
            </w:r>
          </w:p>
        </w:tc>
        <w:tc>
          <w:tcPr>
            <w:tcW w:w="850" w:type="dxa"/>
            <w:shd w:val="clear" w:color="auto" w:fill="auto"/>
            <w:noWrap/>
            <w:vAlign w:val="bottom"/>
            <w:hideMark/>
          </w:tcPr>
          <w:p w14:paraId="64C479B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22.89</w:t>
            </w:r>
          </w:p>
        </w:tc>
        <w:tc>
          <w:tcPr>
            <w:tcW w:w="851" w:type="dxa"/>
            <w:shd w:val="clear" w:color="auto" w:fill="auto"/>
            <w:noWrap/>
            <w:vAlign w:val="bottom"/>
            <w:hideMark/>
          </w:tcPr>
          <w:p w14:paraId="607F44A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1.41</w:t>
            </w:r>
          </w:p>
        </w:tc>
        <w:tc>
          <w:tcPr>
            <w:tcW w:w="850" w:type="dxa"/>
            <w:shd w:val="clear" w:color="auto" w:fill="auto"/>
            <w:noWrap/>
            <w:vAlign w:val="bottom"/>
            <w:hideMark/>
          </w:tcPr>
          <w:p w14:paraId="0D79208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0.59</w:t>
            </w:r>
          </w:p>
        </w:tc>
        <w:tc>
          <w:tcPr>
            <w:tcW w:w="851" w:type="dxa"/>
            <w:shd w:val="clear" w:color="auto" w:fill="auto"/>
            <w:noWrap/>
            <w:vAlign w:val="bottom"/>
            <w:hideMark/>
          </w:tcPr>
          <w:p w14:paraId="7AE1591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223D23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2.00</w:t>
            </w:r>
          </w:p>
        </w:tc>
      </w:tr>
      <w:tr w:rsidR="00AB13DC" w:rsidRPr="008A38A6" w14:paraId="38DA5FC7" w14:textId="77777777" w:rsidTr="00F560C9">
        <w:trPr>
          <w:trHeight w:val="300"/>
        </w:trPr>
        <w:tc>
          <w:tcPr>
            <w:tcW w:w="960" w:type="dxa"/>
            <w:shd w:val="clear" w:color="auto" w:fill="auto"/>
            <w:noWrap/>
            <w:vAlign w:val="bottom"/>
            <w:hideMark/>
          </w:tcPr>
          <w:p w14:paraId="78036B7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363FC014" w14:textId="77777777" w:rsidR="00AB13DC" w:rsidRDefault="00AB13DC" w:rsidP="00AB13DC">
            <w:r w:rsidRPr="008A38A6">
              <w:rPr>
                <w:rFonts w:ascii="Calibri" w:eastAsia="Times New Roman" w:hAnsi="Calibri"/>
                <w:lang w:val="en-GB" w:eastAsia="en-GB"/>
              </w:rPr>
              <w:t>May</w:t>
            </w:r>
          </w:p>
        </w:tc>
        <w:tc>
          <w:tcPr>
            <w:tcW w:w="861" w:type="dxa"/>
            <w:shd w:val="clear" w:color="auto" w:fill="auto"/>
            <w:noWrap/>
            <w:vAlign w:val="bottom"/>
            <w:hideMark/>
          </w:tcPr>
          <w:p w14:paraId="46B88A1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439800</w:t>
            </w:r>
          </w:p>
        </w:tc>
        <w:tc>
          <w:tcPr>
            <w:tcW w:w="994" w:type="dxa"/>
            <w:shd w:val="clear" w:color="auto" w:fill="auto"/>
            <w:noWrap/>
            <w:vAlign w:val="bottom"/>
            <w:hideMark/>
          </w:tcPr>
          <w:p w14:paraId="30978C5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549800</w:t>
            </w:r>
          </w:p>
        </w:tc>
        <w:tc>
          <w:tcPr>
            <w:tcW w:w="927" w:type="dxa"/>
            <w:shd w:val="clear" w:color="auto" w:fill="auto"/>
            <w:noWrap/>
            <w:vAlign w:val="bottom"/>
            <w:hideMark/>
          </w:tcPr>
          <w:p w14:paraId="40EFF7F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57.19</w:t>
            </w:r>
          </w:p>
        </w:tc>
        <w:tc>
          <w:tcPr>
            <w:tcW w:w="851" w:type="dxa"/>
            <w:shd w:val="clear" w:color="auto" w:fill="auto"/>
            <w:noWrap/>
            <w:vAlign w:val="bottom"/>
            <w:hideMark/>
          </w:tcPr>
          <w:p w14:paraId="5107A89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7.78</w:t>
            </w:r>
          </w:p>
        </w:tc>
        <w:tc>
          <w:tcPr>
            <w:tcW w:w="850" w:type="dxa"/>
            <w:shd w:val="clear" w:color="auto" w:fill="auto"/>
            <w:noWrap/>
            <w:vAlign w:val="bottom"/>
            <w:hideMark/>
          </w:tcPr>
          <w:p w14:paraId="2DDAE8F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14.52</w:t>
            </w:r>
          </w:p>
        </w:tc>
        <w:tc>
          <w:tcPr>
            <w:tcW w:w="851" w:type="dxa"/>
            <w:shd w:val="clear" w:color="auto" w:fill="auto"/>
            <w:noWrap/>
            <w:vAlign w:val="bottom"/>
            <w:hideMark/>
          </w:tcPr>
          <w:p w14:paraId="422741B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710CCF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A94F90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0214ED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619EA15C" w14:textId="77777777" w:rsidTr="00F560C9">
        <w:trPr>
          <w:trHeight w:val="300"/>
        </w:trPr>
        <w:tc>
          <w:tcPr>
            <w:tcW w:w="960" w:type="dxa"/>
            <w:shd w:val="clear" w:color="auto" w:fill="auto"/>
            <w:noWrap/>
            <w:vAlign w:val="bottom"/>
            <w:hideMark/>
          </w:tcPr>
          <w:p w14:paraId="2C992EA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0BA0BDCE" w14:textId="77777777" w:rsidR="00AB13DC" w:rsidRDefault="00AB13DC" w:rsidP="00AB13DC">
            <w:r w:rsidRPr="008A38A6">
              <w:rPr>
                <w:rFonts w:ascii="Calibri" w:eastAsia="Times New Roman" w:hAnsi="Calibri"/>
                <w:lang w:val="en-GB" w:eastAsia="en-GB"/>
              </w:rPr>
              <w:t>May</w:t>
            </w:r>
          </w:p>
        </w:tc>
        <w:tc>
          <w:tcPr>
            <w:tcW w:w="861" w:type="dxa"/>
            <w:shd w:val="clear" w:color="auto" w:fill="auto"/>
            <w:noWrap/>
            <w:vAlign w:val="bottom"/>
            <w:hideMark/>
          </w:tcPr>
          <w:p w14:paraId="309E2D3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427100</w:t>
            </w:r>
          </w:p>
        </w:tc>
        <w:tc>
          <w:tcPr>
            <w:tcW w:w="994" w:type="dxa"/>
            <w:shd w:val="clear" w:color="auto" w:fill="auto"/>
            <w:noWrap/>
            <w:vAlign w:val="bottom"/>
            <w:hideMark/>
          </w:tcPr>
          <w:p w14:paraId="3F39D60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94300</w:t>
            </w:r>
          </w:p>
        </w:tc>
        <w:tc>
          <w:tcPr>
            <w:tcW w:w="927" w:type="dxa"/>
            <w:shd w:val="clear" w:color="auto" w:fill="auto"/>
            <w:noWrap/>
            <w:vAlign w:val="bottom"/>
            <w:hideMark/>
          </w:tcPr>
          <w:p w14:paraId="28D56B3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50.93</w:t>
            </w:r>
          </w:p>
        </w:tc>
        <w:tc>
          <w:tcPr>
            <w:tcW w:w="851" w:type="dxa"/>
            <w:shd w:val="clear" w:color="auto" w:fill="auto"/>
            <w:noWrap/>
            <w:vAlign w:val="bottom"/>
            <w:hideMark/>
          </w:tcPr>
          <w:p w14:paraId="1E7FFE0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3.81</w:t>
            </w:r>
          </w:p>
        </w:tc>
        <w:tc>
          <w:tcPr>
            <w:tcW w:w="850" w:type="dxa"/>
            <w:shd w:val="clear" w:color="auto" w:fill="auto"/>
            <w:noWrap/>
            <w:vAlign w:val="bottom"/>
            <w:hideMark/>
          </w:tcPr>
          <w:p w14:paraId="2F41C1A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13.44</w:t>
            </w:r>
          </w:p>
        </w:tc>
        <w:tc>
          <w:tcPr>
            <w:tcW w:w="851" w:type="dxa"/>
            <w:shd w:val="clear" w:color="auto" w:fill="auto"/>
            <w:noWrap/>
            <w:vAlign w:val="bottom"/>
            <w:hideMark/>
          </w:tcPr>
          <w:p w14:paraId="08AE7BA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8CAB60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0.94</w:t>
            </w:r>
          </w:p>
        </w:tc>
        <w:tc>
          <w:tcPr>
            <w:tcW w:w="851" w:type="dxa"/>
            <w:shd w:val="clear" w:color="auto" w:fill="auto"/>
            <w:noWrap/>
            <w:vAlign w:val="bottom"/>
            <w:hideMark/>
          </w:tcPr>
          <w:p w14:paraId="03B5BD6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E30CFB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0.94</w:t>
            </w:r>
          </w:p>
        </w:tc>
      </w:tr>
      <w:tr w:rsidR="00AB13DC" w:rsidRPr="008A38A6" w14:paraId="748CB761" w14:textId="77777777" w:rsidTr="00AB13DC">
        <w:trPr>
          <w:trHeight w:val="300"/>
        </w:trPr>
        <w:tc>
          <w:tcPr>
            <w:tcW w:w="960" w:type="dxa"/>
            <w:shd w:val="clear" w:color="auto" w:fill="auto"/>
            <w:noWrap/>
            <w:vAlign w:val="bottom"/>
            <w:hideMark/>
          </w:tcPr>
          <w:p w14:paraId="1DA131A6"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vAlign w:val="bottom"/>
            <w:hideMark/>
          </w:tcPr>
          <w:p w14:paraId="4BFA5E02" w14:textId="77777777" w:rsidR="00AB13DC" w:rsidRPr="008A38A6" w:rsidRDefault="00AB13DC" w:rsidP="00AB13DC">
            <w:pPr>
              <w:rPr>
                <w:rFonts w:ascii="Calibri" w:eastAsia="Times New Roman" w:hAnsi="Calibri"/>
                <w:lang w:val="en-GB" w:eastAsia="en-GB"/>
              </w:rPr>
            </w:pPr>
            <w:r w:rsidRPr="008A38A6">
              <w:rPr>
                <w:rFonts w:ascii="Calibri" w:eastAsia="Times New Roman" w:hAnsi="Calibri"/>
                <w:lang w:val="en-GB" w:eastAsia="en-GB"/>
              </w:rPr>
              <w:t>June</w:t>
            </w:r>
          </w:p>
        </w:tc>
        <w:tc>
          <w:tcPr>
            <w:tcW w:w="861" w:type="dxa"/>
            <w:shd w:val="clear" w:color="auto" w:fill="auto"/>
            <w:noWrap/>
            <w:vAlign w:val="bottom"/>
            <w:hideMark/>
          </w:tcPr>
          <w:p w14:paraId="5EF54F1D"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348300</w:t>
            </w:r>
          </w:p>
        </w:tc>
        <w:tc>
          <w:tcPr>
            <w:tcW w:w="994" w:type="dxa"/>
            <w:shd w:val="clear" w:color="auto" w:fill="auto"/>
            <w:noWrap/>
            <w:vAlign w:val="bottom"/>
            <w:hideMark/>
          </w:tcPr>
          <w:p w14:paraId="03E8E3F4"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489100</w:t>
            </w:r>
          </w:p>
        </w:tc>
        <w:tc>
          <w:tcPr>
            <w:tcW w:w="927" w:type="dxa"/>
            <w:shd w:val="clear" w:color="auto" w:fill="auto"/>
            <w:noWrap/>
            <w:vAlign w:val="bottom"/>
            <w:hideMark/>
          </w:tcPr>
          <w:p w14:paraId="187DC802"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51.72</w:t>
            </w:r>
          </w:p>
        </w:tc>
        <w:tc>
          <w:tcPr>
            <w:tcW w:w="851" w:type="dxa"/>
            <w:shd w:val="clear" w:color="auto" w:fill="auto"/>
            <w:noWrap/>
            <w:vAlign w:val="bottom"/>
            <w:hideMark/>
          </w:tcPr>
          <w:p w14:paraId="2C6EA954"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C62C2A0"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1.55</w:t>
            </w:r>
          </w:p>
        </w:tc>
        <w:tc>
          <w:tcPr>
            <w:tcW w:w="851" w:type="dxa"/>
            <w:shd w:val="clear" w:color="auto" w:fill="auto"/>
            <w:noWrap/>
            <w:vAlign w:val="bottom"/>
            <w:hideMark/>
          </w:tcPr>
          <w:p w14:paraId="63D1360F"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C13D7A8"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0452BAF"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8A9C8E5"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B574329" w14:textId="77777777" w:rsidTr="00F560C9">
        <w:trPr>
          <w:trHeight w:val="300"/>
        </w:trPr>
        <w:tc>
          <w:tcPr>
            <w:tcW w:w="960" w:type="dxa"/>
            <w:shd w:val="clear" w:color="auto" w:fill="auto"/>
            <w:noWrap/>
            <w:vAlign w:val="bottom"/>
            <w:hideMark/>
          </w:tcPr>
          <w:p w14:paraId="5563FB4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77AC8492" w14:textId="77777777" w:rsidR="00AB13DC" w:rsidRDefault="00AB13DC" w:rsidP="00AB13DC">
            <w:r w:rsidRPr="008A38A6">
              <w:rPr>
                <w:rFonts w:ascii="Calibri" w:eastAsia="Times New Roman" w:hAnsi="Calibri"/>
                <w:lang w:val="en-GB" w:eastAsia="en-GB"/>
              </w:rPr>
              <w:t>June</w:t>
            </w:r>
          </w:p>
        </w:tc>
        <w:tc>
          <w:tcPr>
            <w:tcW w:w="861" w:type="dxa"/>
            <w:shd w:val="clear" w:color="auto" w:fill="auto"/>
            <w:noWrap/>
            <w:vAlign w:val="bottom"/>
            <w:hideMark/>
          </w:tcPr>
          <w:p w14:paraId="3066DFC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577900</w:t>
            </w:r>
          </w:p>
        </w:tc>
        <w:tc>
          <w:tcPr>
            <w:tcW w:w="994" w:type="dxa"/>
            <w:shd w:val="clear" w:color="auto" w:fill="auto"/>
            <w:noWrap/>
            <w:vAlign w:val="bottom"/>
            <w:hideMark/>
          </w:tcPr>
          <w:p w14:paraId="75A4CAF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188800</w:t>
            </w:r>
          </w:p>
        </w:tc>
        <w:tc>
          <w:tcPr>
            <w:tcW w:w="927" w:type="dxa"/>
            <w:shd w:val="clear" w:color="auto" w:fill="auto"/>
            <w:noWrap/>
            <w:vAlign w:val="bottom"/>
            <w:hideMark/>
          </w:tcPr>
          <w:p w14:paraId="4E0B132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25.78</w:t>
            </w:r>
          </w:p>
        </w:tc>
        <w:tc>
          <w:tcPr>
            <w:tcW w:w="851" w:type="dxa"/>
            <w:shd w:val="clear" w:color="auto" w:fill="auto"/>
            <w:noWrap/>
            <w:vAlign w:val="bottom"/>
            <w:hideMark/>
          </w:tcPr>
          <w:p w14:paraId="19EA028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1.23</w:t>
            </w:r>
          </w:p>
        </w:tc>
        <w:tc>
          <w:tcPr>
            <w:tcW w:w="850" w:type="dxa"/>
            <w:shd w:val="clear" w:color="auto" w:fill="auto"/>
            <w:noWrap/>
            <w:vAlign w:val="bottom"/>
            <w:hideMark/>
          </w:tcPr>
          <w:p w14:paraId="4170B71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1.07</w:t>
            </w:r>
          </w:p>
        </w:tc>
        <w:tc>
          <w:tcPr>
            <w:tcW w:w="851" w:type="dxa"/>
            <w:shd w:val="clear" w:color="auto" w:fill="auto"/>
            <w:noWrap/>
            <w:vAlign w:val="bottom"/>
            <w:hideMark/>
          </w:tcPr>
          <w:p w14:paraId="1C2C94F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55CB17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0011BA6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32847C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63126B28" w14:textId="77777777" w:rsidTr="00F560C9">
        <w:trPr>
          <w:trHeight w:val="300"/>
        </w:trPr>
        <w:tc>
          <w:tcPr>
            <w:tcW w:w="960" w:type="dxa"/>
            <w:shd w:val="clear" w:color="auto" w:fill="auto"/>
            <w:noWrap/>
            <w:vAlign w:val="bottom"/>
            <w:hideMark/>
          </w:tcPr>
          <w:p w14:paraId="5DB8728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080DAD63" w14:textId="77777777" w:rsidR="00AB13DC" w:rsidRDefault="00AB13DC" w:rsidP="00AB13DC">
            <w:r w:rsidRPr="008A38A6">
              <w:rPr>
                <w:rFonts w:ascii="Calibri" w:eastAsia="Times New Roman" w:hAnsi="Calibri"/>
                <w:lang w:val="en-GB" w:eastAsia="en-GB"/>
              </w:rPr>
              <w:t>June</w:t>
            </w:r>
          </w:p>
        </w:tc>
        <w:tc>
          <w:tcPr>
            <w:tcW w:w="861" w:type="dxa"/>
            <w:shd w:val="clear" w:color="auto" w:fill="auto"/>
            <w:noWrap/>
            <w:vAlign w:val="bottom"/>
            <w:hideMark/>
          </w:tcPr>
          <w:p w14:paraId="0FC15F5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447700</w:t>
            </w:r>
          </w:p>
        </w:tc>
        <w:tc>
          <w:tcPr>
            <w:tcW w:w="994" w:type="dxa"/>
            <w:shd w:val="clear" w:color="auto" w:fill="auto"/>
            <w:noWrap/>
            <w:vAlign w:val="bottom"/>
            <w:hideMark/>
          </w:tcPr>
          <w:p w14:paraId="0874800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173800</w:t>
            </w:r>
          </w:p>
        </w:tc>
        <w:tc>
          <w:tcPr>
            <w:tcW w:w="927" w:type="dxa"/>
            <w:shd w:val="clear" w:color="auto" w:fill="auto"/>
            <w:noWrap/>
            <w:vAlign w:val="bottom"/>
            <w:hideMark/>
          </w:tcPr>
          <w:p w14:paraId="78604F1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66.86</w:t>
            </w:r>
          </w:p>
        </w:tc>
        <w:tc>
          <w:tcPr>
            <w:tcW w:w="851" w:type="dxa"/>
            <w:shd w:val="clear" w:color="auto" w:fill="auto"/>
            <w:noWrap/>
            <w:vAlign w:val="bottom"/>
            <w:hideMark/>
          </w:tcPr>
          <w:p w14:paraId="21C6977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11.37</w:t>
            </w:r>
          </w:p>
        </w:tc>
        <w:tc>
          <w:tcPr>
            <w:tcW w:w="850" w:type="dxa"/>
            <w:shd w:val="clear" w:color="auto" w:fill="auto"/>
            <w:noWrap/>
            <w:vAlign w:val="bottom"/>
            <w:hideMark/>
          </w:tcPr>
          <w:p w14:paraId="5AAEA5E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18.14</w:t>
            </w:r>
          </w:p>
        </w:tc>
        <w:tc>
          <w:tcPr>
            <w:tcW w:w="851" w:type="dxa"/>
            <w:shd w:val="clear" w:color="auto" w:fill="auto"/>
            <w:noWrap/>
            <w:vAlign w:val="bottom"/>
            <w:hideMark/>
          </w:tcPr>
          <w:p w14:paraId="791F3C5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E5A18D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1.02</w:t>
            </w:r>
          </w:p>
        </w:tc>
        <w:tc>
          <w:tcPr>
            <w:tcW w:w="851" w:type="dxa"/>
            <w:shd w:val="clear" w:color="auto" w:fill="auto"/>
            <w:noWrap/>
            <w:vAlign w:val="bottom"/>
            <w:hideMark/>
          </w:tcPr>
          <w:p w14:paraId="2177BE1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9C4EF0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1.02</w:t>
            </w:r>
          </w:p>
        </w:tc>
      </w:tr>
      <w:tr w:rsidR="00AB13DC" w:rsidRPr="008A38A6" w14:paraId="65AEF5F1" w14:textId="77777777" w:rsidTr="00F560C9">
        <w:trPr>
          <w:trHeight w:val="300"/>
        </w:trPr>
        <w:tc>
          <w:tcPr>
            <w:tcW w:w="960" w:type="dxa"/>
            <w:shd w:val="clear" w:color="auto" w:fill="auto"/>
            <w:noWrap/>
            <w:vAlign w:val="bottom"/>
            <w:hideMark/>
          </w:tcPr>
          <w:p w14:paraId="54A5BD4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755B9EF7" w14:textId="77777777" w:rsidR="00AB13DC" w:rsidRDefault="00AB13DC" w:rsidP="00AB13DC">
            <w:r w:rsidRPr="008A38A6">
              <w:rPr>
                <w:rFonts w:ascii="Calibri" w:eastAsia="Times New Roman" w:hAnsi="Calibri"/>
                <w:lang w:val="en-GB" w:eastAsia="en-GB"/>
              </w:rPr>
              <w:t>June</w:t>
            </w:r>
          </w:p>
        </w:tc>
        <w:tc>
          <w:tcPr>
            <w:tcW w:w="861" w:type="dxa"/>
            <w:shd w:val="clear" w:color="auto" w:fill="auto"/>
            <w:noWrap/>
            <w:vAlign w:val="bottom"/>
            <w:hideMark/>
          </w:tcPr>
          <w:p w14:paraId="56EE56D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346900</w:t>
            </w:r>
          </w:p>
        </w:tc>
        <w:tc>
          <w:tcPr>
            <w:tcW w:w="994" w:type="dxa"/>
            <w:shd w:val="clear" w:color="auto" w:fill="auto"/>
            <w:noWrap/>
            <w:vAlign w:val="bottom"/>
            <w:hideMark/>
          </w:tcPr>
          <w:p w14:paraId="1085C87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281800</w:t>
            </w:r>
          </w:p>
        </w:tc>
        <w:tc>
          <w:tcPr>
            <w:tcW w:w="927" w:type="dxa"/>
            <w:shd w:val="clear" w:color="auto" w:fill="auto"/>
            <w:noWrap/>
            <w:vAlign w:val="bottom"/>
            <w:hideMark/>
          </w:tcPr>
          <w:p w14:paraId="7768B26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88.11</w:t>
            </w:r>
          </w:p>
        </w:tc>
        <w:tc>
          <w:tcPr>
            <w:tcW w:w="851" w:type="dxa"/>
            <w:shd w:val="clear" w:color="auto" w:fill="auto"/>
            <w:noWrap/>
            <w:vAlign w:val="bottom"/>
            <w:hideMark/>
          </w:tcPr>
          <w:p w14:paraId="0691219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4.19</w:t>
            </w:r>
          </w:p>
        </w:tc>
        <w:tc>
          <w:tcPr>
            <w:tcW w:w="850" w:type="dxa"/>
            <w:shd w:val="clear" w:color="auto" w:fill="auto"/>
            <w:noWrap/>
            <w:vAlign w:val="bottom"/>
            <w:hideMark/>
          </w:tcPr>
          <w:p w14:paraId="08C16CC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34.57</w:t>
            </w:r>
          </w:p>
        </w:tc>
        <w:tc>
          <w:tcPr>
            <w:tcW w:w="851" w:type="dxa"/>
            <w:shd w:val="clear" w:color="auto" w:fill="auto"/>
            <w:noWrap/>
            <w:vAlign w:val="bottom"/>
            <w:hideMark/>
          </w:tcPr>
          <w:p w14:paraId="7F77C5F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0F3931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0B5EAFE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A8EDC8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52D1E3AC" w14:textId="77777777" w:rsidTr="00F560C9">
        <w:trPr>
          <w:trHeight w:val="300"/>
        </w:trPr>
        <w:tc>
          <w:tcPr>
            <w:tcW w:w="960" w:type="dxa"/>
            <w:shd w:val="clear" w:color="auto" w:fill="auto"/>
            <w:noWrap/>
            <w:vAlign w:val="bottom"/>
            <w:hideMark/>
          </w:tcPr>
          <w:p w14:paraId="041E02A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0E58B449" w14:textId="77777777" w:rsidR="00AB13DC" w:rsidRDefault="00AB13DC" w:rsidP="00AB13DC">
            <w:r w:rsidRPr="008A38A6">
              <w:rPr>
                <w:rFonts w:ascii="Calibri" w:eastAsia="Times New Roman" w:hAnsi="Calibri"/>
                <w:lang w:val="en-GB" w:eastAsia="en-GB"/>
              </w:rPr>
              <w:t>June</w:t>
            </w:r>
          </w:p>
        </w:tc>
        <w:tc>
          <w:tcPr>
            <w:tcW w:w="861" w:type="dxa"/>
            <w:shd w:val="clear" w:color="auto" w:fill="auto"/>
            <w:noWrap/>
            <w:vAlign w:val="bottom"/>
            <w:hideMark/>
          </w:tcPr>
          <w:p w14:paraId="7C09126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363300</w:t>
            </w:r>
          </w:p>
        </w:tc>
        <w:tc>
          <w:tcPr>
            <w:tcW w:w="994" w:type="dxa"/>
            <w:shd w:val="clear" w:color="auto" w:fill="auto"/>
            <w:noWrap/>
            <w:vAlign w:val="bottom"/>
            <w:hideMark/>
          </w:tcPr>
          <w:p w14:paraId="0314215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397000</w:t>
            </w:r>
          </w:p>
        </w:tc>
        <w:tc>
          <w:tcPr>
            <w:tcW w:w="927" w:type="dxa"/>
            <w:shd w:val="clear" w:color="auto" w:fill="auto"/>
            <w:noWrap/>
            <w:vAlign w:val="bottom"/>
            <w:hideMark/>
          </w:tcPr>
          <w:p w14:paraId="364F95F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52.17</w:t>
            </w:r>
          </w:p>
        </w:tc>
        <w:tc>
          <w:tcPr>
            <w:tcW w:w="851" w:type="dxa"/>
            <w:shd w:val="clear" w:color="auto" w:fill="auto"/>
            <w:noWrap/>
            <w:vAlign w:val="bottom"/>
            <w:hideMark/>
          </w:tcPr>
          <w:p w14:paraId="263907A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2.18</w:t>
            </w:r>
          </w:p>
        </w:tc>
        <w:tc>
          <w:tcPr>
            <w:tcW w:w="850" w:type="dxa"/>
            <w:shd w:val="clear" w:color="auto" w:fill="auto"/>
            <w:noWrap/>
            <w:vAlign w:val="bottom"/>
            <w:hideMark/>
          </w:tcPr>
          <w:p w14:paraId="74E6E01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14.42</w:t>
            </w:r>
          </w:p>
        </w:tc>
        <w:tc>
          <w:tcPr>
            <w:tcW w:w="851" w:type="dxa"/>
            <w:shd w:val="clear" w:color="auto" w:fill="auto"/>
            <w:noWrap/>
            <w:vAlign w:val="bottom"/>
            <w:hideMark/>
          </w:tcPr>
          <w:p w14:paraId="582EBC9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405297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c>
          <w:tcPr>
            <w:tcW w:w="851" w:type="dxa"/>
            <w:shd w:val="clear" w:color="auto" w:fill="auto"/>
            <w:noWrap/>
            <w:vAlign w:val="bottom"/>
            <w:hideMark/>
          </w:tcPr>
          <w:p w14:paraId="2515BBA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DCD2A0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r>
      <w:tr w:rsidR="00AB13DC" w:rsidRPr="008A38A6" w14:paraId="47B1A1AB" w14:textId="77777777" w:rsidTr="00F560C9">
        <w:trPr>
          <w:trHeight w:val="300"/>
        </w:trPr>
        <w:tc>
          <w:tcPr>
            <w:tcW w:w="960" w:type="dxa"/>
            <w:shd w:val="clear" w:color="auto" w:fill="auto"/>
            <w:noWrap/>
            <w:vAlign w:val="bottom"/>
            <w:hideMark/>
          </w:tcPr>
          <w:p w14:paraId="59181FD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0D8B4E16"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343F4B9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347800</w:t>
            </w:r>
          </w:p>
        </w:tc>
        <w:tc>
          <w:tcPr>
            <w:tcW w:w="994" w:type="dxa"/>
            <w:shd w:val="clear" w:color="auto" w:fill="auto"/>
            <w:noWrap/>
            <w:vAlign w:val="bottom"/>
            <w:hideMark/>
          </w:tcPr>
          <w:p w14:paraId="7B433F5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368900</w:t>
            </w:r>
          </w:p>
        </w:tc>
        <w:tc>
          <w:tcPr>
            <w:tcW w:w="927" w:type="dxa"/>
            <w:shd w:val="clear" w:color="auto" w:fill="auto"/>
            <w:noWrap/>
            <w:vAlign w:val="bottom"/>
            <w:hideMark/>
          </w:tcPr>
          <w:p w14:paraId="5DE1A68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71.52</w:t>
            </w:r>
          </w:p>
        </w:tc>
        <w:tc>
          <w:tcPr>
            <w:tcW w:w="851" w:type="dxa"/>
            <w:shd w:val="clear" w:color="auto" w:fill="auto"/>
            <w:noWrap/>
            <w:vAlign w:val="bottom"/>
            <w:hideMark/>
          </w:tcPr>
          <w:p w14:paraId="34BE4C4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1.42</w:t>
            </w:r>
          </w:p>
        </w:tc>
        <w:tc>
          <w:tcPr>
            <w:tcW w:w="850" w:type="dxa"/>
            <w:shd w:val="clear" w:color="auto" w:fill="auto"/>
            <w:noWrap/>
            <w:vAlign w:val="bottom"/>
            <w:hideMark/>
          </w:tcPr>
          <w:p w14:paraId="038030D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8.32</w:t>
            </w:r>
          </w:p>
        </w:tc>
        <w:tc>
          <w:tcPr>
            <w:tcW w:w="851" w:type="dxa"/>
            <w:shd w:val="clear" w:color="auto" w:fill="auto"/>
            <w:noWrap/>
            <w:vAlign w:val="bottom"/>
            <w:hideMark/>
          </w:tcPr>
          <w:p w14:paraId="67DE1F5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F651CC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0.61</w:t>
            </w:r>
          </w:p>
        </w:tc>
        <w:tc>
          <w:tcPr>
            <w:tcW w:w="851" w:type="dxa"/>
            <w:shd w:val="clear" w:color="auto" w:fill="auto"/>
            <w:noWrap/>
            <w:vAlign w:val="bottom"/>
            <w:hideMark/>
          </w:tcPr>
          <w:p w14:paraId="750DE5C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1348A7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0.61</w:t>
            </w:r>
          </w:p>
        </w:tc>
      </w:tr>
      <w:tr w:rsidR="00AB13DC" w:rsidRPr="008A38A6" w14:paraId="5E77346E" w14:textId="77777777" w:rsidTr="00F560C9">
        <w:trPr>
          <w:trHeight w:val="300"/>
        </w:trPr>
        <w:tc>
          <w:tcPr>
            <w:tcW w:w="960" w:type="dxa"/>
            <w:shd w:val="clear" w:color="auto" w:fill="auto"/>
            <w:noWrap/>
            <w:vAlign w:val="bottom"/>
            <w:hideMark/>
          </w:tcPr>
          <w:p w14:paraId="0494092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3E308D9D"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67B5957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469400</w:t>
            </w:r>
          </w:p>
        </w:tc>
        <w:tc>
          <w:tcPr>
            <w:tcW w:w="994" w:type="dxa"/>
            <w:shd w:val="clear" w:color="auto" w:fill="auto"/>
            <w:noWrap/>
            <w:vAlign w:val="bottom"/>
            <w:hideMark/>
          </w:tcPr>
          <w:p w14:paraId="3C335FA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179300</w:t>
            </w:r>
          </w:p>
        </w:tc>
        <w:tc>
          <w:tcPr>
            <w:tcW w:w="927" w:type="dxa"/>
            <w:shd w:val="clear" w:color="auto" w:fill="auto"/>
            <w:noWrap/>
            <w:vAlign w:val="bottom"/>
            <w:hideMark/>
          </w:tcPr>
          <w:p w14:paraId="19EA563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56.08</w:t>
            </w:r>
          </w:p>
        </w:tc>
        <w:tc>
          <w:tcPr>
            <w:tcW w:w="851" w:type="dxa"/>
            <w:shd w:val="clear" w:color="auto" w:fill="auto"/>
            <w:noWrap/>
            <w:vAlign w:val="bottom"/>
            <w:hideMark/>
          </w:tcPr>
          <w:p w14:paraId="4DF9C10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4.75</w:t>
            </w:r>
          </w:p>
        </w:tc>
        <w:tc>
          <w:tcPr>
            <w:tcW w:w="850" w:type="dxa"/>
            <w:shd w:val="clear" w:color="auto" w:fill="auto"/>
            <w:noWrap/>
            <w:vAlign w:val="bottom"/>
            <w:hideMark/>
          </w:tcPr>
          <w:p w14:paraId="016E6BC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16.10</w:t>
            </w:r>
          </w:p>
        </w:tc>
        <w:tc>
          <w:tcPr>
            <w:tcW w:w="851" w:type="dxa"/>
            <w:shd w:val="clear" w:color="auto" w:fill="auto"/>
            <w:noWrap/>
            <w:vAlign w:val="bottom"/>
            <w:hideMark/>
          </w:tcPr>
          <w:p w14:paraId="042A7DE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D2CC60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69B51DD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445A27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5B6977C" w14:textId="77777777" w:rsidTr="00AB13DC">
        <w:trPr>
          <w:trHeight w:val="300"/>
        </w:trPr>
        <w:tc>
          <w:tcPr>
            <w:tcW w:w="960" w:type="dxa"/>
            <w:shd w:val="clear" w:color="auto" w:fill="auto"/>
            <w:noWrap/>
            <w:vAlign w:val="bottom"/>
            <w:hideMark/>
          </w:tcPr>
          <w:p w14:paraId="1E234172"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vAlign w:val="bottom"/>
            <w:hideMark/>
          </w:tcPr>
          <w:p w14:paraId="499271F4" w14:textId="77777777" w:rsidR="00AB13DC" w:rsidRPr="008A38A6" w:rsidRDefault="00AB13DC" w:rsidP="00AB13DC">
            <w:pPr>
              <w:rPr>
                <w:rFonts w:ascii="Calibri" w:eastAsia="Times New Roman" w:hAnsi="Calibri"/>
                <w:lang w:val="en-GB" w:eastAsia="en-GB"/>
              </w:rPr>
            </w:pPr>
            <w:r w:rsidRPr="008A38A6">
              <w:rPr>
                <w:rFonts w:ascii="Calibri" w:eastAsia="Times New Roman" w:hAnsi="Calibri"/>
                <w:lang w:val="en-GB" w:eastAsia="en-GB"/>
              </w:rPr>
              <w:t>Aug.</w:t>
            </w:r>
          </w:p>
        </w:tc>
        <w:tc>
          <w:tcPr>
            <w:tcW w:w="861" w:type="dxa"/>
            <w:shd w:val="clear" w:color="auto" w:fill="auto"/>
            <w:noWrap/>
            <w:vAlign w:val="bottom"/>
            <w:hideMark/>
          </w:tcPr>
          <w:p w14:paraId="122A78AE"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381000</w:t>
            </w:r>
          </w:p>
        </w:tc>
        <w:tc>
          <w:tcPr>
            <w:tcW w:w="994" w:type="dxa"/>
            <w:shd w:val="clear" w:color="auto" w:fill="auto"/>
            <w:noWrap/>
            <w:vAlign w:val="bottom"/>
            <w:hideMark/>
          </w:tcPr>
          <w:p w14:paraId="0264794A"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167200</w:t>
            </w:r>
          </w:p>
        </w:tc>
        <w:tc>
          <w:tcPr>
            <w:tcW w:w="927" w:type="dxa"/>
            <w:shd w:val="clear" w:color="auto" w:fill="auto"/>
            <w:noWrap/>
            <w:vAlign w:val="bottom"/>
            <w:hideMark/>
          </w:tcPr>
          <w:p w14:paraId="638DC9B2"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60.48</w:t>
            </w:r>
          </w:p>
        </w:tc>
        <w:tc>
          <w:tcPr>
            <w:tcW w:w="851" w:type="dxa"/>
            <w:shd w:val="clear" w:color="auto" w:fill="auto"/>
            <w:noWrap/>
            <w:vAlign w:val="bottom"/>
            <w:hideMark/>
          </w:tcPr>
          <w:p w14:paraId="517FAC40"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7.60</w:t>
            </w:r>
          </w:p>
        </w:tc>
        <w:tc>
          <w:tcPr>
            <w:tcW w:w="850" w:type="dxa"/>
            <w:shd w:val="clear" w:color="auto" w:fill="auto"/>
            <w:noWrap/>
            <w:vAlign w:val="bottom"/>
            <w:hideMark/>
          </w:tcPr>
          <w:p w14:paraId="29FFE406"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12.22</w:t>
            </w:r>
          </w:p>
        </w:tc>
        <w:tc>
          <w:tcPr>
            <w:tcW w:w="851" w:type="dxa"/>
            <w:shd w:val="clear" w:color="auto" w:fill="auto"/>
            <w:noWrap/>
            <w:vAlign w:val="bottom"/>
            <w:hideMark/>
          </w:tcPr>
          <w:p w14:paraId="58DB8CAD"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9B0A229"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0849EC85"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70353E8"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21043019" w14:textId="77777777" w:rsidTr="00F560C9">
        <w:trPr>
          <w:trHeight w:val="300"/>
        </w:trPr>
        <w:tc>
          <w:tcPr>
            <w:tcW w:w="960" w:type="dxa"/>
            <w:shd w:val="clear" w:color="auto" w:fill="auto"/>
            <w:noWrap/>
            <w:vAlign w:val="bottom"/>
            <w:hideMark/>
          </w:tcPr>
          <w:p w14:paraId="78DE76B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097C4DE1"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00C461A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627900</w:t>
            </w:r>
          </w:p>
        </w:tc>
        <w:tc>
          <w:tcPr>
            <w:tcW w:w="994" w:type="dxa"/>
            <w:shd w:val="clear" w:color="auto" w:fill="auto"/>
            <w:noWrap/>
            <w:vAlign w:val="bottom"/>
            <w:hideMark/>
          </w:tcPr>
          <w:p w14:paraId="08E3A80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236100</w:t>
            </w:r>
          </w:p>
        </w:tc>
        <w:tc>
          <w:tcPr>
            <w:tcW w:w="927" w:type="dxa"/>
            <w:shd w:val="clear" w:color="auto" w:fill="auto"/>
            <w:noWrap/>
            <w:vAlign w:val="bottom"/>
            <w:hideMark/>
          </w:tcPr>
          <w:p w14:paraId="20B2C6C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52.70</w:t>
            </w:r>
          </w:p>
        </w:tc>
        <w:tc>
          <w:tcPr>
            <w:tcW w:w="851" w:type="dxa"/>
            <w:shd w:val="clear" w:color="auto" w:fill="auto"/>
            <w:noWrap/>
            <w:vAlign w:val="bottom"/>
            <w:hideMark/>
          </w:tcPr>
          <w:p w14:paraId="05808D4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7.99</w:t>
            </w:r>
          </w:p>
        </w:tc>
        <w:tc>
          <w:tcPr>
            <w:tcW w:w="850" w:type="dxa"/>
            <w:shd w:val="clear" w:color="auto" w:fill="auto"/>
            <w:noWrap/>
            <w:vAlign w:val="bottom"/>
            <w:hideMark/>
          </w:tcPr>
          <w:p w14:paraId="2FB8E23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11.30</w:t>
            </w:r>
          </w:p>
        </w:tc>
        <w:tc>
          <w:tcPr>
            <w:tcW w:w="851" w:type="dxa"/>
            <w:shd w:val="clear" w:color="auto" w:fill="auto"/>
            <w:noWrap/>
            <w:vAlign w:val="bottom"/>
            <w:hideMark/>
          </w:tcPr>
          <w:p w14:paraId="62CABB5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681137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0.71</w:t>
            </w:r>
          </w:p>
        </w:tc>
        <w:tc>
          <w:tcPr>
            <w:tcW w:w="851" w:type="dxa"/>
            <w:shd w:val="clear" w:color="auto" w:fill="auto"/>
            <w:noWrap/>
            <w:vAlign w:val="bottom"/>
            <w:hideMark/>
          </w:tcPr>
          <w:p w14:paraId="70D58AB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c>
          <w:tcPr>
            <w:tcW w:w="850" w:type="dxa"/>
            <w:shd w:val="clear" w:color="auto" w:fill="auto"/>
            <w:noWrap/>
            <w:vAlign w:val="bottom"/>
            <w:hideMark/>
          </w:tcPr>
          <w:p w14:paraId="4B373BF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1.09</w:t>
            </w:r>
          </w:p>
        </w:tc>
      </w:tr>
      <w:tr w:rsidR="00AB13DC" w:rsidRPr="008A38A6" w14:paraId="07D005DB" w14:textId="77777777" w:rsidTr="00F560C9">
        <w:trPr>
          <w:trHeight w:val="300"/>
        </w:trPr>
        <w:tc>
          <w:tcPr>
            <w:tcW w:w="960" w:type="dxa"/>
            <w:shd w:val="clear" w:color="auto" w:fill="auto"/>
            <w:noWrap/>
            <w:vAlign w:val="bottom"/>
            <w:hideMark/>
          </w:tcPr>
          <w:p w14:paraId="38B5FFD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3925470E"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6623BD6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622300</w:t>
            </w:r>
          </w:p>
        </w:tc>
        <w:tc>
          <w:tcPr>
            <w:tcW w:w="994" w:type="dxa"/>
            <w:shd w:val="clear" w:color="auto" w:fill="auto"/>
            <w:noWrap/>
            <w:vAlign w:val="bottom"/>
            <w:hideMark/>
          </w:tcPr>
          <w:p w14:paraId="0425DFA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254700</w:t>
            </w:r>
          </w:p>
        </w:tc>
        <w:tc>
          <w:tcPr>
            <w:tcW w:w="927" w:type="dxa"/>
            <w:shd w:val="clear" w:color="auto" w:fill="auto"/>
            <w:noWrap/>
            <w:vAlign w:val="bottom"/>
            <w:hideMark/>
          </w:tcPr>
          <w:p w14:paraId="3C02BFB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79.51</w:t>
            </w:r>
          </w:p>
        </w:tc>
        <w:tc>
          <w:tcPr>
            <w:tcW w:w="851" w:type="dxa"/>
            <w:shd w:val="clear" w:color="auto" w:fill="auto"/>
            <w:noWrap/>
            <w:vAlign w:val="bottom"/>
            <w:hideMark/>
          </w:tcPr>
          <w:p w14:paraId="5081E7C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13.91</w:t>
            </w:r>
          </w:p>
        </w:tc>
        <w:tc>
          <w:tcPr>
            <w:tcW w:w="850" w:type="dxa"/>
            <w:shd w:val="clear" w:color="auto" w:fill="auto"/>
            <w:noWrap/>
            <w:vAlign w:val="bottom"/>
            <w:hideMark/>
          </w:tcPr>
          <w:p w14:paraId="22A6D49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33.50</w:t>
            </w:r>
          </w:p>
        </w:tc>
        <w:tc>
          <w:tcPr>
            <w:tcW w:w="851" w:type="dxa"/>
            <w:shd w:val="clear" w:color="auto" w:fill="auto"/>
            <w:noWrap/>
            <w:vAlign w:val="bottom"/>
            <w:hideMark/>
          </w:tcPr>
          <w:p w14:paraId="7537011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c>
          <w:tcPr>
            <w:tcW w:w="850" w:type="dxa"/>
            <w:shd w:val="clear" w:color="auto" w:fill="auto"/>
            <w:noWrap/>
            <w:vAlign w:val="bottom"/>
            <w:hideMark/>
          </w:tcPr>
          <w:p w14:paraId="5A30E34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208D2A8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2A5A5A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r>
      <w:tr w:rsidR="00AB13DC" w:rsidRPr="008A38A6" w14:paraId="1ECEE8EE" w14:textId="77777777" w:rsidTr="00F560C9">
        <w:trPr>
          <w:trHeight w:val="300"/>
        </w:trPr>
        <w:tc>
          <w:tcPr>
            <w:tcW w:w="960" w:type="dxa"/>
            <w:shd w:val="clear" w:color="auto" w:fill="auto"/>
            <w:noWrap/>
            <w:vAlign w:val="bottom"/>
            <w:hideMark/>
          </w:tcPr>
          <w:p w14:paraId="527D596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2DDBC320"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62D95C0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491600</w:t>
            </w:r>
          </w:p>
        </w:tc>
        <w:tc>
          <w:tcPr>
            <w:tcW w:w="994" w:type="dxa"/>
            <w:shd w:val="clear" w:color="auto" w:fill="auto"/>
            <w:noWrap/>
            <w:vAlign w:val="bottom"/>
            <w:hideMark/>
          </w:tcPr>
          <w:p w14:paraId="47AC0AE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134600</w:t>
            </w:r>
          </w:p>
        </w:tc>
        <w:tc>
          <w:tcPr>
            <w:tcW w:w="927" w:type="dxa"/>
            <w:shd w:val="clear" w:color="auto" w:fill="auto"/>
            <w:noWrap/>
            <w:vAlign w:val="bottom"/>
            <w:hideMark/>
          </w:tcPr>
          <w:p w14:paraId="2E2B06A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22.19</w:t>
            </w:r>
          </w:p>
        </w:tc>
        <w:tc>
          <w:tcPr>
            <w:tcW w:w="851" w:type="dxa"/>
            <w:shd w:val="clear" w:color="auto" w:fill="auto"/>
            <w:noWrap/>
            <w:vAlign w:val="bottom"/>
            <w:hideMark/>
          </w:tcPr>
          <w:p w14:paraId="43AAFA2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14A861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3.22</w:t>
            </w:r>
          </w:p>
        </w:tc>
        <w:tc>
          <w:tcPr>
            <w:tcW w:w="851" w:type="dxa"/>
            <w:shd w:val="clear" w:color="auto" w:fill="auto"/>
            <w:noWrap/>
            <w:vAlign w:val="bottom"/>
            <w:hideMark/>
          </w:tcPr>
          <w:p w14:paraId="730668A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7EADCF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682CA07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314C4C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665264C9" w14:textId="77777777" w:rsidTr="00F560C9">
        <w:trPr>
          <w:trHeight w:val="300"/>
        </w:trPr>
        <w:tc>
          <w:tcPr>
            <w:tcW w:w="960" w:type="dxa"/>
            <w:shd w:val="clear" w:color="auto" w:fill="auto"/>
            <w:noWrap/>
            <w:vAlign w:val="bottom"/>
            <w:hideMark/>
          </w:tcPr>
          <w:p w14:paraId="02CAC0F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375A6B2C"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22CE58D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429800</w:t>
            </w:r>
          </w:p>
        </w:tc>
        <w:tc>
          <w:tcPr>
            <w:tcW w:w="994" w:type="dxa"/>
            <w:shd w:val="clear" w:color="auto" w:fill="auto"/>
            <w:noWrap/>
            <w:vAlign w:val="bottom"/>
            <w:hideMark/>
          </w:tcPr>
          <w:p w14:paraId="6133297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546700</w:t>
            </w:r>
          </w:p>
        </w:tc>
        <w:tc>
          <w:tcPr>
            <w:tcW w:w="927" w:type="dxa"/>
            <w:shd w:val="clear" w:color="auto" w:fill="auto"/>
            <w:noWrap/>
            <w:vAlign w:val="bottom"/>
            <w:hideMark/>
          </w:tcPr>
          <w:p w14:paraId="02CB842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59.07</w:t>
            </w:r>
          </w:p>
        </w:tc>
        <w:tc>
          <w:tcPr>
            <w:tcW w:w="851" w:type="dxa"/>
            <w:shd w:val="clear" w:color="auto" w:fill="auto"/>
            <w:noWrap/>
            <w:vAlign w:val="bottom"/>
            <w:hideMark/>
          </w:tcPr>
          <w:p w14:paraId="549929D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4.87</w:t>
            </w:r>
          </w:p>
        </w:tc>
        <w:tc>
          <w:tcPr>
            <w:tcW w:w="850" w:type="dxa"/>
            <w:shd w:val="clear" w:color="auto" w:fill="auto"/>
            <w:noWrap/>
            <w:vAlign w:val="bottom"/>
            <w:hideMark/>
          </w:tcPr>
          <w:p w14:paraId="12E762B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10.50</w:t>
            </w:r>
          </w:p>
        </w:tc>
        <w:tc>
          <w:tcPr>
            <w:tcW w:w="851" w:type="dxa"/>
            <w:shd w:val="clear" w:color="auto" w:fill="auto"/>
            <w:noWrap/>
            <w:vAlign w:val="bottom"/>
            <w:hideMark/>
          </w:tcPr>
          <w:p w14:paraId="51C2109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D0461F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4C2E9E5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37D3B2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666BF39F" w14:textId="77777777" w:rsidTr="00F560C9">
        <w:trPr>
          <w:trHeight w:val="300"/>
        </w:trPr>
        <w:tc>
          <w:tcPr>
            <w:tcW w:w="960" w:type="dxa"/>
            <w:shd w:val="clear" w:color="auto" w:fill="auto"/>
            <w:noWrap/>
            <w:vAlign w:val="bottom"/>
            <w:hideMark/>
          </w:tcPr>
          <w:p w14:paraId="01F1604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2406E41A"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3769734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437800</w:t>
            </w:r>
          </w:p>
        </w:tc>
        <w:tc>
          <w:tcPr>
            <w:tcW w:w="994" w:type="dxa"/>
            <w:shd w:val="clear" w:color="auto" w:fill="auto"/>
            <w:noWrap/>
            <w:vAlign w:val="bottom"/>
            <w:hideMark/>
          </w:tcPr>
          <w:p w14:paraId="6378D76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357200</w:t>
            </w:r>
          </w:p>
        </w:tc>
        <w:tc>
          <w:tcPr>
            <w:tcW w:w="927" w:type="dxa"/>
            <w:shd w:val="clear" w:color="auto" w:fill="auto"/>
            <w:noWrap/>
            <w:vAlign w:val="bottom"/>
            <w:hideMark/>
          </w:tcPr>
          <w:p w14:paraId="2DECEF2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50.67</w:t>
            </w:r>
          </w:p>
        </w:tc>
        <w:tc>
          <w:tcPr>
            <w:tcW w:w="851" w:type="dxa"/>
            <w:shd w:val="clear" w:color="auto" w:fill="auto"/>
            <w:noWrap/>
            <w:vAlign w:val="bottom"/>
            <w:hideMark/>
          </w:tcPr>
          <w:p w14:paraId="75A059E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3A4DFF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3.50</w:t>
            </w:r>
          </w:p>
        </w:tc>
        <w:tc>
          <w:tcPr>
            <w:tcW w:w="851" w:type="dxa"/>
            <w:shd w:val="clear" w:color="auto" w:fill="auto"/>
            <w:noWrap/>
            <w:vAlign w:val="bottom"/>
            <w:hideMark/>
          </w:tcPr>
          <w:p w14:paraId="073198E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c>
          <w:tcPr>
            <w:tcW w:w="850" w:type="dxa"/>
            <w:shd w:val="clear" w:color="auto" w:fill="auto"/>
            <w:noWrap/>
            <w:vAlign w:val="bottom"/>
            <w:hideMark/>
          </w:tcPr>
          <w:p w14:paraId="14C3549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2490348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B3C614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r>
      <w:tr w:rsidR="00AB13DC" w:rsidRPr="008A38A6" w14:paraId="704D4452" w14:textId="77777777" w:rsidTr="00F560C9">
        <w:trPr>
          <w:trHeight w:val="300"/>
        </w:trPr>
        <w:tc>
          <w:tcPr>
            <w:tcW w:w="960" w:type="dxa"/>
            <w:shd w:val="clear" w:color="auto" w:fill="auto"/>
            <w:noWrap/>
            <w:vAlign w:val="bottom"/>
            <w:hideMark/>
          </w:tcPr>
          <w:p w14:paraId="566E020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55501278"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7BE1563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583400</w:t>
            </w:r>
          </w:p>
        </w:tc>
        <w:tc>
          <w:tcPr>
            <w:tcW w:w="994" w:type="dxa"/>
            <w:shd w:val="clear" w:color="auto" w:fill="auto"/>
            <w:noWrap/>
            <w:vAlign w:val="bottom"/>
            <w:hideMark/>
          </w:tcPr>
          <w:p w14:paraId="0EB566E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186600</w:t>
            </w:r>
          </w:p>
        </w:tc>
        <w:tc>
          <w:tcPr>
            <w:tcW w:w="927" w:type="dxa"/>
            <w:shd w:val="clear" w:color="auto" w:fill="auto"/>
            <w:noWrap/>
            <w:vAlign w:val="bottom"/>
            <w:hideMark/>
          </w:tcPr>
          <w:p w14:paraId="60398D8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16.71</w:t>
            </w:r>
          </w:p>
        </w:tc>
        <w:tc>
          <w:tcPr>
            <w:tcW w:w="851" w:type="dxa"/>
            <w:shd w:val="clear" w:color="auto" w:fill="auto"/>
            <w:noWrap/>
            <w:vAlign w:val="bottom"/>
            <w:hideMark/>
          </w:tcPr>
          <w:p w14:paraId="1AF827B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D17D0D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0.05</w:t>
            </w:r>
          </w:p>
        </w:tc>
        <w:tc>
          <w:tcPr>
            <w:tcW w:w="851" w:type="dxa"/>
            <w:shd w:val="clear" w:color="auto" w:fill="auto"/>
            <w:noWrap/>
            <w:vAlign w:val="bottom"/>
            <w:hideMark/>
          </w:tcPr>
          <w:p w14:paraId="55B2FD7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EB30E7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463E6FE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0.64</w:t>
            </w:r>
          </w:p>
        </w:tc>
        <w:tc>
          <w:tcPr>
            <w:tcW w:w="850" w:type="dxa"/>
            <w:shd w:val="clear" w:color="auto" w:fill="auto"/>
            <w:noWrap/>
            <w:vAlign w:val="bottom"/>
            <w:hideMark/>
          </w:tcPr>
          <w:p w14:paraId="6456C84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0.64</w:t>
            </w:r>
          </w:p>
        </w:tc>
      </w:tr>
      <w:tr w:rsidR="00AB13DC" w:rsidRPr="008A38A6" w14:paraId="609AD725" w14:textId="77777777" w:rsidTr="00F560C9">
        <w:trPr>
          <w:trHeight w:val="300"/>
        </w:trPr>
        <w:tc>
          <w:tcPr>
            <w:tcW w:w="960" w:type="dxa"/>
            <w:shd w:val="clear" w:color="auto" w:fill="auto"/>
            <w:noWrap/>
            <w:vAlign w:val="bottom"/>
            <w:hideMark/>
          </w:tcPr>
          <w:p w14:paraId="5F42EE6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25C0E5EC"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744155E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623100</w:t>
            </w:r>
          </w:p>
        </w:tc>
        <w:tc>
          <w:tcPr>
            <w:tcW w:w="994" w:type="dxa"/>
            <w:shd w:val="clear" w:color="auto" w:fill="auto"/>
            <w:noWrap/>
            <w:vAlign w:val="bottom"/>
            <w:hideMark/>
          </w:tcPr>
          <w:p w14:paraId="0989E14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235100</w:t>
            </w:r>
          </w:p>
        </w:tc>
        <w:tc>
          <w:tcPr>
            <w:tcW w:w="927" w:type="dxa"/>
            <w:shd w:val="clear" w:color="auto" w:fill="auto"/>
            <w:noWrap/>
            <w:vAlign w:val="bottom"/>
            <w:hideMark/>
          </w:tcPr>
          <w:p w14:paraId="0994309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66.67</w:t>
            </w:r>
          </w:p>
        </w:tc>
        <w:tc>
          <w:tcPr>
            <w:tcW w:w="851" w:type="dxa"/>
            <w:shd w:val="clear" w:color="auto" w:fill="auto"/>
            <w:noWrap/>
            <w:vAlign w:val="bottom"/>
            <w:hideMark/>
          </w:tcPr>
          <w:p w14:paraId="1518FBD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1.74</w:t>
            </w:r>
          </w:p>
        </w:tc>
        <w:tc>
          <w:tcPr>
            <w:tcW w:w="850" w:type="dxa"/>
            <w:shd w:val="clear" w:color="auto" w:fill="auto"/>
            <w:noWrap/>
            <w:vAlign w:val="bottom"/>
            <w:hideMark/>
          </w:tcPr>
          <w:p w14:paraId="7A82C2B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16.43</w:t>
            </w:r>
          </w:p>
        </w:tc>
        <w:tc>
          <w:tcPr>
            <w:tcW w:w="851" w:type="dxa"/>
            <w:shd w:val="clear" w:color="auto" w:fill="auto"/>
            <w:noWrap/>
            <w:vAlign w:val="bottom"/>
            <w:hideMark/>
          </w:tcPr>
          <w:p w14:paraId="0574F59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2FE9FA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2D3FEF4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8CAA14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6EB095EE" w14:textId="77777777" w:rsidTr="00F560C9">
        <w:trPr>
          <w:trHeight w:val="300"/>
        </w:trPr>
        <w:tc>
          <w:tcPr>
            <w:tcW w:w="960" w:type="dxa"/>
            <w:shd w:val="clear" w:color="auto" w:fill="auto"/>
            <w:noWrap/>
            <w:vAlign w:val="bottom"/>
            <w:hideMark/>
          </w:tcPr>
          <w:p w14:paraId="2F3C8DE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411D444B"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1AD1B58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344400</w:t>
            </w:r>
          </w:p>
        </w:tc>
        <w:tc>
          <w:tcPr>
            <w:tcW w:w="994" w:type="dxa"/>
            <w:shd w:val="clear" w:color="auto" w:fill="auto"/>
            <w:noWrap/>
            <w:vAlign w:val="bottom"/>
            <w:hideMark/>
          </w:tcPr>
          <w:p w14:paraId="7A2D01E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98400</w:t>
            </w:r>
          </w:p>
        </w:tc>
        <w:tc>
          <w:tcPr>
            <w:tcW w:w="927" w:type="dxa"/>
            <w:shd w:val="clear" w:color="auto" w:fill="auto"/>
            <w:noWrap/>
            <w:vAlign w:val="bottom"/>
            <w:hideMark/>
          </w:tcPr>
          <w:p w14:paraId="2BAF1EA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73.14</w:t>
            </w:r>
          </w:p>
        </w:tc>
        <w:tc>
          <w:tcPr>
            <w:tcW w:w="851" w:type="dxa"/>
            <w:shd w:val="clear" w:color="auto" w:fill="auto"/>
            <w:noWrap/>
            <w:vAlign w:val="bottom"/>
            <w:hideMark/>
          </w:tcPr>
          <w:p w14:paraId="783728B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7218B4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8.08</w:t>
            </w:r>
          </w:p>
        </w:tc>
        <w:tc>
          <w:tcPr>
            <w:tcW w:w="851" w:type="dxa"/>
            <w:shd w:val="clear" w:color="auto" w:fill="auto"/>
            <w:noWrap/>
            <w:vAlign w:val="bottom"/>
            <w:hideMark/>
          </w:tcPr>
          <w:p w14:paraId="5CE8453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5B3E13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70D2CD9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226344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5867F070" w14:textId="77777777" w:rsidTr="00F560C9">
        <w:trPr>
          <w:trHeight w:val="300"/>
        </w:trPr>
        <w:tc>
          <w:tcPr>
            <w:tcW w:w="960" w:type="dxa"/>
            <w:shd w:val="clear" w:color="auto" w:fill="auto"/>
            <w:noWrap/>
            <w:vAlign w:val="bottom"/>
            <w:hideMark/>
          </w:tcPr>
          <w:p w14:paraId="0774BB4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2014</w:t>
            </w:r>
          </w:p>
        </w:tc>
        <w:tc>
          <w:tcPr>
            <w:tcW w:w="794" w:type="dxa"/>
            <w:shd w:val="clear" w:color="auto" w:fill="auto"/>
            <w:noWrap/>
            <w:hideMark/>
          </w:tcPr>
          <w:p w14:paraId="244086C1"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5A7E614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425600</w:t>
            </w:r>
          </w:p>
        </w:tc>
        <w:tc>
          <w:tcPr>
            <w:tcW w:w="994" w:type="dxa"/>
            <w:shd w:val="clear" w:color="auto" w:fill="auto"/>
            <w:noWrap/>
            <w:vAlign w:val="bottom"/>
            <w:hideMark/>
          </w:tcPr>
          <w:p w14:paraId="3D67698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553600</w:t>
            </w:r>
          </w:p>
        </w:tc>
        <w:tc>
          <w:tcPr>
            <w:tcW w:w="927" w:type="dxa"/>
            <w:shd w:val="clear" w:color="auto" w:fill="auto"/>
            <w:noWrap/>
            <w:vAlign w:val="bottom"/>
            <w:hideMark/>
          </w:tcPr>
          <w:p w14:paraId="4347BCA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51.72</w:t>
            </w:r>
          </w:p>
        </w:tc>
        <w:tc>
          <w:tcPr>
            <w:tcW w:w="851" w:type="dxa"/>
            <w:shd w:val="clear" w:color="auto" w:fill="auto"/>
            <w:noWrap/>
            <w:vAlign w:val="bottom"/>
            <w:hideMark/>
          </w:tcPr>
          <w:p w14:paraId="321E1CE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1.36</w:t>
            </w:r>
          </w:p>
        </w:tc>
        <w:tc>
          <w:tcPr>
            <w:tcW w:w="850" w:type="dxa"/>
            <w:shd w:val="clear" w:color="auto" w:fill="auto"/>
            <w:noWrap/>
            <w:vAlign w:val="bottom"/>
            <w:hideMark/>
          </w:tcPr>
          <w:p w14:paraId="4846AA0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21.44</w:t>
            </w:r>
          </w:p>
        </w:tc>
        <w:tc>
          <w:tcPr>
            <w:tcW w:w="851" w:type="dxa"/>
            <w:shd w:val="clear" w:color="auto" w:fill="auto"/>
            <w:noWrap/>
            <w:vAlign w:val="bottom"/>
            <w:hideMark/>
          </w:tcPr>
          <w:p w14:paraId="59F56A3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6F7B49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0.97</w:t>
            </w:r>
          </w:p>
        </w:tc>
        <w:tc>
          <w:tcPr>
            <w:tcW w:w="851" w:type="dxa"/>
            <w:shd w:val="clear" w:color="auto" w:fill="auto"/>
            <w:noWrap/>
            <w:vAlign w:val="bottom"/>
            <w:hideMark/>
          </w:tcPr>
          <w:p w14:paraId="57D8CA9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2E00D3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0.97</w:t>
            </w:r>
          </w:p>
        </w:tc>
      </w:tr>
      <w:tr w:rsidR="00AB13DC" w:rsidRPr="008A38A6" w14:paraId="5A096E1E" w14:textId="77777777" w:rsidTr="00F560C9">
        <w:trPr>
          <w:trHeight w:val="300"/>
        </w:trPr>
        <w:tc>
          <w:tcPr>
            <w:tcW w:w="960" w:type="dxa"/>
            <w:shd w:val="clear" w:color="auto" w:fill="auto"/>
            <w:noWrap/>
            <w:vAlign w:val="bottom"/>
            <w:hideMark/>
          </w:tcPr>
          <w:p w14:paraId="267FE36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1343199F" w14:textId="77777777" w:rsidR="00AB13DC" w:rsidRDefault="00AB13DC" w:rsidP="00AB13DC">
            <w:r w:rsidRPr="008A38A6">
              <w:rPr>
                <w:rFonts w:ascii="Calibri" w:eastAsia="Times New Roman" w:hAnsi="Calibri"/>
                <w:lang w:val="en-GB" w:eastAsia="en-GB"/>
              </w:rPr>
              <w:t>May</w:t>
            </w:r>
          </w:p>
        </w:tc>
        <w:tc>
          <w:tcPr>
            <w:tcW w:w="861" w:type="dxa"/>
            <w:shd w:val="clear" w:color="auto" w:fill="auto"/>
            <w:noWrap/>
            <w:vAlign w:val="bottom"/>
            <w:hideMark/>
          </w:tcPr>
          <w:p w14:paraId="103A954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555700</w:t>
            </w:r>
          </w:p>
        </w:tc>
        <w:tc>
          <w:tcPr>
            <w:tcW w:w="994" w:type="dxa"/>
            <w:shd w:val="clear" w:color="auto" w:fill="auto"/>
            <w:noWrap/>
            <w:vAlign w:val="bottom"/>
            <w:hideMark/>
          </w:tcPr>
          <w:p w14:paraId="327D4DD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205700</w:t>
            </w:r>
          </w:p>
        </w:tc>
        <w:tc>
          <w:tcPr>
            <w:tcW w:w="927" w:type="dxa"/>
            <w:shd w:val="clear" w:color="auto" w:fill="auto"/>
            <w:noWrap/>
            <w:vAlign w:val="bottom"/>
            <w:hideMark/>
          </w:tcPr>
          <w:p w14:paraId="0C20C9F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39.69</w:t>
            </w:r>
          </w:p>
        </w:tc>
        <w:tc>
          <w:tcPr>
            <w:tcW w:w="851" w:type="dxa"/>
            <w:shd w:val="clear" w:color="auto" w:fill="auto"/>
            <w:noWrap/>
            <w:vAlign w:val="bottom"/>
            <w:hideMark/>
          </w:tcPr>
          <w:p w14:paraId="60EFCDE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4.48</w:t>
            </w:r>
          </w:p>
        </w:tc>
        <w:tc>
          <w:tcPr>
            <w:tcW w:w="850" w:type="dxa"/>
            <w:shd w:val="clear" w:color="auto" w:fill="auto"/>
            <w:noWrap/>
            <w:vAlign w:val="bottom"/>
            <w:hideMark/>
          </w:tcPr>
          <w:p w14:paraId="6ABC2A2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44.25</w:t>
            </w:r>
          </w:p>
        </w:tc>
        <w:tc>
          <w:tcPr>
            <w:tcW w:w="851" w:type="dxa"/>
            <w:shd w:val="clear" w:color="auto" w:fill="auto"/>
            <w:noWrap/>
            <w:vAlign w:val="bottom"/>
            <w:hideMark/>
          </w:tcPr>
          <w:p w14:paraId="4FAB172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1A50BD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1.69</w:t>
            </w:r>
          </w:p>
        </w:tc>
        <w:tc>
          <w:tcPr>
            <w:tcW w:w="851" w:type="dxa"/>
            <w:shd w:val="clear" w:color="auto" w:fill="auto"/>
            <w:noWrap/>
            <w:vAlign w:val="bottom"/>
            <w:hideMark/>
          </w:tcPr>
          <w:p w14:paraId="63C3FF8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13003A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1.69</w:t>
            </w:r>
          </w:p>
        </w:tc>
      </w:tr>
      <w:tr w:rsidR="00AB13DC" w:rsidRPr="008A38A6" w14:paraId="619DC8F7" w14:textId="77777777" w:rsidTr="00F560C9">
        <w:trPr>
          <w:trHeight w:val="300"/>
        </w:trPr>
        <w:tc>
          <w:tcPr>
            <w:tcW w:w="960" w:type="dxa"/>
            <w:shd w:val="clear" w:color="auto" w:fill="auto"/>
            <w:noWrap/>
            <w:vAlign w:val="bottom"/>
            <w:hideMark/>
          </w:tcPr>
          <w:p w14:paraId="36D25B5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3F06649B" w14:textId="77777777" w:rsidR="00AB13DC" w:rsidRDefault="00AB13DC" w:rsidP="00AB13DC">
            <w:r w:rsidRPr="008A38A6">
              <w:rPr>
                <w:rFonts w:ascii="Calibri" w:eastAsia="Times New Roman" w:hAnsi="Calibri"/>
                <w:lang w:val="en-GB" w:eastAsia="en-GB"/>
              </w:rPr>
              <w:t>May</w:t>
            </w:r>
          </w:p>
        </w:tc>
        <w:tc>
          <w:tcPr>
            <w:tcW w:w="861" w:type="dxa"/>
            <w:shd w:val="clear" w:color="auto" w:fill="auto"/>
            <w:noWrap/>
            <w:vAlign w:val="bottom"/>
            <w:hideMark/>
          </w:tcPr>
          <w:p w14:paraId="734E65E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497200</w:t>
            </w:r>
          </w:p>
        </w:tc>
        <w:tc>
          <w:tcPr>
            <w:tcW w:w="994" w:type="dxa"/>
            <w:shd w:val="clear" w:color="auto" w:fill="auto"/>
            <w:noWrap/>
            <w:vAlign w:val="bottom"/>
            <w:hideMark/>
          </w:tcPr>
          <w:p w14:paraId="21A80F5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145500</w:t>
            </w:r>
          </w:p>
        </w:tc>
        <w:tc>
          <w:tcPr>
            <w:tcW w:w="927" w:type="dxa"/>
            <w:shd w:val="clear" w:color="auto" w:fill="auto"/>
            <w:noWrap/>
            <w:vAlign w:val="bottom"/>
            <w:hideMark/>
          </w:tcPr>
          <w:p w14:paraId="4761F7F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79.36</w:t>
            </w:r>
          </w:p>
        </w:tc>
        <w:tc>
          <w:tcPr>
            <w:tcW w:w="851" w:type="dxa"/>
            <w:shd w:val="clear" w:color="auto" w:fill="auto"/>
            <w:noWrap/>
            <w:vAlign w:val="bottom"/>
            <w:hideMark/>
          </w:tcPr>
          <w:p w14:paraId="14738E4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14.61</w:t>
            </w:r>
          </w:p>
        </w:tc>
        <w:tc>
          <w:tcPr>
            <w:tcW w:w="850" w:type="dxa"/>
            <w:shd w:val="clear" w:color="auto" w:fill="auto"/>
            <w:noWrap/>
            <w:vAlign w:val="bottom"/>
            <w:hideMark/>
          </w:tcPr>
          <w:p w14:paraId="302562A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254670F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A698F5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EAC2ED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E8D666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45344894" w14:textId="77777777" w:rsidTr="00F560C9">
        <w:trPr>
          <w:trHeight w:val="300"/>
        </w:trPr>
        <w:tc>
          <w:tcPr>
            <w:tcW w:w="960" w:type="dxa"/>
            <w:shd w:val="clear" w:color="auto" w:fill="auto"/>
            <w:noWrap/>
            <w:vAlign w:val="bottom"/>
            <w:hideMark/>
          </w:tcPr>
          <w:p w14:paraId="7D33A63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417D4B53" w14:textId="77777777" w:rsidR="00AB13DC" w:rsidRDefault="00AB13DC" w:rsidP="00AB13DC">
            <w:r w:rsidRPr="008A38A6">
              <w:rPr>
                <w:rFonts w:ascii="Calibri" w:eastAsia="Times New Roman" w:hAnsi="Calibri"/>
                <w:lang w:val="en-GB" w:eastAsia="en-GB"/>
              </w:rPr>
              <w:t>May</w:t>
            </w:r>
          </w:p>
        </w:tc>
        <w:tc>
          <w:tcPr>
            <w:tcW w:w="861" w:type="dxa"/>
            <w:shd w:val="clear" w:color="auto" w:fill="auto"/>
            <w:noWrap/>
            <w:vAlign w:val="bottom"/>
            <w:hideMark/>
          </w:tcPr>
          <w:p w14:paraId="7EBF8EF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457000</w:t>
            </w:r>
          </w:p>
        </w:tc>
        <w:tc>
          <w:tcPr>
            <w:tcW w:w="994" w:type="dxa"/>
            <w:shd w:val="clear" w:color="auto" w:fill="auto"/>
            <w:noWrap/>
            <w:vAlign w:val="bottom"/>
            <w:hideMark/>
          </w:tcPr>
          <w:p w14:paraId="15DD3F9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185400</w:t>
            </w:r>
          </w:p>
        </w:tc>
        <w:tc>
          <w:tcPr>
            <w:tcW w:w="927" w:type="dxa"/>
            <w:shd w:val="clear" w:color="auto" w:fill="auto"/>
            <w:noWrap/>
            <w:vAlign w:val="bottom"/>
            <w:hideMark/>
          </w:tcPr>
          <w:p w14:paraId="63DDB9B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84.49</w:t>
            </w:r>
          </w:p>
        </w:tc>
        <w:tc>
          <w:tcPr>
            <w:tcW w:w="851" w:type="dxa"/>
            <w:shd w:val="clear" w:color="auto" w:fill="auto"/>
            <w:noWrap/>
            <w:vAlign w:val="bottom"/>
            <w:hideMark/>
          </w:tcPr>
          <w:p w14:paraId="4C2A288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12.82</w:t>
            </w:r>
          </w:p>
        </w:tc>
        <w:tc>
          <w:tcPr>
            <w:tcW w:w="850" w:type="dxa"/>
            <w:shd w:val="clear" w:color="auto" w:fill="auto"/>
            <w:noWrap/>
            <w:vAlign w:val="bottom"/>
            <w:hideMark/>
          </w:tcPr>
          <w:p w14:paraId="0861795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43.18</w:t>
            </w:r>
          </w:p>
        </w:tc>
        <w:tc>
          <w:tcPr>
            <w:tcW w:w="851" w:type="dxa"/>
            <w:shd w:val="clear" w:color="auto" w:fill="auto"/>
            <w:noWrap/>
            <w:vAlign w:val="bottom"/>
            <w:hideMark/>
          </w:tcPr>
          <w:p w14:paraId="1E79D91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389842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0.62</w:t>
            </w:r>
          </w:p>
        </w:tc>
        <w:tc>
          <w:tcPr>
            <w:tcW w:w="851" w:type="dxa"/>
            <w:shd w:val="clear" w:color="auto" w:fill="auto"/>
            <w:noWrap/>
            <w:vAlign w:val="bottom"/>
            <w:hideMark/>
          </w:tcPr>
          <w:p w14:paraId="0D9F5BE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5958C4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0.62</w:t>
            </w:r>
          </w:p>
        </w:tc>
      </w:tr>
      <w:tr w:rsidR="00AB13DC" w:rsidRPr="008A38A6" w14:paraId="674F47F6" w14:textId="77777777" w:rsidTr="00F560C9">
        <w:trPr>
          <w:trHeight w:val="300"/>
        </w:trPr>
        <w:tc>
          <w:tcPr>
            <w:tcW w:w="960" w:type="dxa"/>
            <w:shd w:val="clear" w:color="auto" w:fill="auto"/>
            <w:noWrap/>
            <w:vAlign w:val="bottom"/>
            <w:hideMark/>
          </w:tcPr>
          <w:p w14:paraId="01D1311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lastRenderedPageBreak/>
              <w:t>2015</w:t>
            </w:r>
          </w:p>
        </w:tc>
        <w:tc>
          <w:tcPr>
            <w:tcW w:w="794" w:type="dxa"/>
            <w:shd w:val="clear" w:color="auto" w:fill="auto"/>
            <w:noWrap/>
            <w:hideMark/>
          </w:tcPr>
          <w:p w14:paraId="51559C65" w14:textId="77777777" w:rsidR="00AB13DC" w:rsidRDefault="00AB13DC" w:rsidP="00AB13DC">
            <w:r w:rsidRPr="008A38A6">
              <w:rPr>
                <w:rFonts w:ascii="Calibri" w:eastAsia="Times New Roman" w:hAnsi="Calibri"/>
                <w:lang w:val="en-GB" w:eastAsia="en-GB"/>
              </w:rPr>
              <w:t>May</w:t>
            </w:r>
          </w:p>
        </w:tc>
        <w:tc>
          <w:tcPr>
            <w:tcW w:w="861" w:type="dxa"/>
            <w:shd w:val="clear" w:color="auto" w:fill="auto"/>
            <w:noWrap/>
            <w:vAlign w:val="bottom"/>
            <w:hideMark/>
          </w:tcPr>
          <w:p w14:paraId="5C5DA26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368900</w:t>
            </w:r>
          </w:p>
        </w:tc>
        <w:tc>
          <w:tcPr>
            <w:tcW w:w="994" w:type="dxa"/>
            <w:shd w:val="clear" w:color="auto" w:fill="auto"/>
            <w:noWrap/>
            <w:vAlign w:val="bottom"/>
            <w:hideMark/>
          </w:tcPr>
          <w:p w14:paraId="0F2B9CB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295300</w:t>
            </w:r>
          </w:p>
        </w:tc>
        <w:tc>
          <w:tcPr>
            <w:tcW w:w="927" w:type="dxa"/>
            <w:shd w:val="clear" w:color="auto" w:fill="auto"/>
            <w:noWrap/>
            <w:vAlign w:val="bottom"/>
            <w:hideMark/>
          </w:tcPr>
          <w:p w14:paraId="1726D4E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81.99</w:t>
            </w:r>
          </w:p>
        </w:tc>
        <w:tc>
          <w:tcPr>
            <w:tcW w:w="851" w:type="dxa"/>
            <w:shd w:val="clear" w:color="auto" w:fill="auto"/>
            <w:noWrap/>
            <w:vAlign w:val="bottom"/>
            <w:hideMark/>
          </w:tcPr>
          <w:p w14:paraId="47C3121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5.71</w:t>
            </w:r>
          </w:p>
        </w:tc>
        <w:tc>
          <w:tcPr>
            <w:tcW w:w="850" w:type="dxa"/>
            <w:shd w:val="clear" w:color="auto" w:fill="auto"/>
            <w:noWrap/>
            <w:vAlign w:val="bottom"/>
            <w:hideMark/>
          </w:tcPr>
          <w:p w14:paraId="2198CFB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35.23</w:t>
            </w:r>
          </w:p>
        </w:tc>
        <w:tc>
          <w:tcPr>
            <w:tcW w:w="851" w:type="dxa"/>
            <w:shd w:val="clear" w:color="auto" w:fill="auto"/>
            <w:noWrap/>
            <w:vAlign w:val="bottom"/>
            <w:hideMark/>
          </w:tcPr>
          <w:p w14:paraId="7E65B2D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E8BAD2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c>
          <w:tcPr>
            <w:tcW w:w="851" w:type="dxa"/>
            <w:shd w:val="clear" w:color="auto" w:fill="auto"/>
            <w:noWrap/>
            <w:vAlign w:val="bottom"/>
            <w:hideMark/>
          </w:tcPr>
          <w:p w14:paraId="6F7E046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07D05A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r>
      <w:tr w:rsidR="00AB13DC" w:rsidRPr="008A38A6" w14:paraId="14F923ED" w14:textId="77777777" w:rsidTr="00F560C9">
        <w:trPr>
          <w:trHeight w:val="300"/>
        </w:trPr>
        <w:tc>
          <w:tcPr>
            <w:tcW w:w="960" w:type="dxa"/>
            <w:shd w:val="clear" w:color="auto" w:fill="auto"/>
            <w:noWrap/>
            <w:vAlign w:val="bottom"/>
            <w:hideMark/>
          </w:tcPr>
          <w:p w14:paraId="6788963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7DF77A64" w14:textId="77777777" w:rsidR="00AB13DC" w:rsidRDefault="00AB13DC" w:rsidP="00AB13DC">
            <w:r w:rsidRPr="008A38A6">
              <w:rPr>
                <w:rFonts w:ascii="Calibri" w:eastAsia="Times New Roman" w:hAnsi="Calibri"/>
                <w:lang w:val="en-GB" w:eastAsia="en-GB"/>
              </w:rPr>
              <w:t>May</w:t>
            </w:r>
          </w:p>
        </w:tc>
        <w:tc>
          <w:tcPr>
            <w:tcW w:w="861" w:type="dxa"/>
            <w:shd w:val="clear" w:color="auto" w:fill="auto"/>
            <w:noWrap/>
            <w:vAlign w:val="bottom"/>
            <w:hideMark/>
          </w:tcPr>
          <w:p w14:paraId="1A1F5A4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626700</w:t>
            </w:r>
          </w:p>
        </w:tc>
        <w:tc>
          <w:tcPr>
            <w:tcW w:w="994" w:type="dxa"/>
            <w:shd w:val="clear" w:color="auto" w:fill="auto"/>
            <w:noWrap/>
            <w:vAlign w:val="bottom"/>
            <w:hideMark/>
          </w:tcPr>
          <w:p w14:paraId="3FD7D4C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254800</w:t>
            </w:r>
          </w:p>
        </w:tc>
        <w:tc>
          <w:tcPr>
            <w:tcW w:w="927" w:type="dxa"/>
            <w:shd w:val="clear" w:color="auto" w:fill="auto"/>
            <w:noWrap/>
            <w:vAlign w:val="bottom"/>
            <w:hideMark/>
          </w:tcPr>
          <w:p w14:paraId="560A8E7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77.51</w:t>
            </w:r>
          </w:p>
        </w:tc>
        <w:tc>
          <w:tcPr>
            <w:tcW w:w="851" w:type="dxa"/>
            <w:shd w:val="clear" w:color="auto" w:fill="auto"/>
            <w:noWrap/>
            <w:vAlign w:val="bottom"/>
            <w:hideMark/>
          </w:tcPr>
          <w:p w14:paraId="6E09341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11.56</w:t>
            </w:r>
          </w:p>
        </w:tc>
        <w:tc>
          <w:tcPr>
            <w:tcW w:w="850" w:type="dxa"/>
            <w:shd w:val="clear" w:color="auto" w:fill="auto"/>
            <w:noWrap/>
            <w:vAlign w:val="bottom"/>
            <w:hideMark/>
          </w:tcPr>
          <w:p w14:paraId="722038A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41.49</w:t>
            </w:r>
          </w:p>
        </w:tc>
        <w:tc>
          <w:tcPr>
            <w:tcW w:w="851" w:type="dxa"/>
            <w:shd w:val="clear" w:color="auto" w:fill="auto"/>
            <w:noWrap/>
            <w:vAlign w:val="bottom"/>
            <w:hideMark/>
          </w:tcPr>
          <w:p w14:paraId="592A913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1.41</w:t>
            </w:r>
          </w:p>
        </w:tc>
        <w:tc>
          <w:tcPr>
            <w:tcW w:w="850" w:type="dxa"/>
            <w:shd w:val="clear" w:color="auto" w:fill="auto"/>
            <w:noWrap/>
            <w:vAlign w:val="bottom"/>
            <w:hideMark/>
          </w:tcPr>
          <w:p w14:paraId="51120BD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3C5D835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c>
          <w:tcPr>
            <w:tcW w:w="850" w:type="dxa"/>
            <w:shd w:val="clear" w:color="auto" w:fill="auto"/>
            <w:noWrap/>
            <w:vAlign w:val="bottom"/>
            <w:hideMark/>
          </w:tcPr>
          <w:p w14:paraId="6A85401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1.79</w:t>
            </w:r>
          </w:p>
        </w:tc>
      </w:tr>
      <w:tr w:rsidR="00AB13DC" w:rsidRPr="008A38A6" w14:paraId="3C92FD04" w14:textId="77777777" w:rsidTr="00F560C9">
        <w:trPr>
          <w:trHeight w:val="300"/>
        </w:trPr>
        <w:tc>
          <w:tcPr>
            <w:tcW w:w="960" w:type="dxa"/>
            <w:shd w:val="clear" w:color="auto" w:fill="auto"/>
            <w:noWrap/>
            <w:vAlign w:val="bottom"/>
            <w:hideMark/>
          </w:tcPr>
          <w:p w14:paraId="34E405F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AC526BA" w14:textId="77777777" w:rsidR="00AB13DC" w:rsidRDefault="00AB13DC" w:rsidP="00AB13DC">
            <w:r w:rsidRPr="008A38A6">
              <w:rPr>
                <w:rFonts w:ascii="Calibri" w:eastAsia="Times New Roman" w:hAnsi="Calibri"/>
                <w:lang w:val="en-GB" w:eastAsia="en-GB"/>
              </w:rPr>
              <w:t>May</w:t>
            </w:r>
          </w:p>
        </w:tc>
        <w:tc>
          <w:tcPr>
            <w:tcW w:w="861" w:type="dxa"/>
            <w:shd w:val="clear" w:color="auto" w:fill="auto"/>
            <w:noWrap/>
            <w:vAlign w:val="bottom"/>
            <w:hideMark/>
          </w:tcPr>
          <w:p w14:paraId="686B732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608900</w:t>
            </w:r>
          </w:p>
        </w:tc>
        <w:tc>
          <w:tcPr>
            <w:tcW w:w="994" w:type="dxa"/>
            <w:shd w:val="clear" w:color="auto" w:fill="auto"/>
            <w:noWrap/>
            <w:vAlign w:val="bottom"/>
            <w:hideMark/>
          </w:tcPr>
          <w:p w14:paraId="7D2E7BB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220900</w:t>
            </w:r>
          </w:p>
        </w:tc>
        <w:tc>
          <w:tcPr>
            <w:tcW w:w="927" w:type="dxa"/>
            <w:shd w:val="clear" w:color="auto" w:fill="auto"/>
            <w:noWrap/>
            <w:vAlign w:val="bottom"/>
            <w:hideMark/>
          </w:tcPr>
          <w:p w14:paraId="7B4DB4D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68.71</w:t>
            </w:r>
          </w:p>
        </w:tc>
        <w:tc>
          <w:tcPr>
            <w:tcW w:w="851" w:type="dxa"/>
            <w:shd w:val="clear" w:color="auto" w:fill="auto"/>
            <w:noWrap/>
            <w:vAlign w:val="bottom"/>
            <w:hideMark/>
          </w:tcPr>
          <w:p w14:paraId="6F1F51F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0.60</w:t>
            </w:r>
          </w:p>
        </w:tc>
        <w:tc>
          <w:tcPr>
            <w:tcW w:w="850" w:type="dxa"/>
            <w:shd w:val="clear" w:color="auto" w:fill="auto"/>
            <w:noWrap/>
            <w:vAlign w:val="bottom"/>
            <w:hideMark/>
          </w:tcPr>
          <w:p w14:paraId="1F98D4B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14.17</w:t>
            </w:r>
          </w:p>
        </w:tc>
        <w:tc>
          <w:tcPr>
            <w:tcW w:w="851" w:type="dxa"/>
            <w:shd w:val="clear" w:color="auto" w:fill="auto"/>
            <w:noWrap/>
            <w:vAlign w:val="bottom"/>
            <w:hideMark/>
          </w:tcPr>
          <w:p w14:paraId="4526264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39881C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0.80</w:t>
            </w:r>
          </w:p>
        </w:tc>
        <w:tc>
          <w:tcPr>
            <w:tcW w:w="851" w:type="dxa"/>
            <w:shd w:val="clear" w:color="auto" w:fill="auto"/>
            <w:noWrap/>
            <w:vAlign w:val="bottom"/>
            <w:hideMark/>
          </w:tcPr>
          <w:p w14:paraId="6CB6E03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EC5928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0.80</w:t>
            </w:r>
          </w:p>
        </w:tc>
      </w:tr>
      <w:tr w:rsidR="00AB13DC" w:rsidRPr="008A38A6" w14:paraId="4BDBB0A3" w14:textId="77777777" w:rsidTr="00F560C9">
        <w:trPr>
          <w:trHeight w:val="300"/>
        </w:trPr>
        <w:tc>
          <w:tcPr>
            <w:tcW w:w="960" w:type="dxa"/>
            <w:shd w:val="clear" w:color="auto" w:fill="auto"/>
            <w:noWrap/>
            <w:vAlign w:val="bottom"/>
            <w:hideMark/>
          </w:tcPr>
          <w:p w14:paraId="6E01503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436FAFBD" w14:textId="77777777" w:rsidR="00AB13DC" w:rsidRDefault="00AB13DC" w:rsidP="00AB13DC">
            <w:r w:rsidRPr="008A38A6">
              <w:rPr>
                <w:rFonts w:ascii="Calibri" w:eastAsia="Times New Roman" w:hAnsi="Calibri"/>
                <w:lang w:val="en-GB" w:eastAsia="en-GB"/>
              </w:rPr>
              <w:t>May</w:t>
            </w:r>
          </w:p>
        </w:tc>
        <w:tc>
          <w:tcPr>
            <w:tcW w:w="861" w:type="dxa"/>
            <w:shd w:val="clear" w:color="auto" w:fill="auto"/>
            <w:noWrap/>
            <w:vAlign w:val="bottom"/>
            <w:hideMark/>
          </w:tcPr>
          <w:p w14:paraId="2EB5CA7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501200</w:t>
            </w:r>
          </w:p>
        </w:tc>
        <w:tc>
          <w:tcPr>
            <w:tcW w:w="994" w:type="dxa"/>
            <w:shd w:val="clear" w:color="auto" w:fill="auto"/>
            <w:noWrap/>
            <w:vAlign w:val="bottom"/>
            <w:hideMark/>
          </w:tcPr>
          <w:p w14:paraId="0F24104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113400</w:t>
            </w:r>
          </w:p>
        </w:tc>
        <w:tc>
          <w:tcPr>
            <w:tcW w:w="927" w:type="dxa"/>
            <w:shd w:val="clear" w:color="auto" w:fill="auto"/>
            <w:noWrap/>
            <w:vAlign w:val="bottom"/>
            <w:hideMark/>
          </w:tcPr>
          <w:p w14:paraId="7591CC6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62.03</w:t>
            </w:r>
          </w:p>
        </w:tc>
        <w:tc>
          <w:tcPr>
            <w:tcW w:w="851" w:type="dxa"/>
            <w:shd w:val="clear" w:color="auto" w:fill="auto"/>
            <w:noWrap/>
            <w:vAlign w:val="bottom"/>
            <w:hideMark/>
          </w:tcPr>
          <w:p w14:paraId="755BB6B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4.08</w:t>
            </w:r>
          </w:p>
        </w:tc>
        <w:tc>
          <w:tcPr>
            <w:tcW w:w="850" w:type="dxa"/>
            <w:shd w:val="clear" w:color="auto" w:fill="auto"/>
            <w:noWrap/>
            <w:vAlign w:val="bottom"/>
            <w:hideMark/>
          </w:tcPr>
          <w:p w14:paraId="5A7CFA3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9.46</w:t>
            </w:r>
          </w:p>
        </w:tc>
        <w:tc>
          <w:tcPr>
            <w:tcW w:w="851" w:type="dxa"/>
            <w:shd w:val="clear" w:color="auto" w:fill="auto"/>
            <w:noWrap/>
            <w:vAlign w:val="bottom"/>
            <w:hideMark/>
          </w:tcPr>
          <w:p w14:paraId="079826A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31005F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1.00</w:t>
            </w:r>
          </w:p>
        </w:tc>
        <w:tc>
          <w:tcPr>
            <w:tcW w:w="851" w:type="dxa"/>
            <w:shd w:val="clear" w:color="auto" w:fill="auto"/>
            <w:noWrap/>
            <w:vAlign w:val="bottom"/>
            <w:hideMark/>
          </w:tcPr>
          <w:p w14:paraId="48C10BF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0F5416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1.00</w:t>
            </w:r>
          </w:p>
        </w:tc>
      </w:tr>
      <w:tr w:rsidR="00AB13DC" w:rsidRPr="008A38A6" w14:paraId="1BA0716D" w14:textId="77777777" w:rsidTr="00F560C9">
        <w:trPr>
          <w:trHeight w:val="300"/>
        </w:trPr>
        <w:tc>
          <w:tcPr>
            <w:tcW w:w="960" w:type="dxa"/>
            <w:shd w:val="clear" w:color="auto" w:fill="auto"/>
            <w:noWrap/>
            <w:vAlign w:val="bottom"/>
            <w:hideMark/>
          </w:tcPr>
          <w:p w14:paraId="4614465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12DB4B61" w14:textId="77777777" w:rsidR="00AB13DC" w:rsidRDefault="00AB13DC" w:rsidP="00AB13DC">
            <w:r w:rsidRPr="008A38A6">
              <w:rPr>
                <w:rFonts w:ascii="Calibri" w:eastAsia="Times New Roman" w:hAnsi="Calibri"/>
                <w:lang w:val="en-GB" w:eastAsia="en-GB"/>
              </w:rPr>
              <w:t>May</w:t>
            </w:r>
          </w:p>
        </w:tc>
        <w:tc>
          <w:tcPr>
            <w:tcW w:w="861" w:type="dxa"/>
            <w:shd w:val="clear" w:color="auto" w:fill="auto"/>
            <w:noWrap/>
            <w:vAlign w:val="bottom"/>
            <w:hideMark/>
          </w:tcPr>
          <w:p w14:paraId="01E77E9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439800</w:t>
            </w:r>
          </w:p>
        </w:tc>
        <w:tc>
          <w:tcPr>
            <w:tcW w:w="994" w:type="dxa"/>
            <w:shd w:val="clear" w:color="auto" w:fill="auto"/>
            <w:noWrap/>
            <w:vAlign w:val="bottom"/>
            <w:hideMark/>
          </w:tcPr>
          <w:p w14:paraId="28EF283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549800</w:t>
            </w:r>
          </w:p>
        </w:tc>
        <w:tc>
          <w:tcPr>
            <w:tcW w:w="927" w:type="dxa"/>
            <w:shd w:val="clear" w:color="auto" w:fill="auto"/>
            <w:noWrap/>
            <w:vAlign w:val="bottom"/>
            <w:hideMark/>
          </w:tcPr>
          <w:p w14:paraId="79E7826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57.19</w:t>
            </w:r>
          </w:p>
        </w:tc>
        <w:tc>
          <w:tcPr>
            <w:tcW w:w="851" w:type="dxa"/>
            <w:shd w:val="clear" w:color="auto" w:fill="auto"/>
            <w:noWrap/>
            <w:vAlign w:val="bottom"/>
            <w:hideMark/>
          </w:tcPr>
          <w:p w14:paraId="41829CE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7.78</w:t>
            </w:r>
          </w:p>
        </w:tc>
        <w:tc>
          <w:tcPr>
            <w:tcW w:w="850" w:type="dxa"/>
            <w:shd w:val="clear" w:color="auto" w:fill="auto"/>
            <w:noWrap/>
            <w:vAlign w:val="bottom"/>
            <w:hideMark/>
          </w:tcPr>
          <w:p w14:paraId="4AC9607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14.52</w:t>
            </w:r>
          </w:p>
        </w:tc>
        <w:tc>
          <w:tcPr>
            <w:tcW w:w="851" w:type="dxa"/>
            <w:shd w:val="clear" w:color="auto" w:fill="auto"/>
            <w:noWrap/>
            <w:vAlign w:val="bottom"/>
            <w:hideMark/>
          </w:tcPr>
          <w:p w14:paraId="2A87AC2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1E4EB2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361D0DF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3AE2A7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207705D2" w14:textId="77777777" w:rsidTr="00F560C9">
        <w:trPr>
          <w:trHeight w:val="300"/>
        </w:trPr>
        <w:tc>
          <w:tcPr>
            <w:tcW w:w="960" w:type="dxa"/>
            <w:shd w:val="clear" w:color="auto" w:fill="auto"/>
            <w:noWrap/>
            <w:vAlign w:val="bottom"/>
            <w:hideMark/>
          </w:tcPr>
          <w:p w14:paraId="752C13A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36FBACB7" w14:textId="77777777" w:rsidR="00AB13DC" w:rsidRDefault="00AB13DC" w:rsidP="00AB13DC">
            <w:r w:rsidRPr="008A38A6">
              <w:rPr>
                <w:rFonts w:ascii="Calibri" w:eastAsia="Times New Roman" w:hAnsi="Calibri"/>
                <w:lang w:val="en-GB" w:eastAsia="en-GB"/>
              </w:rPr>
              <w:t>May</w:t>
            </w:r>
          </w:p>
        </w:tc>
        <w:tc>
          <w:tcPr>
            <w:tcW w:w="861" w:type="dxa"/>
            <w:shd w:val="clear" w:color="auto" w:fill="auto"/>
            <w:noWrap/>
            <w:vAlign w:val="bottom"/>
            <w:hideMark/>
          </w:tcPr>
          <w:p w14:paraId="701DAC7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431000</w:t>
            </w:r>
          </w:p>
        </w:tc>
        <w:tc>
          <w:tcPr>
            <w:tcW w:w="994" w:type="dxa"/>
            <w:shd w:val="clear" w:color="auto" w:fill="auto"/>
            <w:noWrap/>
            <w:vAlign w:val="bottom"/>
            <w:hideMark/>
          </w:tcPr>
          <w:p w14:paraId="3D6D3B3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98100</w:t>
            </w:r>
          </w:p>
        </w:tc>
        <w:tc>
          <w:tcPr>
            <w:tcW w:w="927" w:type="dxa"/>
            <w:shd w:val="clear" w:color="auto" w:fill="auto"/>
            <w:noWrap/>
            <w:vAlign w:val="bottom"/>
            <w:hideMark/>
          </w:tcPr>
          <w:p w14:paraId="2285E15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30.50</w:t>
            </w:r>
          </w:p>
        </w:tc>
        <w:tc>
          <w:tcPr>
            <w:tcW w:w="851" w:type="dxa"/>
            <w:shd w:val="clear" w:color="auto" w:fill="auto"/>
            <w:noWrap/>
            <w:vAlign w:val="bottom"/>
            <w:hideMark/>
          </w:tcPr>
          <w:p w14:paraId="05225BB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2261DA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0.02</w:t>
            </w:r>
          </w:p>
        </w:tc>
        <w:tc>
          <w:tcPr>
            <w:tcW w:w="851" w:type="dxa"/>
            <w:shd w:val="clear" w:color="auto" w:fill="auto"/>
            <w:noWrap/>
            <w:vAlign w:val="bottom"/>
            <w:hideMark/>
          </w:tcPr>
          <w:p w14:paraId="5B4D62A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0.77</w:t>
            </w:r>
          </w:p>
        </w:tc>
        <w:tc>
          <w:tcPr>
            <w:tcW w:w="850" w:type="dxa"/>
            <w:shd w:val="clear" w:color="auto" w:fill="auto"/>
            <w:noWrap/>
            <w:vAlign w:val="bottom"/>
            <w:hideMark/>
          </w:tcPr>
          <w:p w14:paraId="42CE23E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7943B46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56C8D5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0.77</w:t>
            </w:r>
          </w:p>
        </w:tc>
      </w:tr>
      <w:tr w:rsidR="00AB13DC" w:rsidRPr="008A38A6" w14:paraId="1FA0D5A7" w14:textId="77777777" w:rsidTr="00F560C9">
        <w:trPr>
          <w:trHeight w:val="300"/>
        </w:trPr>
        <w:tc>
          <w:tcPr>
            <w:tcW w:w="960" w:type="dxa"/>
            <w:shd w:val="clear" w:color="auto" w:fill="auto"/>
            <w:noWrap/>
            <w:vAlign w:val="bottom"/>
            <w:hideMark/>
          </w:tcPr>
          <w:p w14:paraId="586ECDE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DDE5370" w14:textId="77777777" w:rsidR="00AB13DC" w:rsidRDefault="00AB13DC" w:rsidP="00AB13DC">
            <w:r w:rsidRPr="008A38A6">
              <w:rPr>
                <w:rFonts w:ascii="Calibri" w:eastAsia="Times New Roman" w:hAnsi="Calibri"/>
                <w:lang w:val="en-GB" w:eastAsia="en-GB"/>
              </w:rPr>
              <w:t>May</w:t>
            </w:r>
          </w:p>
        </w:tc>
        <w:tc>
          <w:tcPr>
            <w:tcW w:w="861" w:type="dxa"/>
            <w:shd w:val="clear" w:color="auto" w:fill="auto"/>
            <w:noWrap/>
            <w:vAlign w:val="bottom"/>
            <w:hideMark/>
          </w:tcPr>
          <w:p w14:paraId="4533C9D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596300</w:t>
            </w:r>
          </w:p>
        </w:tc>
        <w:tc>
          <w:tcPr>
            <w:tcW w:w="994" w:type="dxa"/>
            <w:shd w:val="clear" w:color="auto" w:fill="auto"/>
            <w:noWrap/>
            <w:vAlign w:val="bottom"/>
            <w:hideMark/>
          </w:tcPr>
          <w:p w14:paraId="6ED2913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240300</w:t>
            </w:r>
          </w:p>
        </w:tc>
        <w:tc>
          <w:tcPr>
            <w:tcW w:w="927" w:type="dxa"/>
            <w:shd w:val="clear" w:color="auto" w:fill="auto"/>
            <w:noWrap/>
            <w:vAlign w:val="bottom"/>
            <w:hideMark/>
          </w:tcPr>
          <w:p w14:paraId="1F191A6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78.61</w:t>
            </w:r>
          </w:p>
        </w:tc>
        <w:tc>
          <w:tcPr>
            <w:tcW w:w="851" w:type="dxa"/>
            <w:shd w:val="clear" w:color="auto" w:fill="auto"/>
            <w:noWrap/>
            <w:vAlign w:val="bottom"/>
            <w:hideMark/>
          </w:tcPr>
          <w:p w14:paraId="2117E42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4.35</w:t>
            </w:r>
          </w:p>
        </w:tc>
        <w:tc>
          <w:tcPr>
            <w:tcW w:w="850" w:type="dxa"/>
            <w:shd w:val="clear" w:color="auto" w:fill="auto"/>
            <w:noWrap/>
            <w:vAlign w:val="bottom"/>
            <w:hideMark/>
          </w:tcPr>
          <w:p w14:paraId="2C97644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24.19</w:t>
            </w:r>
          </w:p>
        </w:tc>
        <w:tc>
          <w:tcPr>
            <w:tcW w:w="851" w:type="dxa"/>
            <w:shd w:val="clear" w:color="auto" w:fill="auto"/>
            <w:noWrap/>
            <w:vAlign w:val="bottom"/>
            <w:hideMark/>
          </w:tcPr>
          <w:p w14:paraId="46EE208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861B74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7BFE98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86F446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0FF4F8E0" w14:textId="77777777" w:rsidTr="00F560C9">
        <w:trPr>
          <w:trHeight w:val="300"/>
        </w:trPr>
        <w:tc>
          <w:tcPr>
            <w:tcW w:w="960" w:type="dxa"/>
            <w:shd w:val="clear" w:color="auto" w:fill="auto"/>
            <w:noWrap/>
            <w:vAlign w:val="bottom"/>
            <w:hideMark/>
          </w:tcPr>
          <w:p w14:paraId="7831292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1104B3EF" w14:textId="77777777" w:rsidR="00AB13DC" w:rsidRDefault="00AB13DC" w:rsidP="00AB13DC">
            <w:r w:rsidRPr="008A38A6">
              <w:rPr>
                <w:rFonts w:ascii="Calibri" w:eastAsia="Times New Roman" w:hAnsi="Calibri"/>
                <w:lang w:val="en-GB" w:eastAsia="en-GB"/>
              </w:rPr>
              <w:t>May</w:t>
            </w:r>
          </w:p>
        </w:tc>
        <w:tc>
          <w:tcPr>
            <w:tcW w:w="861" w:type="dxa"/>
            <w:shd w:val="clear" w:color="auto" w:fill="auto"/>
            <w:noWrap/>
            <w:vAlign w:val="bottom"/>
            <w:hideMark/>
          </w:tcPr>
          <w:p w14:paraId="7C77878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588900</w:t>
            </w:r>
          </w:p>
        </w:tc>
        <w:tc>
          <w:tcPr>
            <w:tcW w:w="994" w:type="dxa"/>
            <w:shd w:val="clear" w:color="auto" w:fill="auto"/>
            <w:noWrap/>
            <w:vAlign w:val="bottom"/>
            <w:hideMark/>
          </w:tcPr>
          <w:p w14:paraId="1098211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242800</w:t>
            </w:r>
          </w:p>
        </w:tc>
        <w:tc>
          <w:tcPr>
            <w:tcW w:w="927" w:type="dxa"/>
            <w:shd w:val="clear" w:color="auto" w:fill="auto"/>
            <w:noWrap/>
            <w:vAlign w:val="bottom"/>
            <w:hideMark/>
          </w:tcPr>
          <w:p w14:paraId="373B16C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66.16</w:t>
            </w:r>
          </w:p>
        </w:tc>
        <w:tc>
          <w:tcPr>
            <w:tcW w:w="851" w:type="dxa"/>
            <w:shd w:val="clear" w:color="auto" w:fill="auto"/>
            <w:noWrap/>
            <w:vAlign w:val="bottom"/>
            <w:hideMark/>
          </w:tcPr>
          <w:p w14:paraId="70E671F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8.93</w:t>
            </w:r>
          </w:p>
        </w:tc>
        <w:tc>
          <w:tcPr>
            <w:tcW w:w="850" w:type="dxa"/>
            <w:shd w:val="clear" w:color="auto" w:fill="auto"/>
            <w:noWrap/>
            <w:vAlign w:val="bottom"/>
            <w:hideMark/>
          </w:tcPr>
          <w:p w14:paraId="53AEF31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14.87</w:t>
            </w:r>
          </w:p>
        </w:tc>
        <w:tc>
          <w:tcPr>
            <w:tcW w:w="851" w:type="dxa"/>
            <w:shd w:val="clear" w:color="auto" w:fill="auto"/>
            <w:noWrap/>
            <w:vAlign w:val="bottom"/>
            <w:hideMark/>
          </w:tcPr>
          <w:p w14:paraId="79B1660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0.70</w:t>
            </w:r>
          </w:p>
        </w:tc>
        <w:tc>
          <w:tcPr>
            <w:tcW w:w="850" w:type="dxa"/>
            <w:shd w:val="clear" w:color="auto" w:fill="auto"/>
            <w:noWrap/>
            <w:vAlign w:val="bottom"/>
            <w:hideMark/>
          </w:tcPr>
          <w:p w14:paraId="25A48AE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0.91</w:t>
            </w:r>
          </w:p>
        </w:tc>
        <w:tc>
          <w:tcPr>
            <w:tcW w:w="851" w:type="dxa"/>
            <w:shd w:val="clear" w:color="auto" w:fill="auto"/>
            <w:noWrap/>
            <w:vAlign w:val="bottom"/>
            <w:hideMark/>
          </w:tcPr>
          <w:p w14:paraId="3472017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4AEC62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1.61</w:t>
            </w:r>
          </w:p>
        </w:tc>
      </w:tr>
      <w:tr w:rsidR="00AB13DC" w:rsidRPr="008A38A6" w14:paraId="0CFCC6B8" w14:textId="77777777" w:rsidTr="00F560C9">
        <w:trPr>
          <w:trHeight w:val="300"/>
        </w:trPr>
        <w:tc>
          <w:tcPr>
            <w:tcW w:w="960" w:type="dxa"/>
            <w:shd w:val="clear" w:color="auto" w:fill="auto"/>
            <w:noWrap/>
            <w:vAlign w:val="bottom"/>
            <w:hideMark/>
          </w:tcPr>
          <w:p w14:paraId="43FC650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44BC3AC5" w14:textId="77777777" w:rsidR="00AB13DC" w:rsidRDefault="00AB13DC" w:rsidP="00AB13DC">
            <w:r w:rsidRPr="008A38A6">
              <w:rPr>
                <w:rFonts w:ascii="Calibri" w:eastAsia="Times New Roman" w:hAnsi="Calibri"/>
                <w:lang w:val="en-GB" w:eastAsia="en-GB"/>
              </w:rPr>
              <w:t>May</w:t>
            </w:r>
          </w:p>
        </w:tc>
        <w:tc>
          <w:tcPr>
            <w:tcW w:w="861" w:type="dxa"/>
            <w:shd w:val="clear" w:color="auto" w:fill="auto"/>
            <w:noWrap/>
            <w:vAlign w:val="bottom"/>
            <w:hideMark/>
          </w:tcPr>
          <w:p w14:paraId="04277C2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607600</w:t>
            </w:r>
          </w:p>
        </w:tc>
        <w:tc>
          <w:tcPr>
            <w:tcW w:w="994" w:type="dxa"/>
            <w:shd w:val="clear" w:color="auto" w:fill="auto"/>
            <w:noWrap/>
            <w:vAlign w:val="bottom"/>
            <w:hideMark/>
          </w:tcPr>
          <w:p w14:paraId="79D181F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231200</w:t>
            </w:r>
          </w:p>
        </w:tc>
        <w:tc>
          <w:tcPr>
            <w:tcW w:w="927" w:type="dxa"/>
            <w:shd w:val="clear" w:color="auto" w:fill="auto"/>
            <w:noWrap/>
            <w:vAlign w:val="bottom"/>
            <w:hideMark/>
          </w:tcPr>
          <w:p w14:paraId="757385E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61.06</w:t>
            </w:r>
          </w:p>
        </w:tc>
        <w:tc>
          <w:tcPr>
            <w:tcW w:w="851" w:type="dxa"/>
            <w:shd w:val="clear" w:color="auto" w:fill="auto"/>
            <w:noWrap/>
            <w:vAlign w:val="bottom"/>
            <w:hideMark/>
          </w:tcPr>
          <w:p w14:paraId="6BE47FA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0.36</w:t>
            </w:r>
          </w:p>
        </w:tc>
        <w:tc>
          <w:tcPr>
            <w:tcW w:w="850" w:type="dxa"/>
            <w:shd w:val="clear" w:color="auto" w:fill="auto"/>
            <w:noWrap/>
            <w:vAlign w:val="bottom"/>
            <w:hideMark/>
          </w:tcPr>
          <w:p w14:paraId="38010A7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5.06</w:t>
            </w:r>
          </w:p>
        </w:tc>
        <w:tc>
          <w:tcPr>
            <w:tcW w:w="851" w:type="dxa"/>
            <w:shd w:val="clear" w:color="auto" w:fill="auto"/>
            <w:noWrap/>
            <w:vAlign w:val="bottom"/>
            <w:hideMark/>
          </w:tcPr>
          <w:p w14:paraId="1AFA91D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9BA3B4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87FE50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D825B7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32BB411E" w14:textId="77777777" w:rsidTr="00F560C9">
        <w:trPr>
          <w:trHeight w:val="300"/>
        </w:trPr>
        <w:tc>
          <w:tcPr>
            <w:tcW w:w="960" w:type="dxa"/>
            <w:shd w:val="clear" w:color="auto" w:fill="auto"/>
            <w:noWrap/>
            <w:vAlign w:val="bottom"/>
            <w:hideMark/>
          </w:tcPr>
          <w:p w14:paraId="5860418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7FBDE8B2" w14:textId="77777777" w:rsidR="00AB13DC" w:rsidRDefault="00AB13DC" w:rsidP="00AB13DC">
            <w:r w:rsidRPr="008A38A6">
              <w:rPr>
                <w:rFonts w:ascii="Calibri" w:eastAsia="Times New Roman" w:hAnsi="Calibri"/>
                <w:lang w:val="en-GB" w:eastAsia="en-GB"/>
              </w:rPr>
              <w:t>June</w:t>
            </w:r>
          </w:p>
        </w:tc>
        <w:tc>
          <w:tcPr>
            <w:tcW w:w="861" w:type="dxa"/>
            <w:shd w:val="clear" w:color="auto" w:fill="auto"/>
            <w:noWrap/>
            <w:vAlign w:val="bottom"/>
            <w:hideMark/>
          </w:tcPr>
          <w:p w14:paraId="3394F80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316400</w:t>
            </w:r>
          </w:p>
        </w:tc>
        <w:tc>
          <w:tcPr>
            <w:tcW w:w="994" w:type="dxa"/>
            <w:shd w:val="clear" w:color="auto" w:fill="auto"/>
            <w:noWrap/>
            <w:vAlign w:val="bottom"/>
            <w:hideMark/>
          </w:tcPr>
          <w:p w14:paraId="74FB74F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670700</w:t>
            </w:r>
          </w:p>
        </w:tc>
        <w:tc>
          <w:tcPr>
            <w:tcW w:w="927" w:type="dxa"/>
            <w:shd w:val="clear" w:color="auto" w:fill="auto"/>
            <w:noWrap/>
            <w:vAlign w:val="bottom"/>
            <w:hideMark/>
          </w:tcPr>
          <w:p w14:paraId="6DC2F47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61.50</w:t>
            </w:r>
          </w:p>
        </w:tc>
        <w:tc>
          <w:tcPr>
            <w:tcW w:w="851" w:type="dxa"/>
            <w:shd w:val="clear" w:color="auto" w:fill="auto"/>
            <w:noWrap/>
            <w:vAlign w:val="bottom"/>
            <w:hideMark/>
          </w:tcPr>
          <w:p w14:paraId="6B29065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5.38</w:t>
            </w:r>
          </w:p>
        </w:tc>
        <w:tc>
          <w:tcPr>
            <w:tcW w:w="850" w:type="dxa"/>
            <w:shd w:val="clear" w:color="auto" w:fill="auto"/>
            <w:noWrap/>
            <w:vAlign w:val="bottom"/>
            <w:hideMark/>
          </w:tcPr>
          <w:p w14:paraId="1FE52FB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20.92</w:t>
            </w:r>
          </w:p>
        </w:tc>
        <w:tc>
          <w:tcPr>
            <w:tcW w:w="851" w:type="dxa"/>
            <w:shd w:val="clear" w:color="auto" w:fill="auto"/>
            <w:noWrap/>
            <w:vAlign w:val="bottom"/>
            <w:hideMark/>
          </w:tcPr>
          <w:p w14:paraId="36645FE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3C0651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46F29EA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4BC9C0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0EF42B9C" w14:textId="77777777" w:rsidTr="00F560C9">
        <w:trPr>
          <w:trHeight w:val="300"/>
        </w:trPr>
        <w:tc>
          <w:tcPr>
            <w:tcW w:w="960" w:type="dxa"/>
            <w:shd w:val="clear" w:color="auto" w:fill="auto"/>
            <w:noWrap/>
            <w:vAlign w:val="bottom"/>
            <w:hideMark/>
          </w:tcPr>
          <w:p w14:paraId="54BDDDA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12EE6ED9" w14:textId="77777777" w:rsidR="00AB13DC" w:rsidRDefault="00AB13DC" w:rsidP="00AB13DC">
            <w:r w:rsidRPr="008A38A6">
              <w:rPr>
                <w:rFonts w:ascii="Calibri" w:eastAsia="Times New Roman" w:hAnsi="Calibri"/>
                <w:lang w:val="en-GB" w:eastAsia="en-GB"/>
              </w:rPr>
              <w:t>June</w:t>
            </w:r>
          </w:p>
        </w:tc>
        <w:tc>
          <w:tcPr>
            <w:tcW w:w="861" w:type="dxa"/>
            <w:shd w:val="clear" w:color="auto" w:fill="auto"/>
            <w:noWrap/>
            <w:vAlign w:val="bottom"/>
            <w:hideMark/>
          </w:tcPr>
          <w:p w14:paraId="601F405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459900</w:t>
            </w:r>
          </w:p>
        </w:tc>
        <w:tc>
          <w:tcPr>
            <w:tcW w:w="994" w:type="dxa"/>
            <w:shd w:val="clear" w:color="auto" w:fill="auto"/>
            <w:noWrap/>
            <w:vAlign w:val="bottom"/>
            <w:hideMark/>
          </w:tcPr>
          <w:p w14:paraId="29F51F3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183300</w:t>
            </w:r>
          </w:p>
        </w:tc>
        <w:tc>
          <w:tcPr>
            <w:tcW w:w="927" w:type="dxa"/>
            <w:shd w:val="clear" w:color="auto" w:fill="auto"/>
            <w:noWrap/>
            <w:vAlign w:val="bottom"/>
            <w:hideMark/>
          </w:tcPr>
          <w:p w14:paraId="3BBAEB8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77.82</w:t>
            </w:r>
          </w:p>
        </w:tc>
        <w:tc>
          <w:tcPr>
            <w:tcW w:w="851" w:type="dxa"/>
            <w:shd w:val="clear" w:color="auto" w:fill="auto"/>
            <w:noWrap/>
            <w:vAlign w:val="bottom"/>
            <w:hideMark/>
          </w:tcPr>
          <w:p w14:paraId="0CEB5C0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16.82</w:t>
            </w:r>
          </w:p>
        </w:tc>
        <w:tc>
          <w:tcPr>
            <w:tcW w:w="850" w:type="dxa"/>
            <w:shd w:val="clear" w:color="auto" w:fill="auto"/>
            <w:noWrap/>
            <w:vAlign w:val="bottom"/>
            <w:hideMark/>
          </w:tcPr>
          <w:p w14:paraId="3C35A61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25.20</w:t>
            </w:r>
          </w:p>
        </w:tc>
        <w:tc>
          <w:tcPr>
            <w:tcW w:w="851" w:type="dxa"/>
            <w:shd w:val="clear" w:color="auto" w:fill="auto"/>
            <w:noWrap/>
            <w:vAlign w:val="bottom"/>
            <w:hideMark/>
          </w:tcPr>
          <w:p w14:paraId="7132D49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612A32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40B258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AAAA12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0945268F" w14:textId="77777777" w:rsidTr="00F560C9">
        <w:trPr>
          <w:trHeight w:val="300"/>
        </w:trPr>
        <w:tc>
          <w:tcPr>
            <w:tcW w:w="960" w:type="dxa"/>
            <w:shd w:val="clear" w:color="auto" w:fill="auto"/>
            <w:noWrap/>
            <w:vAlign w:val="bottom"/>
            <w:hideMark/>
          </w:tcPr>
          <w:p w14:paraId="4839B12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684CEDF7" w14:textId="77777777" w:rsidR="00AB13DC" w:rsidRDefault="00AB13DC" w:rsidP="00AB13DC">
            <w:r w:rsidRPr="008A38A6">
              <w:rPr>
                <w:rFonts w:ascii="Calibri" w:eastAsia="Times New Roman" w:hAnsi="Calibri"/>
                <w:lang w:val="en-GB" w:eastAsia="en-GB"/>
              </w:rPr>
              <w:t>June</w:t>
            </w:r>
          </w:p>
        </w:tc>
        <w:tc>
          <w:tcPr>
            <w:tcW w:w="861" w:type="dxa"/>
            <w:shd w:val="clear" w:color="auto" w:fill="auto"/>
            <w:noWrap/>
            <w:vAlign w:val="bottom"/>
            <w:hideMark/>
          </w:tcPr>
          <w:p w14:paraId="6A5218A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627900</w:t>
            </w:r>
          </w:p>
        </w:tc>
        <w:tc>
          <w:tcPr>
            <w:tcW w:w="994" w:type="dxa"/>
            <w:shd w:val="clear" w:color="auto" w:fill="auto"/>
            <w:noWrap/>
            <w:vAlign w:val="bottom"/>
            <w:hideMark/>
          </w:tcPr>
          <w:p w14:paraId="6A88F5D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236100</w:t>
            </w:r>
          </w:p>
        </w:tc>
        <w:tc>
          <w:tcPr>
            <w:tcW w:w="927" w:type="dxa"/>
            <w:shd w:val="clear" w:color="auto" w:fill="auto"/>
            <w:noWrap/>
            <w:vAlign w:val="bottom"/>
            <w:hideMark/>
          </w:tcPr>
          <w:p w14:paraId="234D23C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52.70</w:t>
            </w:r>
          </w:p>
        </w:tc>
        <w:tc>
          <w:tcPr>
            <w:tcW w:w="851" w:type="dxa"/>
            <w:shd w:val="clear" w:color="auto" w:fill="auto"/>
            <w:noWrap/>
            <w:vAlign w:val="bottom"/>
            <w:hideMark/>
          </w:tcPr>
          <w:p w14:paraId="6161A8B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7.99</w:t>
            </w:r>
          </w:p>
        </w:tc>
        <w:tc>
          <w:tcPr>
            <w:tcW w:w="850" w:type="dxa"/>
            <w:shd w:val="clear" w:color="auto" w:fill="auto"/>
            <w:noWrap/>
            <w:vAlign w:val="bottom"/>
            <w:hideMark/>
          </w:tcPr>
          <w:p w14:paraId="7A9222C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11.30</w:t>
            </w:r>
          </w:p>
        </w:tc>
        <w:tc>
          <w:tcPr>
            <w:tcW w:w="851" w:type="dxa"/>
            <w:shd w:val="clear" w:color="auto" w:fill="auto"/>
            <w:noWrap/>
            <w:vAlign w:val="bottom"/>
            <w:hideMark/>
          </w:tcPr>
          <w:p w14:paraId="534D5C9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9E642D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0.83</w:t>
            </w:r>
          </w:p>
        </w:tc>
        <w:tc>
          <w:tcPr>
            <w:tcW w:w="851" w:type="dxa"/>
            <w:shd w:val="clear" w:color="auto" w:fill="auto"/>
            <w:noWrap/>
            <w:vAlign w:val="bottom"/>
            <w:hideMark/>
          </w:tcPr>
          <w:p w14:paraId="719FAD4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5C6DE2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0.83</w:t>
            </w:r>
          </w:p>
        </w:tc>
      </w:tr>
      <w:tr w:rsidR="00AB13DC" w:rsidRPr="008A38A6" w14:paraId="1CC0E490" w14:textId="77777777" w:rsidTr="00F560C9">
        <w:trPr>
          <w:trHeight w:val="300"/>
        </w:trPr>
        <w:tc>
          <w:tcPr>
            <w:tcW w:w="960" w:type="dxa"/>
            <w:shd w:val="clear" w:color="auto" w:fill="auto"/>
            <w:noWrap/>
            <w:vAlign w:val="bottom"/>
            <w:hideMark/>
          </w:tcPr>
          <w:p w14:paraId="3CE4EBC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3535209C" w14:textId="77777777" w:rsidR="00AB13DC" w:rsidRDefault="00AB13DC" w:rsidP="00AB13DC">
            <w:r w:rsidRPr="008A38A6">
              <w:rPr>
                <w:rFonts w:ascii="Calibri" w:eastAsia="Times New Roman" w:hAnsi="Calibri"/>
                <w:lang w:val="en-GB" w:eastAsia="en-GB"/>
              </w:rPr>
              <w:t>June</w:t>
            </w:r>
          </w:p>
        </w:tc>
        <w:tc>
          <w:tcPr>
            <w:tcW w:w="861" w:type="dxa"/>
            <w:shd w:val="clear" w:color="auto" w:fill="auto"/>
            <w:noWrap/>
            <w:vAlign w:val="bottom"/>
            <w:hideMark/>
          </w:tcPr>
          <w:p w14:paraId="5230BDD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557300</w:t>
            </w:r>
          </w:p>
        </w:tc>
        <w:tc>
          <w:tcPr>
            <w:tcW w:w="994" w:type="dxa"/>
            <w:shd w:val="clear" w:color="auto" w:fill="auto"/>
            <w:noWrap/>
            <w:vAlign w:val="bottom"/>
            <w:hideMark/>
          </w:tcPr>
          <w:p w14:paraId="32EEB6C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234900</w:t>
            </w:r>
          </w:p>
        </w:tc>
        <w:tc>
          <w:tcPr>
            <w:tcW w:w="927" w:type="dxa"/>
            <w:shd w:val="clear" w:color="auto" w:fill="auto"/>
            <w:noWrap/>
            <w:vAlign w:val="bottom"/>
            <w:hideMark/>
          </w:tcPr>
          <w:p w14:paraId="0AE7689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78.53</w:t>
            </w:r>
          </w:p>
        </w:tc>
        <w:tc>
          <w:tcPr>
            <w:tcW w:w="851" w:type="dxa"/>
            <w:shd w:val="clear" w:color="auto" w:fill="auto"/>
            <w:noWrap/>
            <w:vAlign w:val="bottom"/>
            <w:hideMark/>
          </w:tcPr>
          <w:p w14:paraId="6AA4DA7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5.95</w:t>
            </w:r>
          </w:p>
        </w:tc>
        <w:tc>
          <w:tcPr>
            <w:tcW w:w="850" w:type="dxa"/>
            <w:shd w:val="clear" w:color="auto" w:fill="auto"/>
            <w:noWrap/>
            <w:vAlign w:val="bottom"/>
            <w:hideMark/>
          </w:tcPr>
          <w:p w14:paraId="515F325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38.33</w:t>
            </w:r>
          </w:p>
        </w:tc>
        <w:tc>
          <w:tcPr>
            <w:tcW w:w="851" w:type="dxa"/>
            <w:shd w:val="clear" w:color="auto" w:fill="auto"/>
            <w:noWrap/>
            <w:vAlign w:val="bottom"/>
            <w:hideMark/>
          </w:tcPr>
          <w:p w14:paraId="4C1A5B1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A2653E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B6CD19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8B1EC3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23FA49E3" w14:textId="77777777" w:rsidTr="00F560C9">
        <w:trPr>
          <w:trHeight w:val="300"/>
        </w:trPr>
        <w:tc>
          <w:tcPr>
            <w:tcW w:w="960" w:type="dxa"/>
            <w:shd w:val="clear" w:color="auto" w:fill="auto"/>
            <w:noWrap/>
            <w:vAlign w:val="bottom"/>
            <w:hideMark/>
          </w:tcPr>
          <w:p w14:paraId="2F0D1A3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4B388C6" w14:textId="77777777" w:rsidR="00AB13DC" w:rsidRDefault="00AB13DC" w:rsidP="00AB13DC">
            <w:r w:rsidRPr="008A38A6">
              <w:rPr>
                <w:rFonts w:ascii="Calibri" w:eastAsia="Times New Roman" w:hAnsi="Calibri"/>
                <w:lang w:val="en-GB" w:eastAsia="en-GB"/>
              </w:rPr>
              <w:t>June</w:t>
            </w:r>
          </w:p>
        </w:tc>
        <w:tc>
          <w:tcPr>
            <w:tcW w:w="861" w:type="dxa"/>
            <w:shd w:val="clear" w:color="auto" w:fill="auto"/>
            <w:noWrap/>
            <w:vAlign w:val="bottom"/>
            <w:hideMark/>
          </w:tcPr>
          <w:p w14:paraId="1692D0C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349900</w:t>
            </w:r>
          </w:p>
        </w:tc>
        <w:tc>
          <w:tcPr>
            <w:tcW w:w="994" w:type="dxa"/>
            <w:shd w:val="clear" w:color="auto" w:fill="auto"/>
            <w:noWrap/>
            <w:vAlign w:val="bottom"/>
            <w:hideMark/>
          </w:tcPr>
          <w:p w14:paraId="1960024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487200</w:t>
            </w:r>
          </w:p>
        </w:tc>
        <w:tc>
          <w:tcPr>
            <w:tcW w:w="927" w:type="dxa"/>
            <w:shd w:val="clear" w:color="auto" w:fill="auto"/>
            <w:noWrap/>
            <w:vAlign w:val="bottom"/>
            <w:hideMark/>
          </w:tcPr>
          <w:p w14:paraId="134499D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55.45</w:t>
            </w:r>
          </w:p>
        </w:tc>
        <w:tc>
          <w:tcPr>
            <w:tcW w:w="851" w:type="dxa"/>
            <w:shd w:val="clear" w:color="auto" w:fill="auto"/>
            <w:noWrap/>
            <w:vAlign w:val="bottom"/>
            <w:hideMark/>
          </w:tcPr>
          <w:p w14:paraId="49CF89F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9ED1BB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0.84</w:t>
            </w:r>
          </w:p>
        </w:tc>
        <w:tc>
          <w:tcPr>
            <w:tcW w:w="851" w:type="dxa"/>
            <w:shd w:val="clear" w:color="auto" w:fill="auto"/>
            <w:noWrap/>
            <w:vAlign w:val="bottom"/>
            <w:hideMark/>
          </w:tcPr>
          <w:p w14:paraId="584D9B9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456D4B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022B105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91E218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1226ECE9" w14:textId="77777777" w:rsidTr="00F560C9">
        <w:trPr>
          <w:trHeight w:val="300"/>
        </w:trPr>
        <w:tc>
          <w:tcPr>
            <w:tcW w:w="960" w:type="dxa"/>
            <w:shd w:val="clear" w:color="auto" w:fill="auto"/>
            <w:noWrap/>
            <w:vAlign w:val="bottom"/>
            <w:hideMark/>
          </w:tcPr>
          <w:p w14:paraId="53F1594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6CFA4A56" w14:textId="77777777" w:rsidR="00AB13DC" w:rsidRDefault="00AB13DC" w:rsidP="00AB13DC">
            <w:r w:rsidRPr="008A38A6">
              <w:rPr>
                <w:rFonts w:ascii="Calibri" w:eastAsia="Times New Roman" w:hAnsi="Calibri"/>
                <w:lang w:val="en-GB" w:eastAsia="en-GB"/>
              </w:rPr>
              <w:t>June</w:t>
            </w:r>
          </w:p>
        </w:tc>
        <w:tc>
          <w:tcPr>
            <w:tcW w:w="861" w:type="dxa"/>
            <w:shd w:val="clear" w:color="auto" w:fill="auto"/>
            <w:noWrap/>
            <w:vAlign w:val="bottom"/>
            <w:hideMark/>
          </w:tcPr>
          <w:p w14:paraId="5902ADC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317200</w:t>
            </w:r>
          </w:p>
        </w:tc>
        <w:tc>
          <w:tcPr>
            <w:tcW w:w="994" w:type="dxa"/>
            <w:shd w:val="clear" w:color="auto" w:fill="auto"/>
            <w:noWrap/>
            <w:vAlign w:val="bottom"/>
            <w:hideMark/>
          </w:tcPr>
          <w:p w14:paraId="56D1210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669300</w:t>
            </w:r>
          </w:p>
        </w:tc>
        <w:tc>
          <w:tcPr>
            <w:tcW w:w="927" w:type="dxa"/>
            <w:shd w:val="clear" w:color="auto" w:fill="auto"/>
            <w:noWrap/>
            <w:vAlign w:val="bottom"/>
            <w:hideMark/>
          </w:tcPr>
          <w:p w14:paraId="2FECE7C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55.82</w:t>
            </w:r>
          </w:p>
        </w:tc>
        <w:tc>
          <w:tcPr>
            <w:tcW w:w="851" w:type="dxa"/>
            <w:shd w:val="clear" w:color="auto" w:fill="auto"/>
            <w:noWrap/>
            <w:vAlign w:val="bottom"/>
            <w:hideMark/>
          </w:tcPr>
          <w:p w14:paraId="2E8590A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5.45</w:t>
            </w:r>
          </w:p>
        </w:tc>
        <w:tc>
          <w:tcPr>
            <w:tcW w:w="850" w:type="dxa"/>
            <w:shd w:val="clear" w:color="auto" w:fill="auto"/>
            <w:noWrap/>
            <w:vAlign w:val="bottom"/>
            <w:hideMark/>
          </w:tcPr>
          <w:p w14:paraId="550AD65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21.98</w:t>
            </w:r>
          </w:p>
        </w:tc>
        <w:tc>
          <w:tcPr>
            <w:tcW w:w="851" w:type="dxa"/>
            <w:shd w:val="clear" w:color="auto" w:fill="auto"/>
            <w:noWrap/>
            <w:vAlign w:val="bottom"/>
            <w:hideMark/>
          </w:tcPr>
          <w:p w14:paraId="1BCEB87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488027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0D3DA3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A6725E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2EE54838" w14:textId="77777777" w:rsidTr="00F560C9">
        <w:trPr>
          <w:trHeight w:val="300"/>
        </w:trPr>
        <w:tc>
          <w:tcPr>
            <w:tcW w:w="960" w:type="dxa"/>
            <w:shd w:val="clear" w:color="auto" w:fill="auto"/>
            <w:noWrap/>
            <w:vAlign w:val="bottom"/>
            <w:hideMark/>
          </w:tcPr>
          <w:p w14:paraId="7A5B6B2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029AB94" w14:textId="77777777" w:rsidR="00AB13DC" w:rsidRDefault="00AB13DC" w:rsidP="00AB13DC">
            <w:r w:rsidRPr="008A38A6">
              <w:rPr>
                <w:rFonts w:ascii="Calibri" w:eastAsia="Times New Roman" w:hAnsi="Calibri"/>
                <w:lang w:val="en-GB" w:eastAsia="en-GB"/>
              </w:rPr>
              <w:t>June</w:t>
            </w:r>
          </w:p>
        </w:tc>
        <w:tc>
          <w:tcPr>
            <w:tcW w:w="861" w:type="dxa"/>
            <w:shd w:val="clear" w:color="auto" w:fill="auto"/>
            <w:noWrap/>
            <w:vAlign w:val="bottom"/>
            <w:hideMark/>
          </w:tcPr>
          <w:p w14:paraId="79A8177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626000</w:t>
            </w:r>
          </w:p>
        </w:tc>
        <w:tc>
          <w:tcPr>
            <w:tcW w:w="994" w:type="dxa"/>
            <w:shd w:val="clear" w:color="auto" w:fill="auto"/>
            <w:noWrap/>
            <w:vAlign w:val="bottom"/>
            <w:hideMark/>
          </w:tcPr>
          <w:p w14:paraId="4099341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148000</w:t>
            </w:r>
          </w:p>
        </w:tc>
        <w:tc>
          <w:tcPr>
            <w:tcW w:w="927" w:type="dxa"/>
            <w:shd w:val="clear" w:color="auto" w:fill="auto"/>
            <w:noWrap/>
            <w:vAlign w:val="bottom"/>
            <w:hideMark/>
          </w:tcPr>
          <w:p w14:paraId="5070BDA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78.62</w:t>
            </w:r>
          </w:p>
        </w:tc>
        <w:tc>
          <w:tcPr>
            <w:tcW w:w="851" w:type="dxa"/>
            <w:shd w:val="clear" w:color="auto" w:fill="auto"/>
            <w:noWrap/>
            <w:vAlign w:val="bottom"/>
            <w:hideMark/>
          </w:tcPr>
          <w:p w14:paraId="1028CBA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18.35</w:t>
            </w:r>
          </w:p>
        </w:tc>
        <w:tc>
          <w:tcPr>
            <w:tcW w:w="850" w:type="dxa"/>
            <w:shd w:val="clear" w:color="auto" w:fill="auto"/>
            <w:noWrap/>
            <w:vAlign w:val="bottom"/>
            <w:hideMark/>
          </w:tcPr>
          <w:p w14:paraId="081A3FB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28.50</w:t>
            </w:r>
          </w:p>
        </w:tc>
        <w:tc>
          <w:tcPr>
            <w:tcW w:w="851" w:type="dxa"/>
            <w:shd w:val="clear" w:color="auto" w:fill="auto"/>
            <w:noWrap/>
            <w:vAlign w:val="bottom"/>
            <w:hideMark/>
          </w:tcPr>
          <w:p w14:paraId="720ABB6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0C41E2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c>
          <w:tcPr>
            <w:tcW w:w="851" w:type="dxa"/>
            <w:shd w:val="clear" w:color="auto" w:fill="auto"/>
            <w:noWrap/>
            <w:vAlign w:val="bottom"/>
            <w:hideMark/>
          </w:tcPr>
          <w:p w14:paraId="1EC6BAB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1.61</w:t>
            </w:r>
          </w:p>
        </w:tc>
        <w:tc>
          <w:tcPr>
            <w:tcW w:w="850" w:type="dxa"/>
            <w:shd w:val="clear" w:color="auto" w:fill="auto"/>
            <w:noWrap/>
            <w:vAlign w:val="bottom"/>
            <w:hideMark/>
          </w:tcPr>
          <w:p w14:paraId="48F6609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1.99</w:t>
            </w:r>
          </w:p>
        </w:tc>
      </w:tr>
      <w:tr w:rsidR="00AB13DC" w:rsidRPr="008A38A6" w14:paraId="7367AF66" w14:textId="77777777" w:rsidTr="00F560C9">
        <w:trPr>
          <w:trHeight w:val="300"/>
        </w:trPr>
        <w:tc>
          <w:tcPr>
            <w:tcW w:w="960" w:type="dxa"/>
            <w:shd w:val="clear" w:color="auto" w:fill="auto"/>
            <w:noWrap/>
            <w:vAlign w:val="bottom"/>
            <w:hideMark/>
          </w:tcPr>
          <w:p w14:paraId="2D10566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66CE6608" w14:textId="77777777" w:rsidR="00AB13DC" w:rsidRDefault="00AB13DC" w:rsidP="00AB13DC">
            <w:r w:rsidRPr="008A38A6">
              <w:rPr>
                <w:rFonts w:ascii="Calibri" w:eastAsia="Times New Roman" w:hAnsi="Calibri"/>
                <w:lang w:val="en-GB" w:eastAsia="en-GB"/>
              </w:rPr>
              <w:t>June</w:t>
            </w:r>
          </w:p>
        </w:tc>
        <w:tc>
          <w:tcPr>
            <w:tcW w:w="861" w:type="dxa"/>
            <w:shd w:val="clear" w:color="auto" w:fill="auto"/>
            <w:noWrap/>
            <w:vAlign w:val="bottom"/>
            <w:hideMark/>
          </w:tcPr>
          <w:p w14:paraId="172D33D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618200</w:t>
            </w:r>
          </w:p>
        </w:tc>
        <w:tc>
          <w:tcPr>
            <w:tcW w:w="994" w:type="dxa"/>
            <w:shd w:val="clear" w:color="auto" w:fill="auto"/>
            <w:noWrap/>
            <w:vAlign w:val="bottom"/>
            <w:hideMark/>
          </w:tcPr>
          <w:p w14:paraId="3C2AD7B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247000</w:t>
            </w:r>
          </w:p>
        </w:tc>
        <w:tc>
          <w:tcPr>
            <w:tcW w:w="927" w:type="dxa"/>
            <w:shd w:val="clear" w:color="auto" w:fill="auto"/>
            <w:noWrap/>
            <w:vAlign w:val="bottom"/>
            <w:hideMark/>
          </w:tcPr>
          <w:p w14:paraId="52A3213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57.70</w:t>
            </w:r>
          </w:p>
        </w:tc>
        <w:tc>
          <w:tcPr>
            <w:tcW w:w="851" w:type="dxa"/>
            <w:shd w:val="clear" w:color="auto" w:fill="auto"/>
            <w:noWrap/>
            <w:vAlign w:val="bottom"/>
            <w:hideMark/>
          </w:tcPr>
          <w:p w14:paraId="573DED4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6.87</w:t>
            </w:r>
          </w:p>
        </w:tc>
        <w:tc>
          <w:tcPr>
            <w:tcW w:w="850" w:type="dxa"/>
            <w:shd w:val="clear" w:color="auto" w:fill="auto"/>
            <w:noWrap/>
            <w:vAlign w:val="bottom"/>
            <w:hideMark/>
          </w:tcPr>
          <w:p w14:paraId="7DC3D23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13.55</w:t>
            </w:r>
          </w:p>
        </w:tc>
        <w:tc>
          <w:tcPr>
            <w:tcW w:w="851" w:type="dxa"/>
            <w:shd w:val="clear" w:color="auto" w:fill="auto"/>
            <w:noWrap/>
            <w:vAlign w:val="bottom"/>
            <w:hideMark/>
          </w:tcPr>
          <w:p w14:paraId="5C65897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E5848B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BEA792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D37DEB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5F9083D5" w14:textId="77777777" w:rsidTr="00F560C9">
        <w:trPr>
          <w:trHeight w:val="300"/>
        </w:trPr>
        <w:tc>
          <w:tcPr>
            <w:tcW w:w="960" w:type="dxa"/>
            <w:shd w:val="clear" w:color="auto" w:fill="auto"/>
            <w:noWrap/>
            <w:vAlign w:val="bottom"/>
            <w:hideMark/>
          </w:tcPr>
          <w:p w14:paraId="6BC0E09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61755A39" w14:textId="77777777" w:rsidR="00AB13DC" w:rsidRDefault="00AB13DC" w:rsidP="00AB13DC">
            <w:r w:rsidRPr="008A38A6">
              <w:rPr>
                <w:rFonts w:ascii="Calibri" w:eastAsia="Times New Roman" w:hAnsi="Calibri"/>
                <w:lang w:val="en-GB" w:eastAsia="en-GB"/>
              </w:rPr>
              <w:t>June</w:t>
            </w:r>
          </w:p>
        </w:tc>
        <w:tc>
          <w:tcPr>
            <w:tcW w:w="861" w:type="dxa"/>
            <w:shd w:val="clear" w:color="auto" w:fill="auto"/>
            <w:noWrap/>
            <w:vAlign w:val="bottom"/>
            <w:hideMark/>
          </w:tcPr>
          <w:p w14:paraId="6E13144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452900</w:t>
            </w:r>
          </w:p>
        </w:tc>
        <w:tc>
          <w:tcPr>
            <w:tcW w:w="994" w:type="dxa"/>
            <w:shd w:val="clear" w:color="auto" w:fill="auto"/>
            <w:noWrap/>
            <w:vAlign w:val="bottom"/>
            <w:hideMark/>
          </w:tcPr>
          <w:p w14:paraId="6CFE8E6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158900</w:t>
            </w:r>
          </w:p>
        </w:tc>
        <w:tc>
          <w:tcPr>
            <w:tcW w:w="927" w:type="dxa"/>
            <w:shd w:val="clear" w:color="auto" w:fill="auto"/>
            <w:noWrap/>
            <w:vAlign w:val="bottom"/>
            <w:hideMark/>
          </w:tcPr>
          <w:p w14:paraId="7CAA341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60.01</w:t>
            </w:r>
          </w:p>
        </w:tc>
        <w:tc>
          <w:tcPr>
            <w:tcW w:w="851" w:type="dxa"/>
            <w:shd w:val="clear" w:color="auto" w:fill="auto"/>
            <w:noWrap/>
            <w:vAlign w:val="bottom"/>
            <w:hideMark/>
          </w:tcPr>
          <w:p w14:paraId="289CA65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1.36</w:t>
            </w:r>
          </w:p>
        </w:tc>
        <w:tc>
          <w:tcPr>
            <w:tcW w:w="850" w:type="dxa"/>
            <w:shd w:val="clear" w:color="auto" w:fill="auto"/>
            <w:noWrap/>
            <w:vAlign w:val="bottom"/>
            <w:hideMark/>
          </w:tcPr>
          <w:p w14:paraId="1CA5ADD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10.72</w:t>
            </w:r>
          </w:p>
        </w:tc>
        <w:tc>
          <w:tcPr>
            <w:tcW w:w="851" w:type="dxa"/>
            <w:shd w:val="clear" w:color="auto" w:fill="auto"/>
            <w:noWrap/>
            <w:vAlign w:val="bottom"/>
            <w:hideMark/>
          </w:tcPr>
          <w:p w14:paraId="1B0C172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9E2316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1.37</w:t>
            </w:r>
          </w:p>
        </w:tc>
        <w:tc>
          <w:tcPr>
            <w:tcW w:w="851" w:type="dxa"/>
            <w:shd w:val="clear" w:color="auto" w:fill="auto"/>
            <w:noWrap/>
            <w:vAlign w:val="bottom"/>
            <w:hideMark/>
          </w:tcPr>
          <w:p w14:paraId="358D1EC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1E23ED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1.37</w:t>
            </w:r>
          </w:p>
        </w:tc>
      </w:tr>
      <w:tr w:rsidR="00AB13DC" w:rsidRPr="008A38A6" w14:paraId="6A10ED09" w14:textId="478D4DD9" w:rsidTr="00F560C9">
        <w:trPr>
          <w:trHeight w:val="300"/>
        </w:trPr>
        <w:tc>
          <w:tcPr>
            <w:tcW w:w="960" w:type="dxa"/>
            <w:shd w:val="clear" w:color="auto" w:fill="auto"/>
            <w:noWrap/>
            <w:vAlign w:val="bottom"/>
            <w:hideMark/>
          </w:tcPr>
          <w:p w14:paraId="461E6D27" w14:textId="04223940"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184E5BCB" w14:textId="4A625D8E" w:rsidR="00AB13DC" w:rsidRDefault="00AB13DC" w:rsidP="00AB13DC">
            <w:r w:rsidRPr="008A38A6">
              <w:rPr>
                <w:rFonts w:ascii="Calibri" w:eastAsia="Times New Roman" w:hAnsi="Calibri"/>
                <w:lang w:val="en-GB" w:eastAsia="en-GB"/>
              </w:rPr>
              <w:t>June</w:t>
            </w:r>
          </w:p>
        </w:tc>
        <w:tc>
          <w:tcPr>
            <w:tcW w:w="861" w:type="dxa"/>
            <w:shd w:val="clear" w:color="auto" w:fill="auto"/>
            <w:noWrap/>
            <w:vAlign w:val="bottom"/>
            <w:hideMark/>
          </w:tcPr>
          <w:p w14:paraId="1124406F" w14:textId="6EB4FBA2"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447700</w:t>
            </w:r>
          </w:p>
        </w:tc>
        <w:tc>
          <w:tcPr>
            <w:tcW w:w="994" w:type="dxa"/>
            <w:shd w:val="clear" w:color="auto" w:fill="auto"/>
            <w:noWrap/>
            <w:vAlign w:val="bottom"/>
            <w:hideMark/>
          </w:tcPr>
          <w:p w14:paraId="36C892F4" w14:textId="4A307B03"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173800</w:t>
            </w:r>
          </w:p>
        </w:tc>
        <w:tc>
          <w:tcPr>
            <w:tcW w:w="927" w:type="dxa"/>
            <w:shd w:val="clear" w:color="auto" w:fill="auto"/>
            <w:noWrap/>
            <w:vAlign w:val="bottom"/>
            <w:hideMark/>
          </w:tcPr>
          <w:p w14:paraId="47BA700F" w14:textId="374F551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66.86</w:t>
            </w:r>
          </w:p>
        </w:tc>
        <w:tc>
          <w:tcPr>
            <w:tcW w:w="851" w:type="dxa"/>
            <w:shd w:val="clear" w:color="auto" w:fill="auto"/>
            <w:noWrap/>
            <w:vAlign w:val="bottom"/>
            <w:hideMark/>
          </w:tcPr>
          <w:p w14:paraId="5669CBFC" w14:textId="46D0F7A3"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11.37</w:t>
            </w:r>
          </w:p>
        </w:tc>
        <w:tc>
          <w:tcPr>
            <w:tcW w:w="850" w:type="dxa"/>
            <w:shd w:val="clear" w:color="auto" w:fill="auto"/>
            <w:noWrap/>
            <w:vAlign w:val="bottom"/>
            <w:hideMark/>
          </w:tcPr>
          <w:p w14:paraId="33C368E6" w14:textId="27DBB86B"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18.14</w:t>
            </w:r>
          </w:p>
        </w:tc>
        <w:tc>
          <w:tcPr>
            <w:tcW w:w="851" w:type="dxa"/>
            <w:shd w:val="clear" w:color="auto" w:fill="auto"/>
            <w:noWrap/>
            <w:vAlign w:val="bottom"/>
            <w:hideMark/>
          </w:tcPr>
          <w:p w14:paraId="6A9C1E09" w14:textId="049F970F"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2394159" w14:textId="41F16A30"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698CB365" w14:textId="0176BDFD"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5CB0F25" w14:textId="51DDDDA8"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230DABE6" w14:textId="77777777" w:rsidTr="00F560C9">
        <w:trPr>
          <w:trHeight w:val="300"/>
        </w:trPr>
        <w:tc>
          <w:tcPr>
            <w:tcW w:w="960" w:type="dxa"/>
            <w:shd w:val="clear" w:color="auto" w:fill="auto"/>
            <w:noWrap/>
            <w:vAlign w:val="bottom"/>
            <w:hideMark/>
          </w:tcPr>
          <w:p w14:paraId="2662500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4A4191F" w14:textId="77777777" w:rsidR="00AB13DC" w:rsidRDefault="00AB13DC" w:rsidP="00AB13DC">
            <w:r w:rsidRPr="008A38A6">
              <w:rPr>
                <w:rFonts w:ascii="Calibri" w:eastAsia="Times New Roman" w:hAnsi="Calibri"/>
                <w:lang w:val="en-GB" w:eastAsia="en-GB"/>
              </w:rPr>
              <w:t>June</w:t>
            </w:r>
          </w:p>
        </w:tc>
        <w:tc>
          <w:tcPr>
            <w:tcW w:w="861" w:type="dxa"/>
            <w:shd w:val="clear" w:color="auto" w:fill="auto"/>
            <w:noWrap/>
            <w:vAlign w:val="bottom"/>
            <w:hideMark/>
          </w:tcPr>
          <w:p w14:paraId="46647D2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623100</w:t>
            </w:r>
          </w:p>
        </w:tc>
        <w:tc>
          <w:tcPr>
            <w:tcW w:w="994" w:type="dxa"/>
            <w:shd w:val="clear" w:color="auto" w:fill="auto"/>
            <w:noWrap/>
            <w:vAlign w:val="bottom"/>
            <w:hideMark/>
          </w:tcPr>
          <w:p w14:paraId="1822E2B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235100</w:t>
            </w:r>
          </w:p>
        </w:tc>
        <w:tc>
          <w:tcPr>
            <w:tcW w:w="927" w:type="dxa"/>
            <w:shd w:val="clear" w:color="auto" w:fill="auto"/>
            <w:noWrap/>
            <w:vAlign w:val="bottom"/>
            <w:hideMark/>
          </w:tcPr>
          <w:p w14:paraId="0D5F74C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66.67</w:t>
            </w:r>
          </w:p>
        </w:tc>
        <w:tc>
          <w:tcPr>
            <w:tcW w:w="851" w:type="dxa"/>
            <w:shd w:val="clear" w:color="auto" w:fill="auto"/>
            <w:noWrap/>
            <w:vAlign w:val="bottom"/>
            <w:hideMark/>
          </w:tcPr>
          <w:p w14:paraId="220E921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1.74</w:t>
            </w:r>
          </w:p>
        </w:tc>
        <w:tc>
          <w:tcPr>
            <w:tcW w:w="850" w:type="dxa"/>
            <w:shd w:val="clear" w:color="auto" w:fill="auto"/>
            <w:noWrap/>
            <w:vAlign w:val="bottom"/>
            <w:hideMark/>
          </w:tcPr>
          <w:p w14:paraId="24063F0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16.43</w:t>
            </w:r>
          </w:p>
        </w:tc>
        <w:tc>
          <w:tcPr>
            <w:tcW w:w="851" w:type="dxa"/>
            <w:shd w:val="clear" w:color="auto" w:fill="auto"/>
            <w:noWrap/>
            <w:vAlign w:val="bottom"/>
            <w:hideMark/>
          </w:tcPr>
          <w:p w14:paraId="1EAC2FB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EAEEF8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2827A71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4412AA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597736D2" w14:textId="77777777" w:rsidTr="00F560C9">
        <w:trPr>
          <w:trHeight w:val="300"/>
        </w:trPr>
        <w:tc>
          <w:tcPr>
            <w:tcW w:w="960" w:type="dxa"/>
            <w:shd w:val="clear" w:color="auto" w:fill="auto"/>
            <w:noWrap/>
            <w:vAlign w:val="bottom"/>
            <w:hideMark/>
          </w:tcPr>
          <w:p w14:paraId="5E88539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EFCD607" w14:textId="77777777" w:rsidR="00AB13DC" w:rsidRDefault="00AB13DC" w:rsidP="00AB13DC">
            <w:r w:rsidRPr="008A38A6">
              <w:rPr>
                <w:rFonts w:ascii="Calibri" w:eastAsia="Times New Roman" w:hAnsi="Calibri"/>
                <w:lang w:val="en-GB" w:eastAsia="en-GB"/>
              </w:rPr>
              <w:t>June</w:t>
            </w:r>
          </w:p>
        </w:tc>
        <w:tc>
          <w:tcPr>
            <w:tcW w:w="861" w:type="dxa"/>
            <w:shd w:val="clear" w:color="auto" w:fill="auto"/>
            <w:noWrap/>
            <w:vAlign w:val="bottom"/>
            <w:hideMark/>
          </w:tcPr>
          <w:p w14:paraId="34AB872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596400</w:t>
            </w:r>
          </w:p>
        </w:tc>
        <w:tc>
          <w:tcPr>
            <w:tcW w:w="994" w:type="dxa"/>
            <w:shd w:val="clear" w:color="auto" w:fill="auto"/>
            <w:noWrap/>
            <w:vAlign w:val="bottom"/>
            <w:hideMark/>
          </w:tcPr>
          <w:p w14:paraId="336D07B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316500</w:t>
            </w:r>
          </w:p>
        </w:tc>
        <w:tc>
          <w:tcPr>
            <w:tcW w:w="927" w:type="dxa"/>
            <w:shd w:val="clear" w:color="auto" w:fill="auto"/>
            <w:noWrap/>
            <w:vAlign w:val="bottom"/>
            <w:hideMark/>
          </w:tcPr>
          <w:p w14:paraId="78CDA67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60.54</w:t>
            </w:r>
          </w:p>
        </w:tc>
        <w:tc>
          <w:tcPr>
            <w:tcW w:w="851" w:type="dxa"/>
            <w:shd w:val="clear" w:color="auto" w:fill="auto"/>
            <w:noWrap/>
            <w:vAlign w:val="bottom"/>
            <w:hideMark/>
          </w:tcPr>
          <w:p w14:paraId="0477D27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7.32</w:t>
            </w:r>
          </w:p>
        </w:tc>
        <w:tc>
          <w:tcPr>
            <w:tcW w:w="850" w:type="dxa"/>
            <w:shd w:val="clear" w:color="auto" w:fill="auto"/>
            <w:noWrap/>
            <w:vAlign w:val="bottom"/>
            <w:hideMark/>
          </w:tcPr>
          <w:p w14:paraId="03D0D6F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11.41</w:t>
            </w:r>
          </w:p>
        </w:tc>
        <w:tc>
          <w:tcPr>
            <w:tcW w:w="851" w:type="dxa"/>
            <w:shd w:val="clear" w:color="auto" w:fill="auto"/>
            <w:noWrap/>
            <w:vAlign w:val="bottom"/>
            <w:hideMark/>
          </w:tcPr>
          <w:p w14:paraId="7DD2EDF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FFFCD5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0.60</w:t>
            </w:r>
          </w:p>
        </w:tc>
        <w:tc>
          <w:tcPr>
            <w:tcW w:w="851" w:type="dxa"/>
            <w:shd w:val="clear" w:color="auto" w:fill="auto"/>
            <w:noWrap/>
            <w:vAlign w:val="bottom"/>
            <w:hideMark/>
          </w:tcPr>
          <w:p w14:paraId="337617E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4804F8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0.60</w:t>
            </w:r>
          </w:p>
        </w:tc>
      </w:tr>
      <w:tr w:rsidR="00AB13DC" w:rsidRPr="008A38A6" w14:paraId="1A92F361" w14:textId="77777777" w:rsidTr="00AB13DC">
        <w:trPr>
          <w:trHeight w:val="300"/>
        </w:trPr>
        <w:tc>
          <w:tcPr>
            <w:tcW w:w="960" w:type="dxa"/>
            <w:shd w:val="clear" w:color="auto" w:fill="auto"/>
            <w:noWrap/>
            <w:vAlign w:val="bottom"/>
            <w:hideMark/>
          </w:tcPr>
          <w:p w14:paraId="4D7EF526"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vAlign w:val="bottom"/>
            <w:hideMark/>
          </w:tcPr>
          <w:p w14:paraId="1A8F8AFF" w14:textId="77777777" w:rsidR="00AB13DC" w:rsidRPr="008A38A6" w:rsidRDefault="00AB13DC" w:rsidP="00AB13DC">
            <w:pPr>
              <w:rPr>
                <w:rFonts w:ascii="Calibri" w:eastAsia="Times New Roman" w:hAnsi="Calibri"/>
                <w:lang w:val="en-GB" w:eastAsia="en-GB"/>
              </w:rPr>
            </w:pPr>
            <w:r w:rsidRPr="00AB13DC">
              <w:rPr>
                <w:rFonts w:ascii="Calibri" w:eastAsia="Times New Roman" w:hAnsi="Calibri"/>
                <w:lang w:val="en-GB" w:eastAsia="en-GB"/>
              </w:rPr>
              <w:t>July</w:t>
            </w:r>
          </w:p>
        </w:tc>
        <w:tc>
          <w:tcPr>
            <w:tcW w:w="861" w:type="dxa"/>
            <w:shd w:val="clear" w:color="auto" w:fill="auto"/>
            <w:noWrap/>
            <w:vAlign w:val="bottom"/>
            <w:hideMark/>
          </w:tcPr>
          <w:p w14:paraId="0FD42A76"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527000</w:t>
            </w:r>
          </w:p>
        </w:tc>
        <w:tc>
          <w:tcPr>
            <w:tcW w:w="994" w:type="dxa"/>
            <w:shd w:val="clear" w:color="auto" w:fill="auto"/>
            <w:noWrap/>
            <w:vAlign w:val="bottom"/>
            <w:hideMark/>
          </w:tcPr>
          <w:p w14:paraId="596DB1D4"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217100</w:t>
            </w:r>
          </w:p>
        </w:tc>
        <w:tc>
          <w:tcPr>
            <w:tcW w:w="927" w:type="dxa"/>
            <w:shd w:val="clear" w:color="auto" w:fill="auto"/>
            <w:noWrap/>
            <w:vAlign w:val="bottom"/>
            <w:hideMark/>
          </w:tcPr>
          <w:p w14:paraId="604BFE5C"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61.66</w:t>
            </w:r>
          </w:p>
        </w:tc>
        <w:tc>
          <w:tcPr>
            <w:tcW w:w="851" w:type="dxa"/>
            <w:shd w:val="clear" w:color="auto" w:fill="auto"/>
            <w:noWrap/>
            <w:vAlign w:val="bottom"/>
            <w:hideMark/>
          </w:tcPr>
          <w:p w14:paraId="5E6A0249"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1.41</w:t>
            </w:r>
          </w:p>
        </w:tc>
        <w:tc>
          <w:tcPr>
            <w:tcW w:w="850" w:type="dxa"/>
            <w:shd w:val="clear" w:color="auto" w:fill="auto"/>
            <w:noWrap/>
            <w:vAlign w:val="bottom"/>
            <w:hideMark/>
          </w:tcPr>
          <w:p w14:paraId="23E695D2"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22.47</w:t>
            </w:r>
          </w:p>
        </w:tc>
        <w:tc>
          <w:tcPr>
            <w:tcW w:w="851" w:type="dxa"/>
            <w:shd w:val="clear" w:color="auto" w:fill="auto"/>
            <w:noWrap/>
            <w:vAlign w:val="bottom"/>
            <w:hideMark/>
          </w:tcPr>
          <w:p w14:paraId="600E50F6"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0.38</w:t>
            </w:r>
          </w:p>
        </w:tc>
        <w:tc>
          <w:tcPr>
            <w:tcW w:w="850" w:type="dxa"/>
            <w:shd w:val="clear" w:color="auto" w:fill="auto"/>
            <w:noWrap/>
            <w:vAlign w:val="bottom"/>
            <w:hideMark/>
          </w:tcPr>
          <w:p w14:paraId="2044C5A3"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095EB0A5"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0AB66C9"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0.38</w:t>
            </w:r>
          </w:p>
        </w:tc>
      </w:tr>
      <w:tr w:rsidR="00AB13DC" w:rsidRPr="008A38A6" w14:paraId="2F1498A8" w14:textId="77777777" w:rsidTr="00F560C9">
        <w:trPr>
          <w:trHeight w:val="300"/>
        </w:trPr>
        <w:tc>
          <w:tcPr>
            <w:tcW w:w="960" w:type="dxa"/>
            <w:shd w:val="clear" w:color="auto" w:fill="auto"/>
            <w:noWrap/>
            <w:vAlign w:val="bottom"/>
            <w:hideMark/>
          </w:tcPr>
          <w:p w14:paraId="128F993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9F5D00A"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563AC92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509000</w:t>
            </w:r>
          </w:p>
        </w:tc>
        <w:tc>
          <w:tcPr>
            <w:tcW w:w="994" w:type="dxa"/>
            <w:shd w:val="clear" w:color="auto" w:fill="auto"/>
            <w:noWrap/>
            <w:vAlign w:val="bottom"/>
            <w:hideMark/>
          </w:tcPr>
          <w:p w14:paraId="2844B05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268900</w:t>
            </w:r>
          </w:p>
        </w:tc>
        <w:tc>
          <w:tcPr>
            <w:tcW w:w="927" w:type="dxa"/>
            <w:shd w:val="clear" w:color="auto" w:fill="auto"/>
            <w:noWrap/>
            <w:vAlign w:val="bottom"/>
            <w:hideMark/>
          </w:tcPr>
          <w:p w14:paraId="6E2EEB0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80.44</w:t>
            </w:r>
          </w:p>
        </w:tc>
        <w:tc>
          <w:tcPr>
            <w:tcW w:w="851" w:type="dxa"/>
            <w:shd w:val="clear" w:color="auto" w:fill="auto"/>
            <w:noWrap/>
            <w:vAlign w:val="bottom"/>
            <w:hideMark/>
          </w:tcPr>
          <w:p w14:paraId="18FA4B9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7.20</w:t>
            </w:r>
          </w:p>
        </w:tc>
        <w:tc>
          <w:tcPr>
            <w:tcW w:w="850" w:type="dxa"/>
            <w:shd w:val="clear" w:color="auto" w:fill="auto"/>
            <w:noWrap/>
            <w:vAlign w:val="bottom"/>
            <w:hideMark/>
          </w:tcPr>
          <w:p w14:paraId="5532018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29.59</w:t>
            </w:r>
          </w:p>
        </w:tc>
        <w:tc>
          <w:tcPr>
            <w:tcW w:w="851" w:type="dxa"/>
            <w:shd w:val="clear" w:color="auto" w:fill="auto"/>
            <w:noWrap/>
            <w:vAlign w:val="bottom"/>
            <w:hideMark/>
          </w:tcPr>
          <w:p w14:paraId="7A71313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37A0C6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C39D9C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26385E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0D4B4953" w14:textId="77777777" w:rsidTr="00F560C9">
        <w:trPr>
          <w:trHeight w:val="300"/>
        </w:trPr>
        <w:tc>
          <w:tcPr>
            <w:tcW w:w="960" w:type="dxa"/>
            <w:shd w:val="clear" w:color="auto" w:fill="auto"/>
            <w:noWrap/>
            <w:vAlign w:val="bottom"/>
            <w:hideMark/>
          </w:tcPr>
          <w:p w14:paraId="44311F2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B85D964"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48F1953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622100</w:t>
            </w:r>
          </w:p>
        </w:tc>
        <w:tc>
          <w:tcPr>
            <w:tcW w:w="994" w:type="dxa"/>
            <w:shd w:val="clear" w:color="auto" w:fill="auto"/>
            <w:noWrap/>
            <w:vAlign w:val="bottom"/>
            <w:hideMark/>
          </w:tcPr>
          <w:p w14:paraId="76F6282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234600</w:t>
            </w:r>
          </w:p>
        </w:tc>
        <w:tc>
          <w:tcPr>
            <w:tcW w:w="927" w:type="dxa"/>
            <w:shd w:val="clear" w:color="auto" w:fill="auto"/>
            <w:noWrap/>
            <w:vAlign w:val="bottom"/>
            <w:hideMark/>
          </w:tcPr>
          <w:p w14:paraId="5C707EA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63.77</w:t>
            </w:r>
          </w:p>
        </w:tc>
        <w:tc>
          <w:tcPr>
            <w:tcW w:w="851" w:type="dxa"/>
            <w:shd w:val="clear" w:color="auto" w:fill="auto"/>
            <w:noWrap/>
            <w:vAlign w:val="bottom"/>
            <w:hideMark/>
          </w:tcPr>
          <w:p w14:paraId="62B8600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2.58</w:t>
            </w:r>
          </w:p>
        </w:tc>
        <w:tc>
          <w:tcPr>
            <w:tcW w:w="850" w:type="dxa"/>
            <w:shd w:val="clear" w:color="auto" w:fill="auto"/>
            <w:noWrap/>
            <w:vAlign w:val="bottom"/>
            <w:hideMark/>
          </w:tcPr>
          <w:p w14:paraId="5648DAB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14.71</w:t>
            </w:r>
          </w:p>
        </w:tc>
        <w:tc>
          <w:tcPr>
            <w:tcW w:w="851" w:type="dxa"/>
            <w:shd w:val="clear" w:color="auto" w:fill="auto"/>
            <w:noWrap/>
            <w:vAlign w:val="bottom"/>
            <w:hideMark/>
          </w:tcPr>
          <w:p w14:paraId="43FA6C3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916C23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7924927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B13AFC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21B4538C" w14:textId="77777777" w:rsidTr="00F560C9">
        <w:trPr>
          <w:trHeight w:val="300"/>
        </w:trPr>
        <w:tc>
          <w:tcPr>
            <w:tcW w:w="960" w:type="dxa"/>
            <w:shd w:val="clear" w:color="auto" w:fill="auto"/>
            <w:noWrap/>
            <w:vAlign w:val="bottom"/>
            <w:hideMark/>
          </w:tcPr>
          <w:p w14:paraId="1C48BB7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D4B79B3"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4388A2D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349000</w:t>
            </w:r>
          </w:p>
        </w:tc>
        <w:tc>
          <w:tcPr>
            <w:tcW w:w="994" w:type="dxa"/>
            <w:shd w:val="clear" w:color="auto" w:fill="auto"/>
            <w:noWrap/>
            <w:vAlign w:val="bottom"/>
            <w:hideMark/>
          </w:tcPr>
          <w:p w14:paraId="6BDBF1A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105600</w:t>
            </w:r>
          </w:p>
        </w:tc>
        <w:tc>
          <w:tcPr>
            <w:tcW w:w="927" w:type="dxa"/>
            <w:shd w:val="clear" w:color="auto" w:fill="auto"/>
            <w:noWrap/>
            <w:vAlign w:val="bottom"/>
            <w:hideMark/>
          </w:tcPr>
          <w:p w14:paraId="6FD1EAC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53.56</w:t>
            </w:r>
          </w:p>
        </w:tc>
        <w:tc>
          <w:tcPr>
            <w:tcW w:w="851" w:type="dxa"/>
            <w:shd w:val="clear" w:color="auto" w:fill="auto"/>
            <w:noWrap/>
            <w:vAlign w:val="bottom"/>
            <w:hideMark/>
          </w:tcPr>
          <w:p w14:paraId="6327E7B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CF1768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0.95</w:t>
            </w:r>
          </w:p>
        </w:tc>
        <w:tc>
          <w:tcPr>
            <w:tcW w:w="851" w:type="dxa"/>
            <w:shd w:val="clear" w:color="auto" w:fill="auto"/>
            <w:noWrap/>
            <w:vAlign w:val="bottom"/>
            <w:hideMark/>
          </w:tcPr>
          <w:p w14:paraId="265DF0F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CF2033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6B72BD8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BDEE99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6C623059" w14:textId="77777777" w:rsidTr="00F560C9">
        <w:trPr>
          <w:trHeight w:val="300"/>
        </w:trPr>
        <w:tc>
          <w:tcPr>
            <w:tcW w:w="960" w:type="dxa"/>
            <w:shd w:val="clear" w:color="auto" w:fill="auto"/>
            <w:noWrap/>
            <w:vAlign w:val="bottom"/>
            <w:hideMark/>
          </w:tcPr>
          <w:p w14:paraId="1DF5E7D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7DCC15F8"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1973B66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447700</w:t>
            </w:r>
          </w:p>
        </w:tc>
        <w:tc>
          <w:tcPr>
            <w:tcW w:w="994" w:type="dxa"/>
            <w:shd w:val="clear" w:color="auto" w:fill="auto"/>
            <w:noWrap/>
            <w:vAlign w:val="bottom"/>
            <w:hideMark/>
          </w:tcPr>
          <w:p w14:paraId="0728F85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158300</w:t>
            </w:r>
          </w:p>
        </w:tc>
        <w:tc>
          <w:tcPr>
            <w:tcW w:w="927" w:type="dxa"/>
            <w:shd w:val="clear" w:color="auto" w:fill="auto"/>
            <w:noWrap/>
            <w:vAlign w:val="bottom"/>
            <w:hideMark/>
          </w:tcPr>
          <w:p w14:paraId="49CCE00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76.58</w:t>
            </w:r>
          </w:p>
        </w:tc>
        <w:tc>
          <w:tcPr>
            <w:tcW w:w="851" w:type="dxa"/>
            <w:shd w:val="clear" w:color="auto" w:fill="auto"/>
            <w:noWrap/>
            <w:vAlign w:val="bottom"/>
            <w:hideMark/>
          </w:tcPr>
          <w:p w14:paraId="53BC2B8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10.93</w:t>
            </w:r>
          </w:p>
        </w:tc>
        <w:tc>
          <w:tcPr>
            <w:tcW w:w="850" w:type="dxa"/>
            <w:shd w:val="clear" w:color="auto" w:fill="auto"/>
            <w:noWrap/>
            <w:vAlign w:val="bottom"/>
            <w:hideMark/>
          </w:tcPr>
          <w:p w14:paraId="74DE23C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27.44</w:t>
            </w:r>
          </w:p>
        </w:tc>
        <w:tc>
          <w:tcPr>
            <w:tcW w:w="851" w:type="dxa"/>
            <w:shd w:val="clear" w:color="auto" w:fill="auto"/>
            <w:noWrap/>
            <w:vAlign w:val="bottom"/>
            <w:hideMark/>
          </w:tcPr>
          <w:p w14:paraId="09100F7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82E37A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0.56</w:t>
            </w:r>
          </w:p>
        </w:tc>
        <w:tc>
          <w:tcPr>
            <w:tcW w:w="851" w:type="dxa"/>
            <w:shd w:val="clear" w:color="auto" w:fill="auto"/>
            <w:noWrap/>
            <w:vAlign w:val="bottom"/>
            <w:hideMark/>
          </w:tcPr>
          <w:p w14:paraId="3019B8F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0.53</w:t>
            </w:r>
          </w:p>
        </w:tc>
        <w:tc>
          <w:tcPr>
            <w:tcW w:w="850" w:type="dxa"/>
            <w:shd w:val="clear" w:color="auto" w:fill="auto"/>
            <w:noWrap/>
            <w:vAlign w:val="bottom"/>
            <w:hideMark/>
          </w:tcPr>
          <w:p w14:paraId="65D9B78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1.09</w:t>
            </w:r>
          </w:p>
        </w:tc>
      </w:tr>
      <w:tr w:rsidR="00AB13DC" w:rsidRPr="008A38A6" w14:paraId="06E39A72" w14:textId="77777777" w:rsidTr="00F560C9">
        <w:trPr>
          <w:trHeight w:val="300"/>
        </w:trPr>
        <w:tc>
          <w:tcPr>
            <w:tcW w:w="960" w:type="dxa"/>
            <w:shd w:val="clear" w:color="auto" w:fill="auto"/>
            <w:noWrap/>
            <w:vAlign w:val="bottom"/>
            <w:hideMark/>
          </w:tcPr>
          <w:p w14:paraId="0DE5A7A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3E5DFCCD"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36B8085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347800</w:t>
            </w:r>
          </w:p>
        </w:tc>
        <w:tc>
          <w:tcPr>
            <w:tcW w:w="994" w:type="dxa"/>
            <w:shd w:val="clear" w:color="auto" w:fill="auto"/>
            <w:noWrap/>
            <w:vAlign w:val="bottom"/>
            <w:hideMark/>
          </w:tcPr>
          <w:p w14:paraId="4D257AA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368900</w:t>
            </w:r>
          </w:p>
        </w:tc>
        <w:tc>
          <w:tcPr>
            <w:tcW w:w="927" w:type="dxa"/>
            <w:shd w:val="clear" w:color="auto" w:fill="auto"/>
            <w:noWrap/>
            <w:vAlign w:val="bottom"/>
            <w:hideMark/>
          </w:tcPr>
          <w:p w14:paraId="31DE37B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71.52</w:t>
            </w:r>
          </w:p>
        </w:tc>
        <w:tc>
          <w:tcPr>
            <w:tcW w:w="851" w:type="dxa"/>
            <w:shd w:val="clear" w:color="auto" w:fill="auto"/>
            <w:noWrap/>
            <w:vAlign w:val="bottom"/>
            <w:hideMark/>
          </w:tcPr>
          <w:p w14:paraId="350C87C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1.42</w:t>
            </w:r>
          </w:p>
        </w:tc>
        <w:tc>
          <w:tcPr>
            <w:tcW w:w="850" w:type="dxa"/>
            <w:shd w:val="clear" w:color="auto" w:fill="auto"/>
            <w:noWrap/>
            <w:vAlign w:val="bottom"/>
            <w:hideMark/>
          </w:tcPr>
          <w:p w14:paraId="3CC0BEE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8.32</w:t>
            </w:r>
          </w:p>
        </w:tc>
        <w:tc>
          <w:tcPr>
            <w:tcW w:w="851" w:type="dxa"/>
            <w:shd w:val="clear" w:color="auto" w:fill="auto"/>
            <w:noWrap/>
            <w:vAlign w:val="bottom"/>
            <w:hideMark/>
          </w:tcPr>
          <w:p w14:paraId="4968317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D3F10C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0.59</w:t>
            </w:r>
          </w:p>
        </w:tc>
        <w:tc>
          <w:tcPr>
            <w:tcW w:w="851" w:type="dxa"/>
            <w:shd w:val="clear" w:color="auto" w:fill="auto"/>
            <w:noWrap/>
            <w:vAlign w:val="bottom"/>
            <w:hideMark/>
          </w:tcPr>
          <w:p w14:paraId="37746F8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8E651F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0.59</w:t>
            </w:r>
          </w:p>
        </w:tc>
      </w:tr>
      <w:tr w:rsidR="00AB13DC" w:rsidRPr="008A38A6" w14:paraId="14F34AC1" w14:textId="77777777" w:rsidTr="00F560C9">
        <w:trPr>
          <w:trHeight w:val="300"/>
        </w:trPr>
        <w:tc>
          <w:tcPr>
            <w:tcW w:w="960" w:type="dxa"/>
            <w:shd w:val="clear" w:color="auto" w:fill="auto"/>
            <w:noWrap/>
            <w:vAlign w:val="bottom"/>
            <w:hideMark/>
          </w:tcPr>
          <w:p w14:paraId="64A8CAD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3A7AD2F4"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14FBB89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589100</w:t>
            </w:r>
          </w:p>
        </w:tc>
        <w:tc>
          <w:tcPr>
            <w:tcW w:w="994" w:type="dxa"/>
            <w:shd w:val="clear" w:color="auto" w:fill="auto"/>
            <w:noWrap/>
            <w:vAlign w:val="bottom"/>
            <w:hideMark/>
          </w:tcPr>
          <w:p w14:paraId="17E5BD3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215300</w:t>
            </w:r>
          </w:p>
        </w:tc>
        <w:tc>
          <w:tcPr>
            <w:tcW w:w="927" w:type="dxa"/>
            <w:shd w:val="clear" w:color="auto" w:fill="auto"/>
            <w:noWrap/>
            <w:vAlign w:val="bottom"/>
            <w:hideMark/>
          </w:tcPr>
          <w:p w14:paraId="6399D06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55.54</w:t>
            </w:r>
          </w:p>
        </w:tc>
        <w:tc>
          <w:tcPr>
            <w:tcW w:w="851" w:type="dxa"/>
            <w:shd w:val="clear" w:color="auto" w:fill="auto"/>
            <w:noWrap/>
            <w:vAlign w:val="bottom"/>
            <w:hideMark/>
          </w:tcPr>
          <w:p w14:paraId="1EDE152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4.41</w:t>
            </w:r>
          </w:p>
        </w:tc>
        <w:tc>
          <w:tcPr>
            <w:tcW w:w="850" w:type="dxa"/>
            <w:shd w:val="clear" w:color="auto" w:fill="auto"/>
            <w:noWrap/>
            <w:vAlign w:val="bottom"/>
            <w:hideMark/>
          </w:tcPr>
          <w:p w14:paraId="48DE696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7.67</w:t>
            </w:r>
          </w:p>
        </w:tc>
        <w:tc>
          <w:tcPr>
            <w:tcW w:w="851" w:type="dxa"/>
            <w:shd w:val="clear" w:color="auto" w:fill="auto"/>
            <w:noWrap/>
            <w:vAlign w:val="bottom"/>
            <w:hideMark/>
          </w:tcPr>
          <w:p w14:paraId="177EBEB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467E0C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026174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0576CB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97C0D69" w14:textId="77777777" w:rsidTr="00F560C9">
        <w:trPr>
          <w:trHeight w:val="300"/>
        </w:trPr>
        <w:tc>
          <w:tcPr>
            <w:tcW w:w="960" w:type="dxa"/>
            <w:shd w:val="clear" w:color="auto" w:fill="auto"/>
            <w:noWrap/>
            <w:vAlign w:val="bottom"/>
            <w:hideMark/>
          </w:tcPr>
          <w:p w14:paraId="54879B8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7165E2C7"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6CB9E59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441700</w:t>
            </w:r>
          </w:p>
        </w:tc>
        <w:tc>
          <w:tcPr>
            <w:tcW w:w="994" w:type="dxa"/>
            <w:shd w:val="clear" w:color="auto" w:fill="auto"/>
            <w:noWrap/>
            <w:vAlign w:val="bottom"/>
            <w:hideMark/>
          </w:tcPr>
          <w:p w14:paraId="32AA21C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157700</w:t>
            </w:r>
          </w:p>
        </w:tc>
        <w:tc>
          <w:tcPr>
            <w:tcW w:w="927" w:type="dxa"/>
            <w:shd w:val="clear" w:color="auto" w:fill="auto"/>
            <w:noWrap/>
            <w:vAlign w:val="bottom"/>
            <w:hideMark/>
          </w:tcPr>
          <w:p w14:paraId="43DED19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74.23</w:t>
            </w:r>
          </w:p>
        </w:tc>
        <w:tc>
          <w:tcPr>
            <w:tcW w:w="851" w:type="dxa"/>
            <w:shd w:val="clear" w:color="auto" w:fill="auto"/>
            <w:noWrap/>
            <w:vAlign w:val="bottom"/>
            <w:hideMark/>
          </w:tcPr>
          <w:p w14:paraId="561B893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9.31</w:t>
            </w:r>
          </w:p>
        </w:tc>
        <w:tc>
          <w:tcPr>
            <w:tcW w:w="850" w:type="dxa"/>
            <w:shd w:val="clear" w:color="auto" w:fill="auto"/>
            <w:noWrap/>
            <w:vAlign w:val="bottom"/>
            <w:hideMark/>
          </w:tcPr>
          <w:p w14:paraId="796ACF8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15.64</w:t>
            </w:r>
          </w:p>
        </w:tc>
        <w:tc>
          <w:tcPr>
            <w:tcW w:w="851" w:type="dxa"/>
            <w:shd w:val="clear" w:color="auto" w:fill="auto"/>
            <w:noWrap/>
            <w:vAlign w:val="bottom"/>
            <w:hideMark/>
          </w:tcPr>
          <w:p w14:paraId="11A846C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c>
          <w:tcPr>
            <w:tcW w:w="850" w:type="dxa"/>
            <w:shd w:val="clear" w:color="auto" w:fill="auto"/>
            <w:noWrap/>
            <w:vAlign w:val="bottom"/>
            <w:hideMark/>
          </w:tcPr>
          <w:p w14:paraId="7FAF5CB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0.72</w:t>
            </w:r>
          </w:p>
        </w:tc>
        <w:tc>
          <w:tcPr>
            <w:tcW w:w="851" w:type="dxa"/>
            <w:shd w:val="clear" w:color="auto" w:fill="auto"/>
            <w:noWrap/>
            <w:vAlign w:val="bottom"/>
            <w:hideMark/>
          </w:tcPr>
          <w:p w14:paraId="0584A2F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C6C801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1.10</w:t>
            </w:r>
          </w:p>
        </w:tc>
      </w:tr>
      <w:tr w:rsidR="00AB13DC" w:rsidRPr="008A38A6" w14:paraId="25D8AF23" w14:textId="77777777" w:rsidTr="00F560C9">
        <w:trPr>
          <w:trHeight w:val="300"/>
        </w:trPr>
        <w:tc>
          <w:tcPr>
            <w:tcW w:w="960" w:type="dxa"/>
            <w:shd w:val="clear" w:color="auto" w:fill="auto"/>
            <w:noWrap/>
            <w:vAlign w:val="bottom"/>
            <w:hideMark/>
          </w:tcPr>
          <w:p w14:paraId="271B616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60750B7A"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05463DB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454500</w:t>
            </w:r>
          </w:p>
        </w:tc>
        <w:tc>
          <w:tcPr>
            <w:tcW w:w="994" w:type="dxa"/>
            <w:shd w:val="clear" w:color="auto" w:fill="auto"/>
            <w:noWrap/>
            <w:vAlign w:val="bottom"/>
            <w:hideMark/>
          </w:tcPr>
          <w:p w14:paraId="72BA224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104600</w:t>
            </w:r>
          </w:p>
        </w:tc>
        <w:tc>
          <w:tcPr>
            <w:tcW w:w="927" w:type="dxa"/>
            <w:shd w:val="clear" w:color="auto" w:fill="auto"/>
            <w:noWrap/>
            <w:vAlign w:val="bottom"/>
            <w:hideMark/>
          </w:tcPr>
          <w:p w14:paraId="69C2736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46.41</w:t>
            </w:r>
          </w:p>
        </w:tc>
        <w:tc>
          <w:tcPr>
            <w:tcW w:w="851" w:type="dxa"/>
            <w:shd w:val="clear" w:color="auto" w:fill="auto"/>
            <w:noWrap/>
            <w:vAlign w:val="bottom"/>
            <w:hideMark/>
          </w:tcPr>
          <w:p w14:paraId="63D246C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3.66</w:t>
            </w:r>
          </w:p>
        </w:tc>
        <w:tc>
          <w:tcPr>
            <w:tcW w:w="850" w:type="dxa"/>
            <w:shd w:val="clear" w:color="auto" w:fill="auto"/>
            <w:noWrap/>
            <w:vAlign w:val="bottom"/>
            <w:hideMark/>
          </w:tcPr>
          <w:p w14:paraId="14F3278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10.59</w:t>
            </w:r>
          </w:p>
        </w:tc>
        <w:tc>
          <w:tcPr>
            <w:tcW w:w="851" w:type="dxa"/>
            <w:shd w:val="clear" w:color="auto" w:fill="auto"/>
            <w:noWrap/>
            <w:vAlign w:val="bottom"/>
            <w:hideMark/>
          </w:tcPr>
          <w:p w14:paraId="4F3F2B1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565308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602973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c>
          <w:tcPr>
            <w:tcW w:w="850" w:type="dxa"/>
            <w:shd w:val="clear" w:color="auto" w:fill="auto"/>
            <w:noWrap/>
            <w:vAlign w:val="bottom"/>
            <w:hideMark/>
          </w:tcPr>
          <w:p w14:paraId="3C6FBDF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r>
      <w:tr w:rsidR="00AB13DC" w:rsidRPr="008A38A6" w14:paraId="4A651886" w14:textId="77777777" w:rsidTr="00F560C9">
        <w:trPr>
          <w:trHeight w:val="300"/>
        </w:trPr>
        <w:tc>
          <w:tcPr>
            <w:tcW w:w="960" w:type="dxa"/>
            <w:shd w:val="clear" w:color="auto" w:fill="auto"/>
            <w:noWrap/>
            <w:vAlign w:val="bottom"/>
            <w:hideMark/>
          </w:tcPr>
          <w:p w14:paraId="04C3A0D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5FFE2AC0"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34BAEF0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464600</w:t>
            </w:r>
          </w:p>
        </w:tc>
        <w:tc>
          <w:tcPr>
            <w:tcW w:w="994" w:type="dxa"/>
            <w:shd w:val="clear" w:color="auto" w:fill="auto"/>
            <w:noWrap/>
            <w:vAlign w:val="bottom"/>
            <w:hideMark/>
          </w:tcPr>
          <w:p w14:paraId="026FB86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107100</w:t>
            </w:r>
          </w:p>
        </w:tc>
        <w:tc>
          <w:tcPr>
            <w:tcW w:w="927" w:type="dxa"/>
            <w:shd w:val="clear" w:color="auto" w:fill="auto"/>
            <w:noWrap/>
            <w:vAlign w:val="bottom"/>
            <w:hideMark/>
          </w:tcPr>
          <w:p w14:paraId="130131D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46.15</w:t>
            </w:r>
          </w:p>
        </w:tc>
        <w:tc>
          <w:tcPr>
            <w:tcW w:w="851" w:type="dxa"/>
            <w:shd w:val="clear" w:color="auto" w:fill="auto"/>
            <w:noWrap/>
            <w:vAlign w:val="bottom"/>
            <w:hideMark/>
          </w:tcPr>
          <w:p w14:paraId="2FE2AFD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0.46</w:t>
            </w:r>
          </w:p>
        </w:tc>
        <w:tc>
          <w:tcPr>
            <w:tcW w:w="850" w:type="dxa"/>
            <w:shd w:val="clear" w:color="auto" w:fill="auto"/>
            <w:noWrap/>
            <w:vAlign w:val="bottom"/>
            <w:hideMark/>
          </w:tcPr>
          <w:p w14:paraId="2680EA0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10.53</w:t>
            </w:r>
          </w:p>
        </w:tc>
        <w:tc>
          <w:tcPr>
            <w:tcW w:w="851" w:type="dxa"/>
            <w:shd w:val="clear" w:color="auto" w:fill="auto"/>
            <w:noWrap/>
            <w:vAlign w:val="bottom"/>
            <w:hideMark/>
          </w:tcPr>
          <w:p w14:paraId="3A9EF25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EC4181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43DC5F4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84000A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30DC2E4E" w14:textId="77777777" w:rsidTr="00F560C9">
        <w:trPr>
          <w:trHeight w:val="300"/>
        </w:trPr>
        <w:tc>
          <w:tcPr>
            <w:tcW w:w="960" w:type="dxa"/>
            <w:shd w:val="clear" w:color="auto" w:fill="auto"/>
            <w:noWrap/>
            <w:vAlign w:val="bottom"/>
            <w:hideMark/>
          </w:tcPr>
          <w:p w14:paraId="236AA63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4D778E81"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7EA2D4B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606000</w:t>
            </w:r>
          </w:p>
        </w:tc>
        <w:tc>
          <w:tcPr>
            <w:tcW w:w="994" w:type="dxa"/>
            <w:shd w:val="clear" w:color="auto" w:fill="auto"/>
            <w:noWrap/>
            <w:vAlign w:val="bottom"/>
            <w:hideMark/>
          </w:tcPr>
          <w:p w14:paraId="47C8236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155000</w:t>
            </w:r>
          </w:p>
        </w:tc>
        <w:tc>
          <w:tcPr>
            <w:tcW w:w="927" w:type="dxa"/>
            <w:shd w:val="clear" w:color="auto" w:fill="auto"/>
            <w:noWrap/>
            <w:vAlign w:val="bottom"/>
            <w:hideMark/>
          </w:tcPr>
          <w:p w14:paraId="640266C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51.36</w:t>
            </w:r>
          </w:p>
        </w:tc>
        <w:tc>
          <w:tcPr>
            <w:tcW w:w="851" w:type="dxa"/>
            <w:shd w:val="clear" w:color="auto" w:fill="auto"/>
            <w:noWrap/>
            <w:vAlign w:val="bottom"/>
            <w:hideMark/>
          </w:tcPr>
          <w:p w14:paraId="4B2EBE8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0.53</w:t>
            </w:r>
          </w:p>
        </w:tc>
        <w:tc>
          <w:tcPr>
            <w:tcW w:w="850" w:type="dxa"/>
            <w:shd w:val="clear" w:color="auto" w:fill="auto"/>
            <w:noWrap/>
            <w:vAlign w:val="bottom"/>
            <w:hideMark/>
          </w:tcPr>
          <w:p w14:paraId="5B4F5A9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11.97</w:t>
            </w:r>
          </w:p>
        </w:tc>
        <w:tc>
          <w:tcPr>
            <w:tcW w:w="851" w:type="dxa"/>
            <w:shd w:val="clear" w:color="auto" w:fill="auto"/>
            <w:noWrap/>
            <w:vAlign w:val="bottom"/>
            <w:hideMark/>
          </w:tcPr>
          <w:p w14:paraId="0E542DA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E671EE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0.65</w:t>
            </w:r>
          </w:p>
        </w:tc>
        <w:tc>
          <w:tcPr>
            <w:tcW w:w="851" w:type="dxa"/>
            <w:shd w:val="clear" w:color="auto" w:fill="auto"/>
            <w:noWrap/>
            <w:vAlign w:val="bottom"/>
            <w:hideMark/>
          </w:tcPr>
          <w:p w14:paraId="651869B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49C725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0.65</w:t>
            </w:r>
          </w:p>
        </w:tc>
      </w:tr>
      <w:tr w:rsidR="00AB13DC" w:rsidRPr="008A38A6" w14:paraId="7E28FD4D" w14:textId="77777777" w:rsidTr="00F560C9">
        <w:trPr>
          <w:trHeight w:val="300"/>
        </w:trPr>
        <w:tc>
          <w:tcPr>
            <w:tcW w:w="960" w:type="dxa"/>
            <w:shd w:val="clear" w:color="auto" w:fill="auto"/>
            <w:noWrap/>
            <w:vAlign w:val="bottom"/>
            <w:hideMark/>
          </w:tcPr>
          <w:p w14:paraId="09E93BF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53AED743"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7584FF5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461600</w:t>
            </w:r>
          </w:p>
        </w:tc>
        <w:tc>
          <w:tcPr>
            <w:tcW w:w="994" w:type="dxa"/>
            <w:shd w:val="clear" w:color="auto" w:fill="auto"/>
            <w:noWrap/>
            <w:vAlign w:val="bottom"/>
            <w:hideMark/>
          </w:tcPr>
          <w:p w14:paraId="0A44192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191100</w:t>
            </w:r>
          </w:p>
        </w:tc>
        <w:tc>
          <w:tcPr>
            <w:tcW w:w="927" w:type="dxa"/>
            <w:shd w:val="clear" w:color="auto" w:fill="auto"/>
            <w:noWrap/>
            <w:vAlign w:val="bottom"/>
            <w:hideMark/>
          </w:tcPr>
          <w:p w14:paraId="7184B1C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65.86</w:t>
            </w:r>
          </w:p>
        </w:tc>
        <w:tc>
          <w:tcPr>
            <w:tcW w:w="851" w:type="dxa"/>
            <w:shd w:val="clear" w:color="auto" w:fill="auto"/>
            <w:noWrap/>
            <w:vAlign w:val="bottom"/>
            <w:hideMark/>
          </w:tcPr>
          <w:p w14:paraId="0AA4C7E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4.76</w:t>
            </w:r>
          </w:p>
        </w:tc>
        <w:tc>
          <w:tcPr>
            <w:tcW w:w="850" w:type="dxa"/>
            <w:shd w:val="clear" w:color="auto" w:fill="auto"/>
            <w:noWrap/>
            <w:vAlign w:val="bottom"/>
            <w:hideMark/>
          </w:tcPr>
          <w:p w14:paraId="6E95D42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23.91</w:t>
            </w:r>
          </w:p>
        </w:tc>
        <w:tc>
          <w:tcPr>
            <w:tcW w:w="851" w:type="dxa"/>
            <w:shd w:val="clear" w:color="auto" w:fill="auto"/>
            <w:noWrap/>
            <w:vAlign w:val="bottom"/>
            <w:hideMark/>
          </w:tcPr>
          <w:p w14:paraId="04F8402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2C1A7F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A56082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1845E7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56C05937" w14:textId="77777777" w:rsidTr="00F560C9">
        <w:trPr>
          <w:trHeight w:val="300"/>
        </w:trPr>
        <w:tc>
          <w:tcPr>
            <w:tcW w:w="960" w:type="dxa"/>
            <w:shd w:val="clear" w:color="auto" w:fill="auto"/>
            <w:noWrap/>
            <w:vAlign w:val="bottom"/>
            <w:hideMark/>
          </w:tcPr>
          <w:p w14:paraId="058A7FC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D54415F"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145C91B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437800</w:t>
            </w:r>
          </w:p>
        </w:tc>
        <w:tc>
          <w:tcPr>
            <w:tcW w:w="994" w:type="dxa"/>
            <w:shd w:val="clear" w:color="auto" w:fill="auto"/>
            <w:noWrap/>
            <w:vAlign w:val="bottom"/>
            <w:hideMark/>
          </w:tcPr>
          <w:p w14:paraId="3E4EAF6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357200</w:t>
            </w:r>
          </w:p>
        </w:tc>
        <w:tc>
          <w:tcPr>
            <w:tcW w:w="927" w:type="dxa"/>
            <w:shd w:val="clear" w:color="auto" w:fill="auto"/>
            <w:noWrap/>
            <w:vAlign w:val="bottom"/>
            <w:hideMark/>
          </w:tcPr>
          <w:p w14:paraId="6BAD17A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50.67</w:t>
            </w:r>
          </w:p>
        </w:tc>
        <w:tc>
          <w:tcPr>
            <w:tcW w:w="851" w:type="dxa"/>
            <w:shd w:val="clear" w:color="auto" w:fill="auto"/>
            <w:noWrap/>
            <w:vAlign w:val="bottom"/>
            <w:hideMark/>
          </w:tcPr>
          <w:p w14:paraId="6A70615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452349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3.50</w:t>
            </w:r>
          </w:p>
        </w:tc>
        <w:tc>
          <w:tcPr>
            <w:tcW w:w="851" w:type="dxa"/>
            <w:shd w:val="clear" w:color="auto" w:fill="auto"/>
            <w:noWrap/>
            <w:vAlign w:val="bottom"/>
            <w:hideMark/>
          </w:tcPr>
          <w:p w14:paraId="10B79E3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F3D10B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4B76F4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C34201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02EF95C3" w14:textId="77777777" w:rsidTr="00F560C9">
        <w:trPr>
          <w:trHeight w:val="300"/>
        </w:trPr>
        <w:tc>
          <w:tcPr>
            <w:tcW w:w="960" w:type="dxa"/>
            <w:shd w:val="clear" w:color="auto" w:fill="auto"/>
            <w:noWrap/>
            <w:vAlign w:val="bottom"/>
            <w:hideMark/>
          </w:tcPr>
          <w:p w14:paraId="2C2B6FA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1967C10D"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3C65BF9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515500</w:t>
            </w:r>
          </w:p>
        </w:tc>
        <w:tc>
          <w:tcPr>
            <w:tcW w:w="994" w:type="dxa"/>
            <w:shd w:val="clear" w:color="auto" w:fill="auto"/>
            <w:noWrap/>
            <w:vAlign w:val="bottom"/>
            <w:hideMark/>
          </w:tcPr>
          <w:p w14:paraId="2674536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172900</w:t>
            </w:r>
          </w:p>
        </w:tc>
        <w:tc>
          <w:tcPr>
            <w:tcW w:w="927" w:type="dxa"/>
            <w:shd w:val="clear" w:color="auto" w:fill="auto"/>
            <w:noWrap/>
            <w:vAlign w:val="bottom"/>
            <w:hideMark/>
          </w:tcPr>
          <w:p w14:paraId="57B09C2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14.85</w:t>
            </w:r>
          </w:p>
        </w:tc>
        <w:tc>
          <w:tcPr>
            <w:tcW w:w="851" w:type="dxa"/>
            <w:shd w:val="clear" w:color="auto" w:fill="auto"/>
            <w:noWrap/>
            <w:vAlign w:val="bottom"/>
            <w:hideMark/>
          </w:tcPr>
          <w:p w14:paraId="2D63D9D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AA9CE9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0F6893B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9F780D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6715814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F0D793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F7C23C2" w14:textId="77777777" w:rsidTr="00F560C9">
        <w:trPr>
          <w:trHeight w:val="300"/>
        </w:trPr>
        <w:tc>
          <w:tcPr>
            <w:tcW w:w="960" w:type="dxa"/>
            <w:shd w:val="clear" w:color="auto" w:fill="auto"/>
            <w:noWrap/>
            <w:vAlign w:val="bottom"/>
            <w:hideMark/>
          </w:tcPr>
          <w:p w14:paraId="3C51137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0D646380"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5F49D08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430500</w:t>
            </w:r>
          </w:p>
        </w:tc>
        <w:tc>
          <w:tcPr>
            <w:tcW w:w="994" w:type="dxa"/>
            <w:shd w:val="clear" w:color="auto" w:fill="auto"/>
            <w:noWrap/>
            <w:vAlign w:val="bottom"/>
            <w:hideMark/>
          </w:tcPr>
          <w:p w14:paraId="2DD0EF1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544100</w:t>
            </w:r>
          </w:p>
        </w:tc>
        <w:tc>
          <w:tcPr>
            <w:tcW w:w="927" w:type="dxa"/>
            <w:shd w:val="clear" w:color="auto" w:fill="auto"/>
            <w:noWrap/>
            <w:vAlign w:val="bottom"/>
            <w:hideMark/>
          </w:tcPr>
          <w:p w14:paraId="4371BD8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49.86</w:t>
            </w:r>
          </w:p>
        </w:tc>
        <w:tc>
          <w:tcPr>
            <w:tcW w:w="851" w:type="dxa"/>
            <w:shd w:val="clear" w:color="auto" w:fill="auto"/>
            <w:noWrap/>
            <w:vAlign w:val="bottom"/>
            <w:hideMark/>
          </w:tcPr>
          <w:p w14:paraId="7D80619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2.55</w:t>
            </w:r>
          </w:p>
        </w:tc>
        <w:tc>
          <w:tcPr>
            <w:tcW w:w="850" w:type="dxa"/>
            <w:shd w:val="clear" w:color="auto" w:fill="auto"/>
            <w:noWrap/>
            <w:vAlign w:val="bottom"/>
            <w:hideMark/>
          </w:tcPr>
          <w:p w14:paraId="412BF81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10.89</w:t>
            </w:r>
          </w:p>
        </w:tc>
        <w:tc>
          <w:tcPr>
            <w:tcW w:w="851" w:type="dxa"/>
            <w:shd w:val="clear" w:color="auto" w:fill="auto"/>
            <w:noWrap/>
            <w:vAlign w:val="bottom"/>
            <w:hideMark/>
          </w:tcPr>
          <w:p w14:paraId="4ED9E42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81346F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36959F6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5105AE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097D123A" w14:textId="77777777" w:rsidTr="00F560C9">
        <w:trPr>
          <w:trHeight w:val="300"/>
        </w:trPr>
        <w:tc>
          <w:tcPr>
            <w:tcW w:w="960" w:type="dxa"/>
            <w:shd w:val="clear" w:color="auto" w:fill="auto"/>
            <w:noWrap/>
            <w:vAlign w:val="bottom"/>
            <w:hideMark/>
          </w:tcPr>
          <w:p w14:paraId="5874D37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14E27918" w14:textId="77777777" w:rsidR="00AB13DC" w:rsidRDefault="00AB13DC" w:rsidP="00AB13DC">
            <w:r w:rsidRPr="008A38A6">
              <w:rPr>
                <w:rFonts w:ascii="Calibri" w:eastAsia="Times New Roman" w:hAnsi="Calibri"/>
                <w:lang w:val="en-GB" w:eastAsia="en-GB"/>
              </w:rPr>
              <w:t>July</w:t>
            </w:r>
          </w:p>
        </w:tc>
        <w:tc>
          <w:tcPr>
            <w:tcW w:w="861" w:type="dxa"/>
            <w:shd w:val="clear" w:color="auto" w:fill="auto"/>
            <w:noWrap/>
            <w:vAlign w:val="bottom"/>
            <w:hideMark/>
          </w:tcPr>
          <w:p w14:paraId="4F4C4BE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375500</w:t>
            </w:r>
          </w:p>
        </w:tc>
        <w:tc>
          <w:tcPr>
            <w:tcW w:w="994" w:type="dxa"/>
            <w:shd w:val="clear" w:color="auto" w:fill="auto"/>
            <w:noWrap/>
            <w:vAlign w:val="bottom"/>
            <w:hideMark/>
          </w:tcPr>
          <w:p w14:paraId="3D08FA5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166000</w:t>
            </w:r>
          </w:p>
        </w:tc>
        <w:tc>
          <w:tcPr>
            <w:tcW w:w="927" w:type="dxa"/>
            <w:shd w:val="clear" w:color="auto" w:fill="auto"/>
            <w:noWrap/>
            <w:vAlign w:val="bottom"/>
            <w:hideMark/>
          </w:tcPr>
          <w:p w14:paraId="1C78CD8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27.18</w:t>
            </w:r>
          </w:p>
        </w:tc>
        <w:tc>
          <w:tcPr>
            <w:tcW w:w="851" w:type="dxa"/>
            <w:shd w:val="clear" w:color="auto" w:fill="auto"/>
            <w:noWrap/>
            <w:vAlign w:val="bottom"/>
            <w:hideMark/>
          </w:tcPr>
          <w:p w14:paraId="61705E9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EE8F44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39F067E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6CF5C3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6C118C8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84851F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49841F34" w14:textId="77777777" w:rsidTr="00F560C9">
        <w:trPr>
          <w:trHeight w:val="300"/>
        </w:trPr>
        <w:tc>
          <w:tcPr>
            <w:tcW w:w="960" w:type="dxa"/>
            <w:shd w:val="clear" w:color="auto" w:fill="auto"/>
            <w:noWrap/>
            <w:vAlign w:val="bottom"/>
            <w:hideMark/>
          </w:tcPr>
          <w:p w14:paraId="1E30F60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575BB599"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745291D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230700</w:t>
            </w:r>
          </w:p>
        </w:tc>
        <w:tc>
          <w:tcPr>
            <w:tcW w:w="994" w:type="dxa"/>
            <w:shd w:val="clear" w:color="auto" w:fill="auto"/>
            <w:noWrap/>
            <w:vAlign w:val="bottom"/>
            <w:hideMark/>
          </w:tcPr>
          <w:p w14:paraId="1EB2989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335900</w:t>
            </w:r>
          </w:p>
        </w:tc>
        <w:tc>
          <w:tcPr>
            <w:tcW w:w="927" w:type="dxa"/>
            <w:shd w:val="clear" w:color="auto" w:fill="auto"/>
            <w:noWrap/>
            <w:vAlign w:val="bottom"/>
            <w:hideMark/>
          </w:tcPr>
          <w:p w14:paraId="449583E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48.47</w:t>
            </w:r>
          </w:p>
        </w:tc>
        <w:tc>
          <w:tcPr>
            <w:tcW w:w="851" w:type="dxa"/>
            <w:shd w:val="clear" w:color="auto" w:fill="auto"/>
            <w:noWrap/>
            <w:vAlign w:val="bottom"/>
            <w:hideMark/>
          </w:tcPr>
          <w:p w14:paraId="36F1BF4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343235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71B07F3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B0CAE4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085CEA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855AAB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5939E3A1" w14:textId="77777777" w:rsidTr="00F560C9">
        <w:trPr>
          <w:trHeight w:val="300"/>
        </w:trPr>
        <w:tc>
          <w:tcPr>
            <w:tcW w:w="960" w:type="dxa"/>
            <w:shd w:val="clear" w:color="auto" w:fill="auto"/>
            <w:noWrap/>
            <w:vAlign w:val="bottom"/>
            <w:hideMark/>
          </w:tcPr>
          <w:p w14:paraId="6CADE21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65C82C4E"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4B5887F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234200</w:t>
            </w:r>
          </w:p>
        </w:tc>
        <w:tc>
          <w:tcPr>
            <w:tcW w:w="994" w:type="dxa"/>
            <w:shd w:val="clear" w:color="auto" w:fill="auto"/>
            <w:noWrap/>
            <w:vAlign w:val="bottom"/>
            <w:hideMark/>
          </w:tcPr>
          <w:p w14:paraId="1E653AE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619800</w:t>
            </w:r>
          </w:p>
        </w:tc>
        <w:tc>
          <w:tcPr>
            <w:tcW w:w="927" w:type="dxa"/>
            <w:shd w:val="clear" w:color="auto" w:fill="auto"/>
            <w:noWrap/>
            <w:vAlign w:val="bottom"/>
            <w:hideMark/>
          </w:tcPr>
          <w:p w14:paraId="2C920C9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26.72</w:t>
            </w:r>
          </w:p>
        </w:tc>
        <w:tc>
          <w:tcPr>
            <w:tcW w:w="851" w:type="dxa"/>
            <w:shd w:val="clear" w:color="auto" w:fill="auto"/>
            <w:noWrap/>
            <w:vAlign w:val="bottom"/>
            <w:hideMark/>
          </w:tcPr>
          <w:p w14:paraId="79F9875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4CA254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0A057E7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FD2964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CDC920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4DA63F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97141D9" w14:textId="77777777" w:rsidTr="00F560C9">
        <w:trPr>
          <w:trHeight w:val="300"/>
        </w:trPr>
        <w:tc>
          <w:tcPr>
            <w:tcW w:w="960" w:type="dxa"/>
            <w:shd w:val="clear" w:color="auto" w:fill="auto"/>
            <w:noWrap/>
            <w:vAlign w:val="bottom"/>
            <w:hideMark/>
          </w:tcPr>
          <w:p w14:paraId="6592978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43CC120D"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06DD47C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463700</w:t>
            </w:r>
          </w:p>
        </w:tc>
        <w:tc>
          <w:tcPr>
            <w:tcW w:w="994" w:type="dxa"/>
            <w:shd w:val="clear" w:color="auto" w:fill="auto"/>
            <w:noWrap/>
            <w:vAlign w:val="bottom"/>
            <w:hideMark/>
          </w:tcPr>
          <w:p w14:paraId="72185D7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176300</w:t>
            </w:r>
          </w:p>
        </w:tc>
        <w:tc>
          <w:tcPr>
            <w:tcW w:w="927" w:type="dxa"/>
            <w:shd w:val="clear" w:color="auto" w:fill="auto"/>
            <w:noWrap/>
            <w:vAlign w:val="bottom"/>
            <w:hideMark/>
          </w:tcPr>
          <w:p w14:paraId="2BC6577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48.73</w:t>
            </w:r>
          </w:p>
        </w:tc>
        <w:tc>
          <w:tcPr>
            <w:tcW w:w="851" w:type="dxa"/>
            <w:shd w:val="clear" w:color="auto" w:fill="auto"/>
            <w:noWrap/>
            <w:vAlign w:val="bottom"/>
            <w:hideMark/>
          </w:tcPr>
          <w:p w14:paraId="7316B47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1.58</w:t>
            </w:r>
          </w:p>
        </w:tc>
        <w:tc>
          <w:tcPr>
            <w:tcW w:w="850" w:type="dxa"/>
            <w:shd w:val="clear" w:color="auto" w:fill="auto"/>
            <w:noWrap/>
            <w:vAlign w:val="bottom"/>
            <w:hideMark/>
          </w:tcPr>
          <w:p w14:paraId="49162E9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8.50</w:t>
            </w:r>
          </w:p>
        </w:tc>
        <w:tc>
          <w:tcPr>
            <w:tcW w:w="851" w:type="dxa"/>
            <w:shd w:val="clear" w:color="auto" w:fill="auto"/>
            <w:noWrap/>
            <w:vAlign w:val="bottom"/>
            <w:hideMark/>
          </w:tcPr>
          <w:p w14:paraId="73055BE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FA35D9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294B794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F793EF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05A30A96" w14:textId="77777777" w:rsidTr="00F560C9">
        <w:trPr>
          <w:trHeight w:val="300"/>
        </w:trPr>
        <w:tc>
          <w:tcPr>
            <w:tcW w:w="960" w:type="dxa"/>
            <w:shd w:val="clear" w:color="auto" w:fill="auto"/>
            <w:noWrap/>
            <w:vAlign w:val="bottom"/>
            <w:hideMark/>
          </w:tcPr>
          <w:p w14:paraId="08F823E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328661B6"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685F423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339600</w:t>
            </w:r>
          </w:p>
        </w:tc>
        <w:tc>
          <w:tcPr>
            <w:tcW w:w="994" w:type="dxa"/>
            <w:shd w:val="clear" w:color="auto" w:fill="auto"/>
            <w:noWrap/>
            <w:vAlign w:val="bottom"/>
            <w:hideMark/>
          </w:tcPr>
          <w:p w14:paraId="297BC2D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94500</w:t>
            </w:r>
          </w:p>
        </w:tc>
        <w:tc>
          <w:tcPr>
            <w:tcW w:w="927" w:type="dxa"/>
            <w:shd w:val="clear" w:color="auto" w:fill="auto"/>
            <w:noWrap/>
            <w:vAlign w:val="bottom"/>
            <w:hideMark/>
          </w:tcPr>
          <w:p w14:paraId="0BEEBF4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50.90</w:t>
            </w:r>
          </w:p>
        </w:tc>
        <w:tc>
          <w:tcPr>
            <w:tcW w:w="851" w:type="dxa"/>
            <w:shd w:val="clear" w:color="auto" w:fill="auto"/>
            <w:noWrap/>
            <w:vAlign w:val="bottom"/>
            <w:hideMark/>
          </w:tcPr>
          <w:p w14:paraId="612C9BF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7696EF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1.87</w:t>
            </w:r>
          </w:p>
        </w:tc>
        <w:tc>
          <w:tcPr>
            <w:tcW w:w="851" w:type="dxa"/>
            <w:shd w:val="clear" w:color="auto" w:fill="auto"/>
            <w:noWrap/>
            <w:vAlign w:val="bottom"/>
            <w:hideMark/>
          </w:tcPr>
          <w:p w14:paraId="72D3A23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C03350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621642F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B137CA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3314DDB7" w14:textId="77777777" w:rsidTr="00F560C9">
        <w:trPr>
          <w:trHeight w:val="300"/>
        </w:trPr>
        <w:tc>
          <w:tcPr>
            <w:tcW w:w="960" w:type="dxa"/>
            <w:shd w:val="clear" w:color="auto" w:fill="auto"/>
            <w:noWrap/>
            <w:vAlign w:val="bottom"/>
            <w:hideMark/>
          </w:tcPr>
          <w:p w14:paraId="5AD9DB2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lastRenderedPageBreak/>
              <w:t>2015</w:t>
            </w:r>
          </w:p>
        </w:tc>
        <w:tc>
          <w:tcPr>
            <w:tcW w:w="794" w:type="dxa"/>
            <w:shd w:val="clear" w:color="auto" w:fill="auto"/>
            <w:noWrap/>
            <w:hideMark/>
          </w:tcPr>
          <w:p w14:paraId="72B87B7E"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2A66904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567900</w:t>
            </w:r>
          </w:p>
        </w:tc>
        <w:tc>
          <w:tcPr>
            <w:tcW w:w="994" w:type="dxa"/>
            <w:shd w:val="clear" w:color="auto" w:fill="auto"/>
            <w:noWrap/>
            <w:vAlign w:val="bottom"/>
            <w:hideMark/>
          </w:tcPr>
          <w:p w14:paraId="3BBAB9C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205600</w:t>
            </w:r>
          </w:p>
        </w:tc>
        <w:tc>
          <w:tcPr>
            <w:tcW w:w="927" w:type="dxa"/>
            <w:shd w:val="clear" w:color="auto" w:fill="auto"/>
            <w:noWrap/>
            <w:vAlign w:val="bottom"/>
            <w:hideMark/>
          </w:tcPr>
          <w:p w14:paraId="0576F9E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60.33</w:t>
            </w:r>
          </w:p>
        </w:tc>
        <w:tc>
          <w:tcPr>
            <w:tcW w:w="851" w:type="dxa"/>
            <w:shd w:val="clear" w:color="auto" w:fill="auto"/>
            <w:noWrap/>
            <w:vAlign w:val="bottom"/>
            <w:hideMark/>
          </w:tcPr>
          <w:p w14:paraId="405D627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1.55</w:t>
            </w:r>
          </w:p>
        </w:tc>
        <w:tc>
          <w:tcPr>
            <w:tcW w:w="850" w:type="dxa"/>
            <w:shd w:val="clear" w:color="auto" w:fill="auto"/>
            <w:noWrap/>
            <w:vAlign w:val="bottom"/>
            <w:hideMark/>
          </w:tcPr>
          <w:p w14:paraId="59964EE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14.46</w:t>
            </w:r>
          </w:p>
        </w:tc>
        <w:tc>
          <w:tcPr>
            <w:tcW w:w="851" w:type="dxa"/>
            <w:shd w:val="clear" w:color="auto" w:fill="auto"/>
            <w:noWrap/>
            <w:vAlign w:val="bottom"/>
            <w:hideMark/>
          </w:tcPr>
          <w:p w14:paraId="765D190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C96151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4B3A41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AA9E72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C17AF5D" w14:textId="77777777" w:rsidTr="00F560C9">
        <w:trPr>
          <w:trHeight w:val="300"/>
        </w:trPr>
        <w:tc>
          <w:tcPr>
            <w:tcW w:w="960" w:type="dxa"/>
            <w:shd w:val="clear" w:color="auto" w:fill="auto"/>
            <w:noWrap/>
            <w:vAlign w:val="bottom"/>
            <w:hideMark/>
          </w:tcPr>
          <w:p w14:paraId="428A919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58FF4A94"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54DD06F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347000</w:t>
            </w:r>
          </w:p>
        </w:tc>
        <w:tc>
          <w:tcPr>
            <w:tcW w:w="994" w:type="dxa"/>
            <w:shd w:val="clear" w:color="auto" w:fill="auto"/>
            <w:noWrap/>
            <w:vAlign w:val="bottom"/>
            <w:hideMark/>
          </w:tcPr>
          <w:p w14:paraId="3E617E4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93500</w:t>
            </w:r>
          </w:p>
        </w:tc>
        <w:tc>
          <w:tcPr>
            <w:tcW w:w="927" w:type="dxa"/>
            <w:shd w:val="clear" w:color="auto" w:fill="auto"/>
            <w:noWrap/>
            <w:vAlign w:val="bottom"/>
            <w:hideMark/>
          </w:tcPr>
          <w:p w14:paraId="3D368BB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46.41</w:t>
            </w:r>
          </w:p>
        </w:tc>
        <w:tc>
          <w:tcPr>
            <w:tcW w:w="851" w:type="dxa"/>
            <w:shd w:val="clear" w:color="auto" w:fill="auto"/>
            <w:noWrap/>
            <w:vAlign w:val="bottom"/>
            <w:hideMark/>
          </w:tcPr>
          <w:p w14:paraId="709AB31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9D62BE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4.66</w:t>
            </w:r>
          </w:p>
        </w:tc>
        <w:tc>
          <w:tcPr>
            <w:tcW w:w="851" w:type="dxa"/>
            <w:shd w:val="clear" w:color="auto" w:fill="auto"/>
            <w:noWrap/>
            <w:vAlign w:val="bottom"/>
            <w:hideMark/>
          </w:tcPr>
          <w:p w14:paraId="285E80E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C83E4E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7AF03FB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DCA11B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6C0DFC98" w14:textId="77777777" w:rsidTr="00F560C9">
        <w:trPr>
          <w:trHeight w:val="300"/>
        </w:trPr>
        <w:tc>
          <w:tcPr>
            <w:tcW w:w="960" w:type="dxa"/>
            <w:shd w:val="clear" w:color="auto" w:fill="auto"/>
            <w:noWrap/>
            <w:vAlign w:val="bottom"/>
            <w:hideMark/>
          </w:tcPr>
          <w:p w14:paraId="33AF810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6EF63904"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76F64D3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370700</w:t>
            </w:r>
          </w:p>
        </w:tc>
        <w:tc>
          <w:tcPr>
            <w:tcW w:w="994" w:type="dxa"/>
            <w:shd w:val="clear" w:color="auto" w:fill="auto"/>
            <w:noWrap/>
            <w:vAlign w:val="bottom"/>
            <w:hideMark/>
          </w:tcPr>
          <w:p w14:paraId="61FDB72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253800</w:t>
            </w:r>
          </w:p>
        </w:tc>
        <w:tc>
          <w:tcPr>
            <w:tcW w:w="927" w:type="dxa"/>
            <w:shd w:val="clear" w:color="auto" w:fill="auto"/>
            <w:noWrap/>
            <w:vAlign w:val="bottom"/>
            <w:hideMark/>
          </w:tcPr>
          <w:p w14:paraId="5D687AE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56.78</w:t>
            </w:r>
          </w:p>
        </w:tc>
        <w:tc>
          <w:tcPr>
            <w:tcW w:w="851" w:type="dxa"/>
            <w:shd w:val="clear" w:color="auto" w:fill="auto"/>
            <w:noWrap/>
            <w:vAlign w:val="bottom"/>
            <w:hideMark/>
          </w:tcPr>
          <w:p w14:paraId="0C40F0E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0.74</w:t>
            </w:r>
          </w:p>
        </w:tc>
        <w:tc>
          <w:tcPr>
            <w:tcW w:w="850" w:type="dxa"/>
            <w:shd w:val="clear" w:color="auto" w:fill="auto"/>
            <w:noWrap/>
            <w:vAlign w:val="bottom"/>
            <w:hideMark/>
          </w:tcPr>
          <w:p w14:paraId="32668BB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10.97</w:t>
            </w:r>
          </w:p>
        </w:tc>
        <w:tc>
          <w:tcPr>
            <w:tcW w:w="851" w:type="dxa"/>
            <w:shd w:val="clear" w:color="auto" w:fill="auto"/>
            <w:noWrap/>
            <w:vAlign w:val="bottom"/>
            <w:hideMark/>
          </w:tcPr>
          <w:p w14:paraId="230B7F8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B27CB1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0A6E68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DE7AE1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52A46865" w14:textId="77777777" w:rsidTr="00F560C9">
        <w:trPr>
          <w:trHeight w:val="300"/>
        </w:trPr>
        <w:tc>
          <w:tcPr>
            <w:tcW w:w="960" w:type="dxa"/>
            <w:shd w:val="clear" w:color="auto" w:fill="auto"/>
            <w:noWrap/>
            <w:vAlign w:val="bottom"/>
            <w:hideMark/>
          </w:tcPr>
          <w:p w14:paraId="6FA0506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743A2D27"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76E31CF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441900</w:t>
            </w:r>
          </w:p>
        </w:tc>
        <w:tc>
          <w:tcPr>
            <w:tcW w:w="994" w:type="dxa"/>
            <w:shd w:val="clear" w:color="auto" w:fill="auto"/>
            <w:noWrap/>
            <w:vAlign w:val="bottom"/>
            <w:hideMark/>
          </w:tcPr>
          <w:p w14:paraId="01DBFE7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177100</w:t>
            </w:r>
          </w:p>
        </w:tc>
        <w:tc>
          <w:tcPr>
            <w:tcW w:w="927" w:type="dxa"/>
            <w:shd w:val="clear" w:color="auto" w:fill="auto"/>
            <w:noWrap/>
            <w:vAlign w:val="bottom"/>
            <w:hideMark/>
          </w:tcPr>
          <w:p w14:paraId="6FBCD12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80.12</w:t>
            </w:r>
          </w:p>
        </w:tc>
        <w:tc>
          <w:tcPr>
            <w:tcW w:w="851" w:type="dxa"/>
            <w:shd w:val="clear" w:color="auto" w:fill="auto"/>
            <w:noWrap/>
            <w:vAlign w:val="bottom"/>
            <w:hideMark/>
          </w:tcPr>
          <w:p w14:paraId="39B07D1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10.28</w:t>
            </w:r>
          </w:p>
        </w:tc>
        <w:tc>
          <w:tcPr>
            <w:tcW w:w="850" w:type="dxa"/>
            <w:shd w:val="clear" w:color="auto" w:fill="auto"/>
            <w:noWrap/>
            <w:vAlign w:val="bottom"/>
            <w:hideMark/>
          </w:tcPr>
          <w:p w14:paraId="42BAD31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24.60</w:t>
            </w:r>
          </w:p>
        </w:tc>
        <w:tc>
          <w:tcPr>
            <w:tcW w:w="851" w:type="dxa"/>
            <w:shd w:val="clear" w:color="auto" w:fill="auto"/>
            <w:noWrap/>
            <w:vAlign w:val="bottom"/>
            <w:hideMark/>
          </w:tcPr>
          <w:p w14:paraId="143FD72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02D611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c>
          <w:tcPr>
            <w:tcW w:w="851" w:type="dxa"/>
            <w:shd w:val="clear" w:color="auto" w:fill="auto"/>
            <w:noWrap/>
            <w:vAlign w:val="bottom"/>
            <w:hideMark/>
          </w:tcPr>
          <w:p w14:paraId="17F351A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C8F5B0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r>
      <w:tr w:rsidR="00AB13DC" w:rsidRPr="008A38A6" w14:paraId="1FD3D3F2" w14:textId="77777777" w:rsidTr="00F560C9">
        <w:trPr>
          <w:trHeight w:val="300"/>
        </w:trPr>
        <w:tc>
          <w:tcPr>
            <w:tcW w:w="960" w:type="dxa"/>
            <w:shd w:val="clear" w:color="auto" w:fill="auto"/>
            <w:noWrap/>
            <w:vAlign w:val="bottom"/>
            <w:hideMark/>
          </w:tcPr>
          <w:p w14:paraId="0845DBE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7B123EBA"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05FD518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342400</w:t>
            </w:r>
          </w:p>
        </w:tc>
        <w:tc>
          <w:tcPr>
            <w:tcW w:w="994" w:type="dxa"/>
            <w:shd w:val="clear" w:color="auto" w:fill="auto"/>
            <w:noWrap/>
            <w:vAlign w:val="bottom"/>
            <w:hideMark/>
          </w:tcPr>
          <w:p w14:paraId="622E119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275500</w:t>
            </w:r>
          </w:p>
        </w:tc>
        <w:tc>
          <w:tcPr>
            <w:tcW w:w="927" w:type="dxa"/>
            <w:shd w:val="clear" w:color="auto" w:fill="auto"/>
            <w:noWrap/>
            <w:vAlign w:val="bottom"/>
            <w:hideMark/>
          </w:tcPr>
          <w:p w14:paraId="1C65D4B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74.83</w:t>
            </w:r>
          </w:p>
        </w:tc>
        <w:tc>
          <w:tcPr>
            <w:tcW w:w="851" w:type="dxa"/>
            <w:shd w:val="clear" w:color="auto" w:fill="auto"/>
            <w:noWrap/>
            <w:vAlign w:val="bottom"/>
            <w:hideMark/>
          </w:tcPr>
          <w:p w14:paraId="099EBB9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99039E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35.30</w:t>
            </w:r>
          </w:p>
        </w:tc>
        <w:tc>
          <w:tcPr>
            <w:tcW w:w="851" w:type="dxa"/>
            <w:shd w:val="clear" w:color="auto" w:fill="auto"/>
            <w:noWrap/>
            <w:vAlign w:val="bottom"/>
            <w:hideMark/>
          </w:tcPr>
          <w:p w14:paraId="1D0ADBF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4A471C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73ADFF9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532257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F426EB7" w14:textId="77777777" w:rsidTr="00F560C9">
        <w:trPr>
          <w:trHeight w:val="300"/>
        </w:trPr>
        <w:tc>
          <w:tcPr>
            <w:tcW w:w="960" w:type="dxa"/>
            <w:shd w:val="clear" w:color="auto" w:fill="auto"/>
            <w:noWrap/>
            <w:vAlign w:val="bottom"/>
            <w:hideMark/>
          </w:tcPr>
          <w:p w14:paraId="1C76A7A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0F0BA3F8"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4C9E07D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614100</w:t>
            </w:r>
          </w:p>
        </w:tc>
        <w:tc>
          <w:tcPr>
            <w:tcW w:w="994" w:type="dxa"/>
            <w:shd w:val="clear" w:color="auto" w:fill="auto"/>
            <w:noWrap/>
            <w:vAlign w:val="bottom"/>
            <w:hideMark/>
          </w:tcPr>
          <w:p w14:paraId="659F4CB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158400</w:t>
            </w:r>
          </w:p>
        </w:tc>
        <w:tc>
          <w:tcPr>
            <w:tcW w:w="927" w:type="dxa"/>
            <w:shd w:val="clear" w:color="auto" w:fill="auto"/>
            <w:noWrap/>
            <w:vAlign w:val="bottom"/>
            <w:hideMark/>
          </w:tcPr>
          <w:p w14:paraId="2B4E2C1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22.44</w:t>
            </w:r>
          </w:p>
        </w:tc>
        <w:tc>
          <w:tcPr>
            <w:tcW w:w="851" w:type="dxa"/>
            <w:shd w:val="clear" w:color="auto" w:fill="auto"/>
            <w:noWrap/>
            <w:vAlign w:val="bottom"/>
            <w:hideMark/>
          </w:tcPr>
          <w:p w14:paraId="70FE6FF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C1AD32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0.18</w:t>
            </w:r>
          </w:p>
        </w:tc>
        <w:tc>
          <w:tcPr>
            <w:tcW w:w="851" w:type="dxa"/>
            <w:shd w:val="clear" w:color="auto" w:fill="auto"/>
            <w:noWrap/>
            <w:vAlign w:val="bottom"/>
            <w:hideMark/>
          </w:tcPr>
          <w:p w14:paraId="5C23CA2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40EF03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2C21603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77504B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5695671D" w14:textId="77777777" w:rsidTr="00F560C9">
        <w:trPr>
          <w:trHeight w:val="300"/>
        </w:trPr>
        <w:tc>
          <w:tcPr>
            <w:tcW w:w="960" w:type="dxa"/>
            <w:shd w:val="clear" w:color="auto" w:fill="auto"/>
            <w:noWrap/>
            <w:vAlign w:val="bottom"/>
            <w:hideMark/>
          </w:tcPr>
          <w:p w14:paraId="329E4FF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7E6E05A6"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5DDBB27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359800</w:t>
            </w:r>
          </w:p>
        </w:tc>
        <w:tc>
          <w:tcPr>
            <w:tcW w:w="994" w:type="dxa"/>
            <w:shd w:val="clear" w:color="auto" w:fill="auto"/>
            <w:noWrap/>
            <w:vAlign w:val="bottom"/>
            <w:hideMark/>
          </w:tcPr>
          <w:p w14:paraId="505AF83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181800</w:t>
            </w:r>
          </w:p>
        </w:tc>
        <w:tc>
          <w:tcPr>
            <w:tcW w:w="927" w:type="dxa"/>
            <w:shd w:val="clear" w:color="auto" w:fill="auto"/>
            <w:noWrap/>
            <w:vAlign w:val="bottom"/>
            <w:hideMark/>
          </w:tcPr>
          <w:p w14:paraId="4CF1468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21.60</w:t>
            </w:r>
          </w:p>
        </w:tc>
        <w:tc>
          <w:tcPr>
            <w:tcW w:w="851" w:type="dxa"/>
            <w:shd w:val="clear" w:color="auto" w:fill="auto"/>
            <w:noWrap/>
            <w:vAlign w:val="bottom"/>
            <w:hideMark/>
          </w:tcPr>
          <w:p w14:paraId="5F2B55C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C8677A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6DA8282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718BFF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3B88A33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3EA824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11A7509D" w14:textId="77777777" w:rsidTr="00F560C9">
        <w:trPr>
          <w:trHeight w:val="300"/>
        </w:trPr>
        <w:tc>
          <w:tcPr>
            <w:tcW w:w="960" w:type="dxa"/>
            <w:shd w:val="clear" w:color="auto" w:fill="auto"/>
            <w:noWrap/>
            <w:vAlign w:val="bottom"/>
            <w:hideMark/>
          </w:tcPr>
          <w:p w14:paraId="3CA1A4A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0361101"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55371CA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622600</w:t>
            </w:r>
          </w:p>
        </w:tc>
        <w:tc>
          <w:tcPr>
            <w:tcW w:w="994" w:type="dxa"/>
            <w:shd w:val="clear" w:color="auto" w:fill="auto"/>
            <w:noWrap/>
            <w:vAlign w:val="bottom"/>
            <w:hideMark/>
          </w:tcPr>
          <w:p w14:paraId="3E52B22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254600</w:t>
            </w:r>
          </w:p>
        </w:tc>
        <w:tc>
          <w:tcPr>
            <w:tcW w:w="927" w:type="dxa"/>
            <w:shd w:val="clear" w:color="auto" w:fill="auto"/>
            <w:noWrap/>
            <w:vAlign w:val="bottom"/>
            <w:hideMark/>
          </w:tcPr>
          <w:p w14:paraId="058904D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80.65</w:t>
            </w:r>
          </w:p>
        </w:tc>
        <w:tc>
          <w:tcPr>
            <w:tcW w:w="851" w:type="dxa"/>
            <w:shd w:val="clear" w:color="auto" w:fill="auto"/>
            <w:noWrap/>
            <w:vAlign w:val="bottom"/>
            <w:hideMark/>
          </w:tcPr>
          <w:p w14:paraId="748C80C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15.26</w:t>
            </w:r>
          </w:p>
        </w:tc>
        <w:tc>
          <w:tcPr>
            <w:tcW w:w="850" w:type="dxa"/>
            <w:shd w:val="clear" w:color="auto" w:fill="auto"/>
            <w:noWrap/>
            <w:vAlign w:val="bottom"/>
            <w:hideMark/>
          </w:tcPr>
          <w:p w14:paraId="4D36359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35.07</w:t>
            </w:r>
          </w:p>
        </w:tc>
        <w:tc>
          <w:tcPr>
            <w:tcW w:w="851" w:type="dxa"/>
            <w:shd w:val="clear" w:color="auto" w:fill="auto"/>
            <w:noWrap/>
            <w:vAlign w:val="bottom"/>
            <w:hideMark/>
          </w:tcPr>
          <w:p w14:paraId="33B33BF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E108FE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C6E7A7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55C514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04F7214A" w14:textId="77777777" w:rsidTr="00F560C9">
        <w:trPr>
          <w:trHeight w:val="300"/>
        </w:trPr>
        <w:tc>
          <w:tcPr>
            <w:tcW w:w="960" w:type="dxa"/>
            <w:shd w:val="clear" w:color="auto" w:fill="auto"/>
            <w:noWrap/>
            <w:vAlign w:val="bottom"/>
            <w:hideMark/>
          </w:tcPr>
          <w:p w14:paraId="5ACC4A8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6A535542"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19FAC4B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606200</w:t>
            </w:r>
          </w:p>
        </w:tc>
        <w:tc>
          <w:tcPr>
            <w:tcW w:w="994" w:type="dxa"/>
            <w:shd w:val="clear" w:color="auto" w:fill="auto"/>
            <w:noWrap/>
            <w:vAlign w:val="bottom"/>
            <w:hideMark/>
          </w:tcPr>
          <w:p w14:paraId="445A082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136400</w:t>
            </w:r>
          </w:p>
        </w:tc>
        <w:tc>
          <w:tcPr>
            <w:tcW w:w="927" w:type="dxa"/>
            <w:shd w:val="clear" w:color="auto" w:fill="auto"/>
            <w:noWrap/>
            <w:vAlign w:val="bottom"/>
            <w:hideMark/>
          </w:tcPr>
          <w:p w14:paraId="4CF7D8A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58.48</w:t>
            </w:r>
          </w:p>
        </w:tc>
        <w:tc>
          <w:tcPr>
            <w:tcW w:w="851" w:type="dxa"/>
            <w:shd w:val="clear" w:color="auto" w:fill="auto"/>
            <w:noWrap/>
            <w:vAlign w:val="bottom"/>
            <w:hideMark/>
          </w:tcPr>
          <w:p w14:paraId="5B3F244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6.17</w:t>
            </w:r>
          </w:p>
        </w:tc>
        <w:tc>
          <w:tcPr>
            <w:tcW w:w="850" w:type="dxa"/>
            <w:shd w:val="clear" w:color="auto" w:fill="auto"/>
            <w:noWrap/>
            <w:vAlign w:val="bottom"/>
            <w:hideMark/>
          </w:tcPr>
          <w:p w14:paraId="205FBF0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20.52</w:t>
            </w:r>
          </w:p>
        </w:tc>
        <w:tc>
          <w:tcPr>
            <w:tcW w:w="851" w:type="dxa"/>
            <w:shd w:val="clear" w:color="auto" w:fill="auto"/>
            <w:noWrap/>
            <w:vAlign w:val="bottom"/>
            <w:hideMark/>
          </w:tcPr>
          <w:p w14:paraId="1430B72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BEF28D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0FD7EA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7F0339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143924C1" w14:textId="77777777" w:rsidTr="00F560C9">
        <w:trPr>
          <w:trHeight w:val="300"/>
        </w:trPr>
        <w:tc>
          <w:tcPr>
            <w:tcW w:w="960" w:type="dxa"/>
            <w:shd w:val="clear" w:color="auto" w:fill="auto"/>
            <w:noWrap/>
            <w:vAlign w:val="bottom"/>
            <w:hideMark/>
          </w:tcPr>
          <w:p w14:paraId="17C4BEA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71D37518"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584004C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466800</w:t>
            </w:r>
          </w:p>
        </w:tc>
        <w:tc>
          <w:tcPr>
            <w:tcW w:w="994" w:type="dxa"/>
            <w:shd w:val="clear" w:color="auto" w:fill="auto"/>
            <w:noWrap/>
            <w:vAlign w:val="bottom"/>
            <w:hideMark/>
          </w:tcPr>
          <w:p w14:paraId="2B04A8F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183300</w:t>
            </w:r>
          </w:p>
        </w:tc>
        <w:tc>
          <w:tcPr>
            <w:tcW w:w="927" w:type="dxa"/>
            <w:shd w:val="clear" w:color="auto" w:fill="auto"/>
            <w:noWrap/>
            <w:vAlign w:val="bottom"/>
            <w:hideMark/>
          </w:tcPr>
          <w:p w14:paraId="6CD25DD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38.39</w:t>
            </w:r>
          </w:p>
        </w:tc>
        <w:tc>
          <w:tcPr>
            <w:tcW w:w="851" w:type="dxa"/>
            <w:shd w:val="clear" w:color="auto" w:fill="auto"/>
            <w:noWrap/>
            <w:vAlign w:val="bottom"/>
            <w:hideMark/>
          </w:tcPr>
          <w:p w14:paraId="5D682DE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0.42</w:t>
            </w:r>
          </w:p>
        </w:tc>
        <w:tc>
          <w:tcPr>
            <w:tcW w:w="850" w:type="dxa"/>
            <w:shd w:val="clear" w:color="auto" w:fill="auto"/>
            <w:noWrap/>
            <w:vAlign w:val="bottom"/>
            <w:hideMark/>
          </w:tcPr>
          <w:p w14:paraId="00B67E9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7.67</w:t>
            </w:r>
          </w:p>
        </w:tc>
        <w:tc>
          <w:tcPr>
            <w:tcW w:w="851" w:type="dxa"/>
            <w:shd w:val="clear" w:color="auto" w:fill="auto"/>
            <w:noWrap/>
            <w:vAlign w:val="bottom"/>
            <w:hideMark/>
          </w:tcPr>
          <w:p w14:paraId="7423481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892518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704EC16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85F1F1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5DDFA558" w14:textId="77777777" w:rsidTr="00F560C9">
        <w:trPr>
          <w:trHeight w:val="300"/>
        </w:trPr>
        <w:tc>
          <w:tcPr>
            <w:tcW w:w="960" w:type="dxa"/>
            <w:shd w:val="clear" w:color="auto" w:fill="auto"/>
            <w:noWrap/>
            <w:vAlign w:val="bottom"/>
            <w:hideMark/>
          </w:tcPr>
          <w:p w14:paraId="6F43C0B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154482E6"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005E6C6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445800</w:t>
            </w:r>
          </w:p>
        </w:tc>
        <w:tc>
          <w:tcPr>
            <w:tcW w:w="994" w:type="dxa"/>
            <w:shd w:val="clear" w:color="auto" w:fill="auto"/>
            <w:noWrap/>
            <w:vAlign w:val="bottom"/>
            <w:hideMark/>
          </w:tcPr>
          <w:p w14:paraId="417068E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164700</w:t>
            </w:r>
          </w:p>
        </w:tc>
        <w:tc>
          <w:tcPr>
            <w:tcW w:w="927" w:type="dxa"/>
            <w:shd w:val="clear" w:color="auto" w:fill="auto"/>
            <w:noWrap/>
            <w:vAlign w:val="bottom"/>
            <w:hideMark/>
          </w:tcPr>
          <w:p w14:paraId="1075517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42.75</w:t>
            </w:r>
          </w:p>
        </w:tc>
        <w:tc>
          <w:tcPr>
            <w:tcW w:w="851" w:type="dxa"/>
            <w:shd w:val="clear" w:color="auto" w:fill="auto"/>
            <w:noWrap/>
            <w:vAlign w:val="bottom"/>
            <w:hideMark/>
          </w:tcPr>
          <w:p w14:paraId="7FC2370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0.47</w:t>
            </w:r>
          </w:p>
        </w:tc>
        <w:tc>
          <w:tcPr>
            <w:tcW w:w="850" w:type="dxa"/>
            <w:shd w:val="clear" w:color="auto" w:fill="auto"/>
            <w:noWrap/>
            <w:vAlign w:val="bottom"/>
            <w:hideMark/>
          </w:tcPr>
          <w:p w14:paraId="58C55B8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11.82</w:t>
            </w:r>
          </w:p>
        </w:tc>
        <w:tc>
          <w:tcPr>
            <w:tcW w:w="851" w:type="dxa"/>
            <w:shd w:val="clear" w:color="auto" w:fill="auto"/>
            <w:noWrap/>
            <w:vAlign w:val="bottom"/>
            <w:hideMark/>
          </w:tcPr>
          <w:p w14:paraId="2656655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B79FBF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71C4124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9FD84E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C26AD89" w14:textId="77777777" w:rsidTr="00F560C9">
        <w:trPr>
          <w:trHeight w:val="300"/>
        </w:trPr>
        <w:tc>
          <w:tcPr>
            <w:tcW w:w="960" w:type="dxa"/>
            <w:shd w:val="clear" w:color="auto" w:fill="auto"/>
            <w:noWrap/>
            <w:vAlign w:val="bottom"/>
            <w:hideMark/>
          </w:tcPr>
          <w:p w14:paraId="67D7199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41FE13B8"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4B474D7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372400</w:t>
            </w:r>
          </w:p>
        </w:tc>
        <w:tc>
          <w:tcPr>
            <w:tcW w:w="994" w:type="dxa"/>
            <w:shd w:val="clear" w:color="auto" w:fill="auto"/>
            <w:noWrap/>
            <w:vAlign w:val="bottom"/>
            <w:hideMark/>
          </w:tcPr>
          <w:p w14:paraId="09739CF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167400</w:t>
            </w:r>
          </w:p>
        </w:tc>
        <w:tc>
          <w:tcPr>
            <w:tcW w:w="927" w:type="dxa"/>
            <w:shd w:val="clear" w:color="auto" w:fill="auto"/>
            <w:noWrap/>
            <w:vAlign w:val="bottom"/>
            <w:hideMark/>
          </w:tcPr>
          <w:p w14:paraId="335A1F5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52.02</w:t>
            </w:r>
          </w:p>
        </w:tc>
        <w:tc>
          <w:tcPr>
            <w:tcW w:w="851" w:type="dxa"/>
            <w:shd w:val="clear" w:color="auto" w:fill="auto"/>
            <w:noWrap/>
            <w:vAlign w:val="bottom"/>
            <w:hideMark/>
          </w:tcPr>
          <w:p w14:paraId="2371953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0.01</w:t>
            </w:r>
          </w:p>
        </w:tc>
        <w:tc>
          <w:tcPr>
            <w:tcW w:w="850" w:type="dxa"/>
            <w:shd w:val="clear" w:color="auto" w:fill="auto"/>
            <w:noWrap/>
            <w:vAlign w:val="bottom"/>
            <w:hideMark/>
          </w:tcPr>
          <w:p w14:paraId="577535F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1.14</w:t>
            </w:r>
          </w:p>
        </w:tc>
        <w:tc>
          <w:tcPr>
            <w:tcW w:w="851" w:type="dxa"/>
            <w:shd w:val="clear" w:color="auto" w:fill="auto"/>
            <w:noWrap/>
            <w:vAlign w:val="bottom"/>
            <w:hideMark/>
          </w:tcPr>
          <w:p w14:paraId="46A340C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FF9178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207FB2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73A8C5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07B3424C" w14:textId="77777777" w:rsidTr="00F560C9">
        <w:trPr>
          <w:trHeight w:val="300"/>
        </w:trPr>
        <w:tc>
          <w:tcPr>
            <w:tcW w:w="960" w:type="dxa"/>
            <w:shd w:val="clear" w:color="auto" w:fill="auto"/>
            <w:noWrap/>
            <w:vAlign w:val="bottom"/>
            <w:hideMark/>
          </w:tcPr>
          <w:p w14:paraId="72DC48F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07E92B98"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173A085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369900</w:t>
            </w:r>
          </w:p>
        </w:tc>
        <w:tc>
          <w:tcPr>
            <w:tcW w:w="994" w:type="dxa"/>
            <w:shd w:val="clear" w:color="auto" w:fill="auto"/>
            <w:noWrap/>
            <w:vAlign w:val="bottom"/>
            <w:hideMark/>
          </w:tcPr>
          <w:p w14:paraId="285DB15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180400</w:t>
            </w:r>
          </w:p>
        </w:tc>
        <w:tc>
          <w:tcPr>
            <w:tcW w:w="927" w:type="dxa"/>
            <w:shd w:val="clear" w:color="auto" w:fill="auto"/>
            <w:noWrap/>
            <w:vAlign w:val="bottom"/>
            <w:hideMark/>
          </w:tcPr>
          <w:p w14:paraId="2D692D0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57.84</w:t>
            </w:r>
          </w:p>
        </w:tc>
        <w:tc>
          <w:tcPr>
            <w:tcW w:w="851" w:type="dxa"/>
            <w:shd w:val="clear" w:color="auto" w:fill="auto"/>
            <w:noWrap/>
            <w:vAlign w:val="bottom"/>
            <w:hideMark/>
          </w:tcPr>
          <w:p w14:paraId="36F01D0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0.20</w:t>
            </w:r>
          </w:p>
        </w:tc>
        <w:tc>
          <w:tcPr>
            <w:tcW w:w="850" w:type="dxa"/>
            <w:shd w:val="clear" w:color="auto" w:fill="auto"/>
            <w:noWrap/>
            <w:vAlign w:val="bottom"/>
            <w:hideMark/>
          </w:tcPr>
          <w:p w14:paraId="3496B96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6.66</w:t>
            </w:r>
          </w:p>
        </w:tc>
        <w:tc>
          <w:tcPr>
            <w:tcW w:w="851" w:type="dxa"/>
            <w:shd w:val="clear" w:color="auto" w:fill="auto"/>
            <w:noWrap/>
            <w:vAlign w:val="bottom"/>
            <w:hideMark/>
          </w:tcPr>
          <w:p w14:paraId="1553D48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C0C06C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046D80D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7F4DC4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233C0344" w14:textId="77777777" w:rsidTr="00F560C9">
        <w:trPr>
          <w:trHeight w:val="300"/>
        </w:trPr>
        <w:tc>
          <w:tcPr>
            <w:tcW w:w="960" w:type="dxa"/>
            <w:shd w:val="clear" w:color="auto" w:fill="auto"/>
            <w:noWrap/>
            <w:vAlign w:val="bottom"/>
            <w:hideMark/>
          </w:tcPr>
          <w:p w14:paraId="0303219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A2BAE37"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68C7351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413500</w:t>
            </w:r>
          </w:p>
        </w:tc>
        <w:tc>
          <w:tcPr>
            <w:tcW w:w="994" w:type="dxa"/>
            <w:shd w:val="clear" w:color="auto" w:fill="auto"/>
            <w:noWrap/>
            <w:vAlign w:val="bottom"/>
            <w:hideMark/>
          </w:tcPr>
          <w:p w14:paraId="3D4CC4A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297400</w:t>
            </w:r>
          </w:p>
        </w:tc>
        <w:tc>
          <w:tcPr>
            <w:tcW w:w="927" w:type="dxa"/>
            <w:shd w:val="clear" w:color="auto" w:fill="auto"/>
            <w:noWrap/>
            <w:vAlign w:val="bottom"/>
            <w:hideMark/>
          </w:tcPr>
          <w:p w14:paraId="4520A92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34.24</w:t>
            </w:r>
          </w:p>
        </w:tc>
        <w:tc>
          <w:tcPr>
            <w:tcW w:w="851" w:type="dxa"/>
            <w:shd w:val="clear" w:color="auto" w:fill="auto"/>
            <w:noWrap/>
            <w:vAlign w:val="bottom"/>
            <w:hideMark/>
          </w:tcPr>
          <w:p w14:paraId="11056A3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2.76</w:t>
            </w:r>
          </w:p>
        </w:tc>
        <w:tc>
          <w:tcPr>
            <w:tcW w:w="850" w:type="dxa"/>
            <w:shd w:val="clear" w:color="auto" w:fill="auto"/>
            <w:noWrap/>
            <w:vAlign w:val="bottom"/>
            <w:hideMark/>
          </w:tcPr>
          <w:p w14:paraId="17C8E3A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15.30</w:t>
            </w:r>
          </w:p>
        </w:tc>
        <w:tc>
          <w:tcPr>
            <w:tcW w:w="851" w:type="dxa"/>
            <w:shd w:val="clear" w:color="auto" w:fill="auto"/>
            <w:noWrap/>
            <w:vAlign w:val="bottom"/>
            <w:hideMark/>
          </w:tcPr>
          <w:p w14:paraId="10D13F9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680CB0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5FAE46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51A0B9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799E2D4" w14:textId="77777777" w:rsidTr="00F560C9">
        <w:trPr>
          <w:trHeight w:val="300"/>
        </w:trPr>
        <w:tc>
          <w:tcPr>
            <w:tcW w:w="960" w:type="dxa"/>
            <w:shd w:val="clear" w:color="auto" w:fill="auto"/>
            <w:noWrap/>
            <w:vAlign w:val="bottom"/>
            <w:hideMark/>
          </w:tcPr>
          <w:p w14:paraId="505605E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0F2CF2E4"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4A6EE05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268300</w:t>
            </w:r>
          </w:p>
        </w:tc>
        <w:tc>
          <w:tcPr>
            <w:tcW w:w="994" w:type="dxa"/>
            <w:shd w:val="clear" w:color="auto" w:fill="auto"/>
            <w:noWrap/>
            <w:vAlign w:val="bottom"/>
            <w:hideMark/>
          </w:tcPr>
          <w:p w14:paraId="1AA1E07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232900</w:t>
            </w:r>
          </w:p>
        </w:tc>
        <w:tc>
          <w:tcPr>
            <w:tcW w:w="927" w:type="dxa"/>
            <w:shd w:val="clear" w:color="auto" w:fill="auto"/>
            <w:noWrap/>
            <w:vAlign w:val="bottom"/>
            <w:hideMark/>
          </w:tcPr>
          <w:p w14:paraId="4F2E2F0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31.53</w:t>
            </w:r>
          </w:p>
        </w:tc>
        <w:tc>
          <w:tcPr>
            <w:tcW w:w="851" w:type="dxa"/>
            <w:shd w:val="clear" w:color="auto" w:fill="auto"/>
            <w:noWrap/>
            <w:vAlign w:val="bottom"/>
            <w:hideMark/>
          </w:tcPr>
          <w:p w14:paraId="39CEA63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7CB45D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C42922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0EEE97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687E821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852B29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2BB7738" w14:textId="77777777" w:rsidTr="00F560C9">
        <w:trPr>
          <w:trHeight w:val="300"/>
        </w:trPr>
        <w:tc>
          <w:tcPr>
            <w:tcW w:w="960" w:type="dxa"/>
            <w:shd w:val="clear" w:color="auto" w:fill="auto"/>
            <w:noWrap/>
            <w:vAlign w:val="bottom"/>
            <w:hideMark/>
          </w:tcPr>
          <w:p w14:paraId="659FE40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41FB30D0"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5C8C80B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358900</w:t>
            </w:r>
          </w:p>
        </w:tc>
        <w:tc>
          <w:tcPr>
            <w:tcW w:w="994" w:type="dxa"/>
            <w:shd w:val="clear" w:color="auto" w:fill="auto"/>
            <w:noWrap/>
            <w:vAlign w:val="bottom"/>
            <w:hideMark/>
          </w:tcPr>
          <w:p w14:paraId="1532CE9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175400</w:t>
            </w:r>
          </w:p>
        </w:tc>
        <w:tc>
          <w:tcPr>
            <w:tcW w:w="927" w:type="dxa"/>
            <w:shd w:val="clear" w:color="auto" w:fill="auto"/>
            <w:noWrap/>
            <w:vAlign w:val="bottom"/>
            <w:hideMark/>
          </w:tcPr>
          <w:p w14:paraId="592B3B3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8.38</w:t>
            </w:r>
          </w:p>
        </w:tc>
        <w:tc>
          <w:tcPr>
            <w:tcW w:w="851" w:type="dxa"/>
            <w:shd w:val="clear" w:color="auto" w:fill="auto"/>
            <w:noWrap/>
            <w:vAlign w:val="bottom"/>
            <w:hideMark/>
          </w:tcPr>
          <w:p w14:paraId="6A8C4D3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37BA18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8EFC03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0AE86A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426F973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E0A0DA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6FD1FC6D" w14:textId="77777777" w:rsidTr="00F560C9">
        <w:trPr>
          <w:trHeight w:val="300"/>
        </w:trPr>
        <w:tc>
          <w:tcPr>
            <w:tcW w:w="960" w:type="dxa"/>
            <w:shd w:val="clear" w:color="auto" w:fill="auto"/>
            <w:noWrap/>
            <w:vAlign w:val="bottom"/>
            <w:hideMark/>
          </w:tcPr>
          <w:p w14:paraId="1CD9833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5F8C007D"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18FBB30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374400</w:t>
            </w:r>
          </w:p>
        </w:tc>
        <w:tc>
          <w:tcPr>
            <w:tcW w:w="994" w:type="dxa"/>
            <w:shd w:val="clear" w:color="auto" w:fill="auto"/>
            <w:noWrap/>
            <w:vAlign w:val="bottom"/>
            <w:hideMark/>
          </w:tcPr>
          <w:p w14:paraId="0B0EB69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163800</w:t>
            </w:r>
          </w:p>
        </w:tc>
        <w:tc>
          <w:tcPr>
            <w:tcW w:w="927" w:type="dxa"/>
            <w:shd w:val="clear" w:color="auto" w:fill="auto"/>
            <w:noWrap/>
            <w:vAlign w:val="bottom"/>
            <w:hideMark/>
          </w:tcPr>
          <w:p w14:paraId="4E7F32B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17.32</w:t>
            </w:r>
          </w:p>
        </w:tc>
        <w:tc>
          <w:tcPr>
            <w:tcW w:w="851" w:type="dxa"/>
            <w:shd w:val="clear" w:color="auto" w:fill="auto"/>
            <w:noWrap/>
            <w:vAlign w:val="bottom"/>
            <w:hideMark/>
          </w:tcPr>
          <w:p w14:paraId="00C9865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E33E57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0.13</w:t>
            </w:r>
          </w:p>
        </w:tc>
        <w:tc>
          <w:tcPr>
            <w:tcW w:w="851" w:type="dxa"/>
            <w:shd w:val="clear" w:color="auto" w:fill="auto"/>
            <w:noWrap/>
            <w:vAlign w:val="bottom"/>
            <w:hideMark/>
          </w:tcPr>
          <w:p w14:paraId="37F5E31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F16A44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c>
          <w:tcPr>
            <w:tcW w:w="851" w:type="dxa"/>
            <w:shd w:val="clear" w:color="auto" w:fill="auto"/>
            <w:noWrap/>
            <w:vAlign w:val="bottom"/>
            <w:hideMark/>
          </w:tcPr>
          <w:p w14:paraId="52A9225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D9748D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r>
      <w:tr w:rsidR="00AB13DC" w:rsidRPr="008A38A6" w14:paraId="0DB31D95" w14:textId="77777777" w:rsidTr="00F560C9">
        <w:trPr>
          <w:trHeight w:val="300"/>
        </w:trPr>
        <w:tc>
          <w:tcPr>
            <w:tcW w:w="960" w:type="dxa"/>
            <w:shd w:val="clear" w:color="auto" w:fill="auto"/>
            <w:noWrap/>
            <w:vAlign w:val="bottom"/>
            <w:hideMark/>
          </w:tcPr>
          <w:p w14:paraId="65CDD4C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4681DB9"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494916B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612800</w:t>
            </w:r>
          </w:p>
        </w:tc>
        <w:tc>
          <w:tcPr>
            <w:tcW w:w="994" w:type="dxa"/>
            <w:shd w:val="clear" w:color="auto" w:fill="auto"/>
            <w:noWrap/>
            <w:vAlign w:val="bottom"/>
            <w:hideMark/>
          </w:tcPr>
          <w:p w14:paraId="13F9B33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235400</w:t>
            </w:r>
          </w:p>
        </w:tc>
        <w:tc>
          <w:tcPr>
            <w:tcW w:w="927" w:type="dxa"/>
            <w:shd w:val="clear" w:color="auto" w:fill="auto"/>
            <w:noWrap/>
            <w:vAlign w:val="bottom"/>
            <w:hideMark/>
          </w:tcPr>
          <w:p w14:paraId="6D5D100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68.39</w:t>
            </w:r>
          </w:p>
        </w:tc>
        <w:tc>
          <w:tcPr>
            <w:tcW w:w="851" w:type="dxa"/>
            <w:shd w:val="clear" w:color="auto" w:fill="auto"/>
            <w:noWrap/>
            <w:vAlign w:val="bottom"/>
            <w:hideMark/>
          </w:tcPr>
          <w:p w14:paraId="263DE97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0314D5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6.17</w:t>
            </w:r>
          </w:p>
        </w:tc>
        <w:tc>
          <w:tcPr>
            <w:tcW w:w="851" w:type="dxa"/>
            <w:shd w:val="clear" w:color="auto" w:fill="auto"/>
            <w:noWrap/>
            <w:vAlign w:val="bottom"/>
            <w:hideMark/>
          </w:tcPr>
          <w:p w14:paraId="6E720DA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881A45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08A892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DBB839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08F0CAD0" w14:textId="77777777" w:rsidTr="00F560C9">
        <w:trPr>
          <w:trHeight w:val="300"/>
        </w:trPr>
        <w:tc>
          <w:tcPr>
            <w:tcW w:w="960" w:type="dxa"/>
            <w:shd w:val="clear" w:color="auto" w:fill="auto"/>
            <w:noWrap/>
            <w:vAlign w:val="bottom"/>
            <w:hideMark/>
          </w:tcPr>
          <w:p w14:paraId="2B8290A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4AF53BDA"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3D05EF7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429800</w:t>
            </w:r>
          </w:p>
        </w:tc>
        <w:tc>
          <w:tcPr>
            <w:tcW w:w="994" w:type="dxa"/>
            <w:shd w:val="clear" w:color="auto" w:fill="auto"/>
            <w:noWrap/>
            <w:vAlign w:val="bottom"/>
            <w:hideMark/>
          </w:tcPr>
          <w:p w14:paraId="27C076D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546700</w:t>
            </w:r>
          </w:p>
        </w:tc>
        <w:tc>
          <w:tcPr>
            <w:tcW w:w="927" w:type="dxa"/>
            <w:shd w:val="clear" w:color="auto" w:fill="auto"/>
            <w:noWrap/>
            <w:vAlign w:val="bottom"/>
            <w:hideMark/>
          </w:tcPr>
          <w:p w14:paraId="1D9B919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59.07</w:t>
            </w:r>
          </w:p>
        </w:tc>
        <w:tc>
          <w:tcPr>
            <w:tcW w:w="851" w:type="dxa"/>
            <w:shd w:val="clear" w:color="auto" w:fill="auto"/>
            <w:noWrap/>
            <w:vAlign w:val="bottom"/>
            <w:hideMark/>
          </w:tcPr>
          <w:p w14:paraId="742DEB6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4.87</w:t>
            </w:r>
          </w:p>
        </w:tc>
        <w:tc>
          <w:tcPr>
            <w:tcW w:w="850" w:type="dxa"/>
            <w:shd w:val="clear" w:color="auto" w:fill="auto"/>
            <w:noWrap/>
            <w:vAlign w:val="bottom"/>
            <w:hideMark/>
          </w:tcPr>
          <w:p w14:paraId="20ACD78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10.50</w:t>
            </w:r>
          </w:p>
        </w:tc>
        <w:tc>
          <w:tcPr>
            <w:tcW w:w="851" w:type="dxa"/>
            <w:shd w:val="clear" w:color="auto" w:fill="auto"/>
            <w:noWrap/>
            <w:vAlign w:val="bottom"/>
            <w:hideMark/>
          </w:tcPr>
          <w:p w14:paraId="21D58C3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870237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210C989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B47B4D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B22303" w14:paraId="4A8037A4" w14:textId="77777777" w:rsidTr="00F560C9">
        <w:trPr>
          <w:trHeight w:val="300"/>
        </w:trPr>
        <w:tc>
          <w:tcPr>
            <w:tcW w:w="960" w:type="dxa"/>
            <w:shd w:val="clear" w:color="auto" w:fill="auto"/>
            <w:noWrap/>
            <w:vAlign w:val="bottom"/>
            <w:hideMark/>
          </w:tcPr>
          <w:p w14:paraId="18A13E0B" w14:textId="77777777" w:rsidR="00AB13DC" w:rsidRPr="00A4029F" w:rsidRDefault="00AB13DC" w:rsidP="00AB13DC">
            <w:pPr>
              <w:jc w:val="right"/>
              <w:rPr>
                <w:rFonts w:ascii="Calibri" w:eastAsia="Times New Roman" w:hAnsi="Calibri"/>
                <w:lang w:val="en-GB" w:eastAsia="en-GB"/>
              </w:rPr>
            </w:pPr>
            <w:r w:rsidRPr="00A4029F">
              <w:rPr>
                <w:rFonts w:ascii="Calibri" w:eastAsia="Times New Roman" w:hAnsi="Calibri"/>
                <w:lang w:val="en-GB" w:eastAsia="en-GB"/>
              </w:rPr>
              <w:t>2015</w:t>
            </w:r>
          </w:p>
        </w:tc>
        <w:tc>
          <w:tcPr>
            <w:tcW w:w="794" w:type="dxa"/>
            <w:shd w:val="clear" w:color="auto" w:fill="auto"/>
            <w:noWrap/>
            <w:hideMark/>
          </w:tcPr>
          <w:p w14:paraId="7CD5F379" w14:textId="77777777" w:rsidR="00AB13DC" w:rsidRPr="00A4029F" w:rsidRDefault="00AB13DC" w:rsidP="00AB13DC">
            <w:r w:rsidRPr="00A4029F">
              <w:rPr>
                <w:rFonts w:ascii="Calibri" w:eastAsia="Times New Roman" w:hAnsi="Calibri"/>
                <w:lang w:val="en-GB" w:eastAsia="en-GB"/>
              </w:rPr>
              <w:t>Aug.</w:t>
            </w:r>
          </w:p>
        </w:tc>
        <w:tc>
          <w:tcPr>
            <w:tcW w:w="861" w:type="dxa"/>
            <w:shd w:val="clear" w:color="auto" w:fill="auto"/>
            <w:noWrap/>
            <w:vAlign w:val="bottom"/>
            <w:hideMark/>
          </w:tcPr>
          <w:p w14:paraId="36EA741A" w14:textId="77777777" w:rsidR="00AB13DC" w:rsidRPr="00A4029F" w:rsidRDefault="00AB13DC" w:rsidP="00AB13DC">
            <w:pPr>
              <w:jc w:val="right"/>
              <w:rPr>
                <w:rFonts w:ascii="Calibri" w:eastAsia="Times New Roman" w:hAnsi="Calibri"/>
                <w:lang w:val="en-GB" w:eastAsia="en-GB"/>
              </w:rPr>
            </w:pPr>
            <w:r w:rsidRPr="00A4029F">
              <w:rPr>
                <w:rFonts w:ascii="Calibri" w:eastAsia="Times New Roman" w:hAnsi="Calibri"/>
                <w:lang w:val="en-GB" w:eastAsia="en-GB"/>
              </w:rPr>
              <w:t>241500</w:t>
            </w:r>
          </w:p>
        </w:tc>
        <w:tc>
          <w:tcPr>
            <w:tcW w:w="994" w:type="dxa"/>
            <w:shd w:val="clear" w:color="auto" w:fill="auto"/>
            <w:noWrap/>
            <w:vAlign w:val="bottom"/>
            <w:hideMark/>
          </w:tcPr>
          <w:p w14:paraId="5B74C8C2" w14:textId="77777777" w:rsidR="00AB13DC" w:rsidRPr="00A4029F" w:rsidRDefault="00AB13DC" w:rsidP="00AB13DC">
            <w:pPr>
              <w:jc w:val="right"/>
              <w:rPr>
                <w:rFonts w:ascii="Calibri" w:eastAsia="Times New Roman" w:hAnsi="Calibri"/>
                <w:lang w:val="en-GB" w:eastAsia="en-GB"/>
              </w:rPr>
            </w:pPr>
            <w:r w:rsidRPr="00A4029F">
              <w:rPr>
                <w:rFonts w:ascii="Calibri" w:eastAsia="Times New Roman" w:hAnsi="Calibri"/>
                <w:lang w:val="en-GB" w:eastAsia="en-GB"/>
              </w:rPr>
              <w:t>663800</w:t>
            </w:r>
          </w:p>
        </w:tc>
        <w:tc>
          <w:tcPr>
            <w:tcW w:w="927" w:type="dxa"/>
            <w:shd w:val="clear" w:color="auto" w:fill="auto"/>
            <w:noWrap/>
            <w:vAlign w:val="bottom"/>
            <w:hideMark/>
          </w:tcPr>
          <w:p w14:paraId="2A46A6F9" w14:textId="77777777" w:rsidR="00AB13DC" w:rsidRPr="00A4029F" w:rsidRDefault="00AB13DC" w:rsidP="00AB13DC">
            <w:pPr>
              <w:jc w:val="right"/>
              <w:rPr>
                <w:rFonts w:ascii="Calibri" w:eastAsia="Times New Roman" w:hAnsi="Calibri"/>
                <w:lang w:val="en-GB" w:eastAsia="en-GB"/>
              </w:rPr>
            </w:pPr>
            <w:r w:rsidRPr="00A4029F">
              <w:rPr>
                <w:rFonts w:ascii="Calibri" w:eastAsia="Times New Roman" w:hAnsi="Calibri"/>
                <w:lang w:val="en-GB" w:eastAsia="en-GB"/>
              </w:rPr>
              <w:t>36.28</w:t>
            </w:r>
          </w:p>
        </w:tc>
        <w:tc>
          <w:tcPr>
            <w:tcW w:w="851" w:type="dxa"/>
            <w:shd w:val="clear" w:color="auto" w:fill="auto"/>
            <w:noWrap/>
            <w:vAlign w:val="bottom"/>
            <w:hideMark/>
          </w:tcPr>
          <w:p w14:paraId="738078E5" w14:textId="77777777" w:rsidR="00AB13DC" w:rsidRPr="00A4029F" w:rsidRDefault="00AB13DC" w:rsidP="00AB13DC">
            <w:pPr>
              <w:jc w:val="right"/>
              <w:rPr>
                <w:rFonts w:ascii="Calibri" w:eastAsia="Times New Roman" w:hAnsi="Calibri"/>
                <w:lang w:val="en-GB" w:eastAsia="en-GB"/>
              </w:rPr>
            </w:pPr>
            <w:r w:rsidRPr="00A4029F">
              <w:rPr>
                <w:rFonts w:ascii="Calibri" w:eastAsia="Times New Roman" w:hAnsi="Calibri"/>
                <w:lang w:val="en-GB" w:eastAsia="en-GB"/>
              </w:rPr>
              <w:t>0.00</w:t>
            </w:r>
          </w:p>
        </w:tc>
        <w:tc>
          <w:tcPr>
            <w:tcW w:w="850" w:type="dxa"/>
            <w:shd w:val="clear" w:color="auto" w:fill="auto"/>
            <w:noWrap/>
            <w:vAlign w:val="bottom"/>
            <w:hideMark/>
          </w:tcPr>
          <w:p w14:paraId="22AACC40" w14:textId="77777777" w:rsidR="00AB13DC" w:rsidRPr="00A4029F" w:rsidRDefault="00AB13DC" w:rsidP="00AB13DC">
            <w:pPr>
              <w:jc w:val="right"/>
              <w:rPr>
                <w:rFonts w:ascii="Calibri" w:eastAsia="Times New Roman" w:hAnsi="Calibri"/>
                <w:lang w:val="en-GB" w:eastAsia="en-GB"/>
              </w:rPr>
            </w:pPr>
            <w:r w:rsidRPr="00A4029F">
              <w:rPr>
                <w:rFonts w:ascii="Calibri" w:eastAsia="Times New Roman" w:hAnsi="Calibri"/>
                <w:lang w:val="en-GB" w:eastAsia="en-GB"/>
              </w:rPr>
              <w:t>1.50</w:t>
            </w:r>
          </w:p>
        </w:tc>
        <w:tc>
          <w:tcPr>
            <w:tcW w:w="851" w:type="dxa"/>
            <w:shd w:val="clear" w:color="auto" w:fill="auto"/>
            <w:noWrap/>
            <w:vAlign w:val="bottom"/>
            <w:hideMark/>
          </w:tcPr>
          <w:p w14:paraId="0D6A6BD3" w14:textId="77777777" w:rsidR="00AB13DC" w:rsidRPr="00A4029F" w:rsidRDefault="00AB13DC" w:rsidP="00AB13DC">
            <w:pPr>
              <w:jc w:val="right"/>
              <w:rPr>
                <w:rFonts w:ascii="Calibri" w:eastAsia="Times New Roman" w:hAnsi="Calibri"/>
                <w:lang w:val="en-GB" w:eastAsia="en-GB"/>
              </w:rPr>
            </w:pPr>
            <w:r w:rsidRPr="00A4029F">
              <w:rPr>
                <w:rFonts w:ascii="Calibri" w:eastAsia="Times New Roman" w:hAnsi="Calibri"/>
                <w:lang w:val="en-GB" w:eastAsia="en-GB"/>
              </w:rPr>
              <w:t>0.00</w:t>
            </w:r>
          </w:p>
        </w:tc>
        <w:tc>
          <w:tcPr>
            <w:tcW w:w="850" w:type="dxa"/>
            <w:shd w:val="clear" w:color="auto" w:fill="auto"/>
            <w:noWrap/>
            <w:vAlign w:val="bottom"/>
            <w:hideMark/>
          </w:tcPr>
          <w:p w14:paraId="46B73673" w14:textId="77777777" w:rsidR="00AB13DC" w:rsidRPr="00A4029F" w:rsidRDefault="00AB13DC" w:rsidP="00AB13DC">
            <w:pPr>
              <w:jc w:val="right"/>
              <w:rPr>
                <w:rFonts w:ascii="Calibri" w:eastAsia="Times New Roman" w:hAnsi="Calibri"/>
                <w:lang w:val="en-GB" w:eastAsia="en-GB"/>
              </w:rPr>
            </w:pPr>
            <w:r w:rsidRPr="00A4029F">
              <w:rPr>
                <w:rFonts w:ascii="Calibri" w:eastAsia="Times New Roman" w:hAnsi="Calibri"/>
                <w:lang w:val="en-GB" w:eastAsia="en-GB"/>
              </w:rPr>
              <w:t>0.00</w:t>
            </w:r>
          </w:p>
        </w:tc>
        <w:tc>
          <w:tcPr>
            <w:tcW w:w="851" w:type="dxa"/>
            <w:shd w:val="clear" w:color="auto" w:fill="auto"/>
            <w:noWrap/>
            <w:vAlign w:val="bottom"/>
            <w:hideMark/>
          </w:tcPr>
          <w:p w14:paraId="7DB0A779" w14:textId="77777777" w:rsidR="00AB13DC" w:rsidRPr="00A4029F" w:rsidRDefault="00AB13DC" w:rsidP="00AB13DC">
            <w:pPr>
              <w:jc w:val="right"/>
              <w:rPr>
                <w:rFonts w:ascii="Calibri" w:eastAsia="Times New Roman" w:hAnsi="Calibri"/>
                <w:lang w:val="en-GB" w:eastAsia="en-GB"/>
              </w:rPr>
            </w:pPr>
            <w:r w:rsidRPr="00A4029F">
              <w:rPr>
                <w:rFonts w:ascii="Calibri" w:eastAsia="Times New Roman" w:hAnsi="Calibri"/>
                <w:lang w:val="en-GB" w:eastAsia="en-GB"/>
              </w:rPr>
              <w:t>0.00</w:t>
            </w:r>
          </w:p>
        </w:tc>
        <w:tc>
          <w:tcPr>
            <w:tcW w:w="850" w:type="dxa"/>
            <w:shd w:val="clear" w:color="auto" w:fill="auto"/>
            <w:noWrap/>
            <w:vAlign w:val="bottom"/>
            <w:hideMark/>
          </w:tcPr>
          <w:p w14:paraId="7D15DB05" w14:textId="77777777" w:rsidR="00AB13DC" w:rsidRPr="00A4029F" w:rsidRDefault="00AB13DC" w:rsidP="00AB13DC">
            <w:pPr>
              <w:jc w:val="right"/>
              <w:rPr>
                <w:rFonts w:ascii="Calibri" w:eastAsia="Times New Roman" w:hAnsi="Calibri"/>
                <w:lang w:val="en-GB" w:eastAsia="en-GB"/>
              </w:rPr>
            </w:pPr>
            <w:r w:rsidRPr="00A4029F">
              <w:rPr>
                <w:rFonts w:ascii="Calibri" w:eastAsia="Times New Roman" w:hAnsi="Calibri"/>
                <w:lang w:val="en-GB" w:eastAsia="en-GB"/>
              </w:rPr>
              <w:t>0.00</w:t>
            </w:r>
          </w:p>
        </w:tc>
      </w:tr>
      <w:tr w:rsidR="00AB13DC" w:rsidRPr="008A38A6" w14:paraId="2B33A1A6" w14:textId="77777777" w:rsidTr="00F560C9">
        <w:trPr>
          <w:trHeight w:val="300"/>
        </w:trPr>
        <w:tc>
          <w:tcPr>
            <w:tcW w:w="960" w:type="dxa"/>
            <w:shd w:val="clear" w:color="auto" w:fill="auto"/>
            <w:noWrap/>
            <w:vAlign w:val="bottom"/>
            <w:hideMark/>
          </w:tcPr>
          <w:p w14:paraId="734EDDF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33A7210E"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2DABF08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405300</w:t>
            </w:r>
          </w:p>
        </w:tc>
        <w:tc>
          <w:tcPr>
            <w:tcW w:w="994" w:type="dxa"/>
            <w:shd w:val="clear" w:color="auto" w:fill="auto"/>
            <w:noWrap/>
            <w:vAlign w:val="bottom"/>
            <w:hideMark/>
          </w:tcPr>
          <w:p w14:paraId="383727B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245000</w:t>
            </w:r>
          </w:p>
        </w:tc>
        <w:tc>
          <w:tcPr>
            <w:tcW w:w="927" w:type="dxa"/>
            <w:shd w:val="clear" w:color="auto" w:fill="auto"/>
            <w:noWrap/>
            <w:vAlign w:val="bottom"/>
            <w:hideMark/>
          </w:tcPr>
          <w:p w14:paraId="36FC361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46.11</w:t>
            </w:r>
          </w:p>
        </w:tc>
        <w:tc>
          <w:tcPr>
            <w:tcW w:w="851" w:type="dxa"/>
            <w:shd w:val="clear" w:color="auto" w:fill="auto"/>
            <w:noWrap/>
            <w:vAlign w:val="bottom"/>
            <w:hideMark/>
          </w:tcPr>
          <w:p w14:paraId="04B394D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862452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5.21</w:t>
            </w:r>
          </w:p>
        </w:tc>
        <w:tc>
          <w:tcPr>
            <w:tcW w:w="851" w:type="dxa"/>
            <w:shd w:val="clear" w:color="auto" w:fill="auto"/>
            <w:noWrap/>
            <w:vAlign w:val="bottom"/>
            <w:hideMark/>
          </w:tcPr>
          <w:p w14:paraId="6D0336A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F5507C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6C18260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578828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78724FF" w14:textId="77777777" w:rsidTr="00F560C9">
        <w:trPr>
          <w:trHeight w:val="300"/>
        </w:trPr>
        <w:tc>
          <w:tcPr>
            <w:tcW w:w="960" w:type="dxa"/>
            <w:shd w:val="clear" w:color="auto" w:fill="auto"/>
            <w:noWrap/>
            <w:vAlign w:val="bottom"/>
            <w:hideMark/>
          </w:tcPr>
          <w:p w14:paraId="76CD30D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38D7E2FA"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4D2B6B4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489100</w:t>
            </w:r>
          </w:p>
        </w:tc>
        <w:tc>
          <w:tcPr>
            <w:tcW w:w="994" w:type="dxa"/>
            <w:shd w:val="clear" w:color="auto" w:fill="auto"/>
            <w:noWrap/>
            <w:vAlign w:val="bottom"/>
            <w:hideMark/>
          </w:tcPr>
          <w:p w14:paraId="15BEA60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144600</w:t>
            </w:r>
          </w:p>
        </w:tc>
        <w:tc>
          <w:tcPr>
            <w:tcW w:w="927" w:type="dxa"/>
            <w:shd w:val="clear" w:color="auto" w:fill="auto"/>
            <w:noWrap/>
            <w:vAlign w:val="bottom"/>
            <w:hideMark/>
          </w:tcPr>
          <w:p w14:paraId="4DF45FB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15.55</w:t>
            </w:r>
          </w:p>
        </w:tc>
        <w:tc>
          <w:tcPr>
            <w:tcW w:w="851" w:type="dxa"/>
            <w:shd w:val="clear" w:color="auto" w:fill="auto"/>
            <w:noWrap/>
            <w:vAlign w:val="bottom"/>
            <w:hideMark/>
          </w:tcPr>
          <w:p w14:paraId="3307DA8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F571C9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BF1E6B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A2CC3F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0.58</w:t>
            </w:r>
          </w:p>
        </w:tc>
        <w:tc>
          <w:tcPr>
            <w:tcW w:w="851" w:type="dxa"/>
            <w:shd w:val="clear" w:color="auto" w:fill="auto"/>
            <w:noWrap/>
            <w:vAlign w:val="bottom"/>
            <w:hideMark/>
          </w:tcPr>
          <w:p w14:paraId="52677BA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6FF9F1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0.58</w:t>
            </w:r>
          </w:p>
        </w:tc>
      </w:tr>
      <w:tr w:rsidR="00AB13DC" w:rsidRPr="008A38A6" w14:paraId="04241291" w14:textId="77777777" w:rsidTr="00F560C9">
        <w:trPr>
          <w:trHeight w:val="300"/>
        </w:trPr>
        <w:tc>
          <w:tcPr>
            <w:tcW w:w="960" w:type="dxa"/>
            <w:shd w:val="clear" w:color="auto" w:fill="auto"/>
            <w:noWrap/>
            <w:vAlign w:val="bottom"/>
            <w:hideMark/>
          </w:tcPr>
          <w:p w14:paraId="16A33D3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0F6FC365"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4DA7A27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324800</w:t>
            </w:r>
          </w:p>
        </w:tc>
        <w:tc>
          <w:tcPr>
            <w:tcW w:w="994" w:type="dxa"/>
            <w:shd w:val="clear" w:color="auto" w:fill="auto"/>
            <w:noWrap/>
            <w:vAlign w:val="bottom"/>
            <w:hideMark/>
          </w:tcPr>
          <w:p w14:paraId="33100EC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671800</w:t>
            </w:r>
          </w:p>
        </w:tc>
        <w:tc>
          <w:tcPr>
            <w:tcW w:w="927" w:type="dxa"/>
            <w:shd w:val="clear" w:color="auto" w:fill="auto"/>
            <w:noWrap/>
            <w:vAlign w:val="bottom"/>
            <w:hideMark/>
          </w:tcPr>
          <w:p w14:paraId="0A141C4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8.45</w:t>
            </w:r>
          </w:p>
        </w:tc>
        <w:tc>
          <w:tcPr>
            <w:tcW w:w="851" w:type="dxa"/>
            <w:shd w:val="clear" w:color="auto" w:fill="auto"/>
            <w:noWrap/>
            <w:vAlign w:val="bottom"/>
            <w:hideMark/>
          </w:tcPr>
          <w:p w14:paraId="408D687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BECAE0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1DD7A3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8A58B5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01E00EE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BA9977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6CF5A9E9" w14:textId="77777777" w:rsidTr="00F560C9">
        <w:trPr>
          <w:trHeight w:val="300"/>
        </w:trPr>
        <w:tc>
          <w:tcPr>
            <w:tcW w:w="960" w:type="dxa"/>
            <w:shd w:val="clear" w:color="auto" w:fill="auto"/>
            <w:noWrap/>
            <w:vAlign w:val="bottom"/>
            <w:hideMark/>
          </w:tcPr>
          <w:p w14:paraId="76E8EB7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609E9BB6"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3FC879B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306000</w:t>
            </w:r>
          </w:p>
        </w:tc>
        <w:tc>
          <w:tcPr>
            <w:tcW w:w="994" w:type="dxa"/>
            <w:shd w:val="clear" w:color="auto" w:fill="auto"/>
            <w:noWrap/>
            <w:vAlign w:val="bottom"/>
            <w:hideMark/>
          </w:tcPr>
          <w:p w14:paraId="08F36C0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529600</w:t>
            </w:r>
          </w:p>
        </w:tc>
        <w:tc>
          <w:tcPr>
            <w:tcW w:w="927" w:type="dxa"/>
            <w:shd w:val="clear" w:color="auto" w:fill="auto"/>
            <w:noWrap/>
            <w:vAlign w:val="bottom"/>
            <w:hideMark/>
          </w:tcPr>
          <w:p w14:paraId="7D851C7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59.25</w:t>
            </w:r>
          </w:p>
        </w:tc>
        <w:tc>
          <w:tcPr>
            <w:tcW w:w="851" w:type="dxa"/>
            <w:shd w:val="clear" w:color="auto" w:fill="auto"/>
            <w:noWrap/>
            <w:vAlign w:val="bottom"/>
            <w:hideMark/>
          </w:tcPr>
          <w:p w14:paraId="76A2EB9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0.93</w:t>
            </w:r>
          </w:p>
        </w:tc>
        <w:tc>
          <w:tcPr>
            <w:tcW w:w="850" w:type="dxa"/>
            <w:shd w:val="clear" w:color="auto" w:fill="auto"/>
            <w:noWrap/>
            <w:vAlign w:val="bottom"/>
            <w:hideMark/>
          </w:tcPr>
          <w:p w14:paraId="63349CD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6.32</w:t>
            </w:r>
          </w:p>
        </w:tc>
        <w:tc>
          <w:tcPr>
            <w:tcW w:w="851" w:type="dxa"/>
            <w:shd w:val="clear" w:color="auto" w:fill="auto"/>
            <w:noWrap/>
            <w:vAlign w:val="bottom"/>
            <w:hideMark/>
          </w:tcPr>
          <w:p w14:paraId="74723C6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D84E44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4E36917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E77975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013604B9" w14:textId="77777777" w:rsidTr="00F560C9">
        <w:trPr>
          <w:trHeight w:val="300"/>
        </w:trPr>
        <w:tc>
          <w:tcPr>
            <w:tcW w:w="960" w:type="dxa"/>
            <w:shd w:val="clear" w:color="auto" w:fill="auto"/>
            <w:noWrap/>
            <w:vAlign w:val="bottom"/>
            <w:hideMark/>
          </w:tcPr>
          <w:p w14:paraId="2784508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1A11E858"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3C0B2C4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484600</w:t>
            </w:r>
          </w:p>
        </w:tc>
        <w:tc>
          <w:tcPr>
            <w:tcW w:w="994" w:type="dxa"/>
            <w:shd w:val="clear" w:color="auto" w:fill="auto"/>
            <w:noWrap/>
            <w:vAlign w:val="bottom"/>
            <w:hideMark/>
          </w:tcPr>
          <w:p w14:paraId="13AE24A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145700</w:t>
            </w:r>
          </w:p>
        </w:tc>
        <w:tc>
          <w:tcPr>
            <w:tcW w:w="927" w:type="dxa"/>
            <w:shd w:val="clear" w:color="auto" w:fill="auto"/>
            <w:noWrap/>
            <w:vAlign w:val="bottom"/>
            <w:hideMark/>
          </w:tcPr>
          <w:p w14:paraId="1AC1602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15.05</w:t>
            </w:r>
          </w:p>
        </w:tc>
        <w:tc>
          <w:tcPr>
            <w:tcW w:w="851" w:type="dxa"/>
            <w:shd w:val="clear" w:color="auto" w:fill="auto"/>
            <w:noWrap/>
            <w:vAlign w:val="bottom"/>
            <w:hideMark/>
          </w:tcPr>
          <w:p w14:paraId="0793971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416E5D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3D7BC58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055281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6DEF59E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25926E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F49C4B4" w14:textId="77777777" w:rsidTr="00F560C9">
        <w:trPr>
          <w:trHeight w:val="300"/>
        </w:trPr>
        <w:tc>
          <w:tcPr>
            <w:tcW w:w="960" w:type="dxa"/>
            <w:shd w:val="clear" w:color="auto" w:fill="auto"/>
            <w:noWrap/>
            <w:vAlign w:val="bottom"/>
            <w:hideMark/>
          </w:tcPr>
          <w:p w14:paraId="105FE56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49F08319"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2AE243E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463600</w:t>
            </w:r>
          </w:p>
        </w:tc>
        <w:tc>
          <w:tcPr>
            <w:tcW w:w="994" w:type="dxa"/>
            <w:shd w:val="clear" w:color="auto" w:fill="auto"/>
            <w:noWrap/>
            <w:vAlign w:val="bottom"/>
            <w:hideMark/>
          </w:tcPr>
          <w:p w14:paraId="45534FE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176400</w:t>
            </w:r>
          </w:p>
        </w:tc>
        <w:tc>
          <w:tcPr>
            <w:tcW w:w="927" w:type="dxa"/>
            <w:shd w:val="clear" w:color="auto" w:fill="auto"/>
            <w:noWrap/>
            <w:vAlign w:val="bottom"/>
            <w:hideMark/>
          </w:tcPr>
          <w:p w14:paraId="282D351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48.60</w:t>
            </w:r>
          </w:p>
        </w:tc>
        <w:tc>
          <w:tcPr>
            <w:tcW w:w="851" w:type="dxa"/>
            <w:shd w:val="clear" w:color="auto" w:fill="auto"/>
            <w:noWrap/>
            <w:vAlign w:val="bottom"/>
            <w:hideMark/>
          </w:tcPr>
          <w:p w14:paraId="695AD44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1.55</w:t>
            </w:r>
          </w:p>
        </w:tc>
        <w:tc>
          <w:tcPr>
            <w:tcW w:w="850" w:type="dxa"/>
            <w:shd w:val="clear" w:color="auto" w:fill="auto"/>
            <w:noWrap/>
            <w:vAlign w:val="bottom"/>
            <w:hideMark/>
          </w:tcPr>
          <w:p w14:paraId="5C8F6E1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8.76</w:t>
            </w:r>
          </w:p>
        </w:tc>
        <w:tc>
          <w:tcPr>
            <w:tcW w:w="851" w:type="dxa"/>
            <w:shd w:val="clear" w:color="auto" w:fill="auto"/>
            <w:noWrap/>
            <w:vAlign w:val="bottom"/>
            <w:hideMark/>
          </w:tcPr>
          <w:p w14:paraId="057FDD6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55C5E0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38F13B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2F36A8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3CC18E48" w14:textId="77777777" w:rsidTr="00F560C9">
        <w:trPr>
          <w:trHeight w:val="300"/>
        </w:trPr>
        <w:tc>
          <w:tcPr>
            <w:tcW w:w="960" w:type="dxa"/>
            <w:shd w:val="clear" w:color="auto" w:fill="auto"/>
            <w:noWrap/>
            <w:vAlign w:val="bottom"/>
            <w:hideMark/>
          </w:tcPr>
          <w:p w14:paraId="4C0C38A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0BE75ED4"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462DA8E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482800</w:t>
            </w:r>
          </w:p>
        </w:tc>
        <w:tc>
          <w:tcPr>
            <w:tcW w:w="994" w:type="dxa"/>
            <w:shd w:val="clear" w:color="auto" w:fill="auto"/>
            <w:noWrap/>
            <w:vAlign w:val="bottom"/>
            <w:hideMark/>
          </w:tcPr>
          <w:p w14:paraId="60B5A77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149000</w:t>
            </w:r>
          </w:p>
        </w:tc>
        <w:tc>
          <w:tcPr>
            <w:tcW w:w="927" w:type="dxa"/>
            <w:shd w:val="clear" w:color="auto" w:fill="auto"/>
            <w:noWrap/>
            <w:vAlign w:val="bottom"/>
            <w:hideMark/>
          </w:tcPr>
          <w:p w14:paraId="33E6829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30.13</w:t>
            </w:r>
          </w:p>
        </w:tc>
        <w:tc>
          <w:tcPr>
            <w:tcW w:w="851" w:type="dxa"/>
            <w:shd w:val="clear" w:color="auto" w:fill="auto"/>
            <w:noWrap/>
            <w:vAlign w:val="bottom"/>
            <w:hideMark/>
          </w:tcPr>
          <w:p w14:paraId="2D2D503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E6C55D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4.72</w:t>
            </w:r>
          </w:p>
        </w:tc>
        <w:tc>
          <w:tcPr>
            <w:tcW w:w="851" w:type="dxa"/>
            <w:shd w:val="clear" w:color="auto" w:fill="auto"/>
            <w:noWrap/>
            <w:vAlign w:val="bottom"/>
            <w:hideMark/>
          </w:tcPr>
          <w:p w14:paraId="5D268BA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AC8380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E19F40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4B4879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3E427B9E" w14:textId="77777777" w:rsidTr="00F560C9">
        <w:trPr>
          <w:trHeight w:val="300"/>
        </w:trPr>
        <w:tc>
          <w:tcPr>
            <w:tcW w:w="960" w:type="dxa"/>
            <w:shd w:val="clear" w:color="auto" w:fill="auto"/>
            <w:noWrap/>
            <w:vAlign w:val="bottom"/>
            <w:hideMark/>
          </w:tcPr>
          <w:p w14:paraId="687C3A5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00D81CAB"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7DD06A8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498600</w:t>
            </w:r>
          </w:p>
        </w:tc>
        <w:tc>
          <w:tcPr>
            <w:tcW w:w="994" w:type="dxa"/>
            <w:shd w:val="clear" w:color="auto" w:fill="auto"/>
            <w:noWrap/>
            <w:vAlign w:val="bottom"/>
            <w:hideMark/>
          </w:tcPr>
          <w:p w14:paraId="3F94269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126400</w:t>
            </w:r>
          </w:p>
        </w:tc>
        <w:tc>
          <w:tcPr>
            <w:tcW w:w="927" w:type="dxa"/>
            <w:shd w:val="clear" w:color="auto" w:fill="auto"/>
            <w:noWrap/>
            <w:vAlign w:val="bottom"/>
            <w:hideMark/>
          </w:tcPr>
          <w:p w14:paraId="3199815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52.94</w:t>
            </w:r>
          </w:p>
        </w:tc>
        <w:tc>
          <w:tcPr>
            <w:tcW w:w="851" w:type="dxa"/>
            <w:shd w:val="clear" w:color="auto" w:fill="auto"/>
            <w:noWrap/>
            <w:vAlign w:val="bottom"/>
            <w:hideMark/>
          </w:tcPr>
          <w:p w14:paraId="6903C49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6.13</w:t>
            </w:r>
          </w:p>
        </w:tc>
        <w:tc>
          <w:tcPr>
            <w:tcW w:w="850" w:type="dxa"/>
            <w:shd w:val="clear" w:color="auto" w:fill="auto"/>
            <w:noWrap/>
            <w:vAlign w:val="bottom"/>
            <w:hideMark/>
          </w:tcPr>
          <w:p w14:paraId="5098BFF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12.08</w:t>
            </w:r>
          </w:p>
        </w:tc>
        <w:tc>
          <w:tcPr>
            <w:tcW w:w="851" w:type="dxa"/>
            <w:shd w:val="clear" w:color="auto" w:fill="auto"/>
            <w:noWrap/>
            <w:vAlign w:val="bottom"/>
            <w:hideMark/>
          </w:tcPr>
          <w:p w14:paraId="0F09905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CF448F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42A08F1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49D368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283807EE" w14:textId="77777777" w:rsidTr="00F560C9">
        <w:trPr>
          <w:trHeight w:val="300"/>
        </w:trPr>
        <w:tc>
          <w:tcPr>
            <w:tcW w:w="960" w:type="dxa"/>
            <w:shd w:val="clear" w:color="auto" w:fill="auto"/>
            <w:noWrap/>
            <w:vAlign w:val="bottom"/>
            <w:hideMark/>
          </w:tcPr>
          <w:p w14:paraId="178D1F5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1BF6FB69"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6D17993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491600</w:t>
            </w:r>
          </w:p>
        </w:tc>
        <w:tc>
          <w:tcPr>
            <w:tcW w:w="994" w:type="dxa"/>
            <w:shd w:val="clear" w:color="auto" w:fill="auto"/>
            <w:noWrap/>
            <w:vAlign w:val="bottom"/>
            <w:hideMark/>
          </w:tcPr>
          <w:p w14:paraId="3D5E14B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144500</w:t>
            </w:r>
          </w:p>
        </w:tc>
        <w:tc>
          <w:tcPr>
            <w:tcW w:w="927" w:type="dxa"/>
            <w:shd w:val="clear" w:color="auto" w:fill="auto"/>
            <w:noWrap/>
            <w:vAlign w:val="bottom"/>
            <w:hideMark/>
          </w:tcPr>
          <w:p w14:paraId="5D4EB2B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33.67</w:t>
            </w:r>
          </w:p>
        </w:tc>
        <w:tc>
          <w:tcPr>
            <w:tcW w:w="851" w:type="dxa"/>
            <w:shd w:val="clear" w:color="auto" w:fill="auto"/>
            <w:noWrap/>
            <w:vAlign w:val="bottom"/>
            <w:hideMark/>
          </w:tcPr>
          <w:p w14:paraId="2F2BBDD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C1F08B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1.28</w:t>
            </w:r>
          </w:p>
        </w:tc>
        <w:tc>
          <w:tcPr>
            <w:tcW w:w="851" w:type="dxa"/>
            <w:shd w:val="clear" w:color="auto" w:fill="auto"/>
            <w:noWrap/>
            <w:vAlign w:val="bottom"/>
            <w:hideMark/>
          </w:tcPr>
          <w:p w14:paraId="0D9E615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0.69</w:t>
            </w:r>
          </w:p>
        </w:tc>
        <w:tc>
          <w:tcPr>
            <w:tcW w:w="850" w:type="dxa"/>
            <w:shd w:val="clear" w:color="auto" w:fill="auto"/>
            <w:noWrap/>
            <w:vAlign w:val="bottom"/>
            <w:hideMark/>
          </w:tcPr>
          <w:p w14:paraId="1009596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1B724C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A0B8D4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0.69</w:t>
            </w:r>
          </w:p>
        </w:tc>
      </w:tr>
      <w:tr w:rsidR="00AB13DC" w:rsidRPr="008A38A6" w14:paraId="29842E47" w14:textId="77777777" w:rsidTr="00F560C9">
        <w:trPr>
          <w:trHeight w:val="300"/>
        </w:trPr>
        <w:tc>
          <w:tcPr>
            <w:tcW w:w="960" w:type="dxa"/>
            <w:shd w:val="clear" w:color="auto" w:fill="auto"/>
            <w:noWrap/>
            <w:vAlign w:val="bottom"/>
            <w:hideMark/>
          </w:tcPr>
          <w:p w14:paraId="08950A3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58B55770"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3FE848C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607400</w:t>
            </w:r>
          </w:p>
        </w:tc>
        <w:tc>
          <w:tcPr>
            <w:tcW w:w="994" w:type="dxa"/>
            <w:shd w:val="clear" w:color="auto" w:fill="auto"/>
            <w:noWrap/>
            <w:vAlign w:val="bottom"/>
            <w:hideMark/>
          </w:tcPr>
          <w:p w14:paraId="4D3C625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230800</w:t>
            </w:r>
          </w:p>
        </w:tc>
        <w:tc>
          <w:tcPr>
            <w:tcW w:w="927" w:type="dxa"/>
            <w:shd w:val="clear" w:color="auto" w:fill="auto"/>
            <w:noWrap/>
            <w:vAlign w:val="bottom"/>
            <w:hideMark/>
          </w:tcPr>
          <w:p w14:paraId="2094927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62.06</w:t>
            </w:r>
          </w:p>
        </w:tc>
        <w:tc>
          <w:tcPr>
            <w:tcW w:w="851" w:type="dxa"/>
            <w:shd w:val="clear" w:color="auto" w:fill="auto"/>
            <w:noWrap/>
            <w:vAlign w:val="bottom"/>
            <w:hideMark/>
          </w:tcPr>
          <w:p w14:paraId="7EC3E5A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2.10</w:t>
            </w:r>
          </w:p>
        </w:tc>
        <w:tc>
          <w:tcPr>
            <w:tcW w:w="850" w:type="dxa"/>
            <w:shd w:val="clear" w:color="auto" w:fill="auto"/>
            <w:noWrap/>
            <w:vAlign w:val="bottom"/>
            <w:hideMark/>
          </w:tcPr>
          <w:p w14:paraId="3C4E0C4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7.63</w:t>
            </w:r>
          </w:p>
        </w:tc>
        <w:tc>
          <w:tcPr>
            <w:tcW w:w="851" w:type="dxa"/>
            <w:shd w:val="clear" w:color="auto" w:fill="auto"/>
            <w:noWrap/>
            <w:vAlign w:val="bottom"/>
            <w:hideMark/>
          </w:tcPr>
          <w:p w14:paraId="1939430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4CD317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0EEF9ED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9AD543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48F86FD6" w14:textId="77777777" w:rsidTr="00F560C9">
        <w:trPr>
          <w:trHeight w:val="300"/>
        </w:trPr>
        <w:tc>
          <w:tcPr>
            <w:tcW w:w="960" w:type="dxa"/>
            <w:shd w:val="clear" w:color="auto" w:fill="auto"/>
            <w:noWrap/>
            <w:vAlign w:val="bottom"/>
            <w:hideMark/>
          </w:tcPr>
          <w:p w14:paraId="4EF0160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6B8A329B"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2FC44E4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600700</w:t>
            </w:r>
          </w:p>
        </w:tc>
        <w:tc>
          <w:tcPr>
            <w:tcW w:w="994" w:type="dxa"/>
            <w:shd w:val="clear" w:color="auto" w:fill="auto"/>
            <w:noWrap/>
            <w:vAlign w:val="bottom"/>
            <w:hideMark/>
          </w:tcPr>
          <w:p w14:paraId="18FB0DD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227000</w:t>
            </w:r>
          </w:p>
        </w:tc>
        <w:tc>
          <w:tcPr>
            <w:tcW w:w="927" w:type="dxa"/>
            <w:shd w:val="clear" w:color="auto" w:fill="auto"/>
            <w:noWrap/>
            <w:vAlign w:val="bottom"/>
            <w:hideMark/>
          </w:tcPr>
          <w:p w14:paraId="724E14F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19.54</w:t>
            </w:r>
          </w:p>
        </w:tc>
        <w:tc>
          <w:tcPr>
            <w:tcW w:w="851" w:type="dxa"/>
            <w:shd w:val="clear" w:color="auto" w:fill="auto"/>
            <w:noWrap/>
            <w:vAlign w:val="bottom"/>
            <w:hideMark/>
          </w:tcPr>
          <w:p w14:paraId="388651B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0.36</w:t>
            </w:r>
          </w:p>
        </w:tc>
        <w:tc>
          <w:tcPr>
            <w:tcW w:w="850" w:type="dxa"/>
            <w:shd w:val="clear" w:color="auto" w:fill="auto"/>
            <w:noWrap/>
            <w:vAlign w:val="bottom"/>
            <w:hideMark/>
          </w:tcPr>
          <w:p w14:paraId="13F9D68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2.80</w:t>
            </w:r>
          </w:p>
        </w:tc>
        <w:tc>
          <w:tcPr>
            <w:tcW w:w="851" w:type="dxa"/>
            <w:shd w:val="clear" w:color="auto" w:fill="auto"/>
            <w:noWrap/>
            <w:vAlign w:val="bottom"/>
            <w:hideMark/>
          </w:tcPr>
          <w:p w14:paraId="72A825A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7BA4AD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00D70B9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4E3F9F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3FEBA7BE" w14:textId="77777777" w:rsidTr="00F560C9">
        <w:trPr>
          <w:trHeight w:val="300"/>
        </w:trPr>
        <w:tc>
          <w:tcPr>
            <w:tcW w:w="960" w:type="dxa"/>
            <w:shd w:val="clear" w:color="auto" w:fill="auto"/>
            <w:noWrap/>
            <w:vAlign w:val="bottom"/>
            <w:hideMark/>
          </w:tcPr>
          <w:p w14:paraId="7DE74F8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DE24E93"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5DED2C2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597400</w:t>
            </w:r>
          </w:p>
        </w:tc>
        <w:tc>
          <w:tcPr>
            <w:tcW w:w="994" w:type="dxa"/>
            <w:shd w:val="clear" w:color="auto" w:fill="auto"/>
            <w:noWrap/>
            <w:vAlign w:val="bottom"/>
            <w:hideMark/>
          </w:tcPr>
          <w:p w14:paraId="6EC3AA5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234100</w:t>
            </w:r>
          </w:p>
        </w:tc>
        <w:tc>
          <w:tcPr>
            <w:tcW w:w="927" w:type="dxa"/>
            <w:shd w:val="clear" w:color="auto" w:fill="auto"/>
            <w:noWrap/>
            <w:vAlign w:val="bottom"/>
            <w:hideMark/>
          </w:tcPr>
          <w:p w14:paraId="636A7AB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74.45</w:t>
            </w:r>
          </w:p>
        </w:tc>
        <w:tc>
          <w:tcPr>
            <w:tcW w:w="851" w:type="dxa"/>
            <w:shd w:val="clear" w:color="auto" w:fill="auto"/>
            <w:noWrap/>
            <w:vAlign w:val="bottom"/>
            <w:hideMark/>
          </w:tcPr>
          <w:p w14:paraId="06F361E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1.67</w:t>
            </w:r>
          </w:p>
        </w:tc>
        <w:tc>
          <w:tcPr>
            <w:tcW w:w="850" w:type="dxa"/>
            <w:shd w:val="clear" w:color="auto" w:fill="auto"/>
            <w:noWrap/>
            <w:vAlign w:val="bottom"/>
            <w:hideMark/>
          </w:tcPr>
          <w:p w14:paraId="41FEB79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8.26</w:t>
            </w:r>
          </w:p>
        </w:tc>
        <w:tc>
          <w:tcPr>
            <w:tcW w:w="851" w:type="dxa"/>
            <w:shd w:val="clear" w:color="auto" w:fill="auto"/>
            <w:noWrap/>
            <w:vAlign w:val="bottom"/>
            <w:hideMark/>
          </w:tcPr>
          <w:p w14:paraId="63D55D2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B6306A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7102B63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0163B3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489F9AA6" w14:textId="77777777" w:rsidTr="00F560C9">
        <w:trPr>
          <w:trHeight w:val="300"/>
        </w:trPr>
        <w:tc>
          <w:tcPr>
            <w:tcW w:w="960" w:type="dxa"/>
            <w:shd w:val="clear" w:color="auto" w:fill="auto"/>
            <w:noWrap/>
            <w:vAlign w:val="bottom"/>
            <w:hideMark/>
          </w:tcPr>
          <w:p w14:paraId="4E8F054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5FCA6C27"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73A3FB9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583400</w:t>
            </w:r>
          </w:p>
        </w:tc>
        <w:tc>
          <w:tcPr>
            <w:tcW w:w="994" w:type="dxa"/>
            <w:shd w:val="clear" w:color="auto" w:fill="auto"/>
            <w:noWrap/>
            <w:vAlign w:val="bottom"/>
            <w:hideMark/>
          </w:tcPr>
          <w:p w14:paraId="74F6DCF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186600</w:t>
            </w:r>
          </w:p>
        </w:tc>
        <w:tc>
          <w:tcPr>
            <w:tcW w:w="927" w:type="dxa"/>
            <w:shd w:val="clear" w:color="auto" w:fill="auto"/>
            <w:noWrap/>
            <w:vAlign w:val="bottom"/>
            <w:hideMark/>
          </w:tcPr>
          <w:p w14:paraId="3D88C4B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16.71</w:t>
            </w:r>
          </w:p>
        </w:tc>
        <w:tc>
          <w:tcPr>
            <w:tcW w:w="851" w:type="dxa"/>
            <w:shd w:val="clear" w:color="auto" w:fill="auto"/>
            <w:noWrap/>
            <w:vAlign w:val="bottom"/>
            <w:hideMark/>
          </w:tcPr>
          <w:p w14:paraId="42F0064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D2DFBE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0.05</w:t>
            </w:r>
          </w:p>
        </w:tc>
        <w:tc>
          <w:tcPr>
            <w:tcW w:w="851" w:type="dxa"/>
            <w:shd w:val="clear" w:color="auto" w:fill="auto"/>
            <w:noWrap/>
            <w:vAlign w:val="bottom"/>
            <w:hideMark/>
          </w:tcPr>
          <w:p w14:paraId="3824CD0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6D9E9F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20F1AEE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2D0A03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30EB209D" w14:textId="77777777" w:rsidTr="00F560C9">
        <w:trPr>
          <w:trHeight w:val="300"/>
        </w:trPr>
        <w:tc>
          <w:tcPr>
            <w:tcW w:w="960" w:type="dxa"/>
            <w:shd w:val="clear" w:color="auto" w:fill="auto"/>
            <w:noWrap/>
            <w:vAlign w:val="bottom"/>
            <w:hideMark/>
          </w:tcPr>
          <w:p w14:paraId="2DFCBA8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538CC048"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59B971E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608900</w:t>
            </w:r>
          </w:p>
        </w:tc>
        <w:tc>
          <w:tcPr>
            <w:tcW w:w="994" w:type="dxa"/>
            <w:shd w:val="clear" w:color="auto" w:fill="auto"/>
            <w:noWrap/>
            <w:vAlign w:val="bottom"/>
            <w:hideMark/>
          </w:tcPr>
          <w:p w14:paraId="3A54A74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237900</w:t>
            </w:r>
          </w:p>
        </w:tc>
        <w:tc>
          <w:tcPr>
            <w:tcW w:w="927" w:type="dxa"/>
            <w:shd w:val="clear" w:color="auto" w:fill="auto"/>
            <w:noWrap/>
            <w:vAlign w:val="bottom"/>
            <w:hideMark/>
          </w:tcPr>
          <w:p w14:paraId="5CA142C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69.07</w:t>
            </w:r>
          </w:p>
        </w:tc>
        <w:tc>
          <w:tcPr>
            <w:tcW w:w="851" w:type="dxa"/>
            <w:shd w:val="clear" w:color="auto" w:fill="auto"/>
            <w:noWrap/>
            <w:vAlign w:val="bottom"/>
            <w:hideMark/>
          </w:tcPr>
          <w:p w14:paraId="318AAD4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4.87</w:t>
            </w:r>
          </w:p>
        </w:tc>
        <w:tc>
          <w:tcPr>
            <w:tcW w:w="850" w:type="dxa"/>
            <w:shd w:val="clear" w:color="auto" w:fill="auto"/>
            <w:noWrap/>
            <w:vAlign w:val="bottom"/>
            <w:hideMark/>
          </w:tcPr>
          <w:p w14:paraId="3027058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27.63</w:t>
            </w:r>
          </w:p>
        </w:tc>
        <w:tc>
          <w:tcPr>
            <w:tcW w:w="851" w:type="dxa"/>
            <w:shd w:val="clear" w:color="auto" w:fill="auto"/>
            <w:noWrap/>
            <w:vAlign w:val="bottom"/>
            <w:hideMark/>
          </w:tcPr>
          <w:p w14:paraId="640B68A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c>
          <w:tcPr>
            <w:tcW w:w="850" w:type="dxa"/>
            <w:shd w:val="clear" w:color="auto" w:fill="auto"/>
            <w:noWrap/>
            <w:vAlign w:val="bottom"/>
            <w:hideMark/>
          </w:tcPr>
          <w:p w14:paraId="24BB98E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c>
          <w:tcPr>
            <w:tcW w:w="851" w:type="dxa"/>
            <w:shd w:val="clear" w:color="auto" w:fill="auto"/>
            <w:noWrap/>
            <w:vAlign w:val="bottom"/>
            <w:hideMark/>
          </w:tcPr>
          <w:p w14:paraId="4BE4B60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027C63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0.76</w:t>
            </w:r>
          </w:p>
        </w:tc>
      </w:tr>
      <w:tr w:rsidR="00AB13DC" w:rsidRPr="008A38A6" w14:paraId="286FB7D7" w14:textId="77777777" w:rsidTr="00F560C9">
        <w:trPr>
          <w:trHeight w:val="300"/>
        </w:trPr>
        <w:tc>
          <w:tcPr>
            <w:tcW w:w="960" w:type="dxa"/>
            <w:shd w:val="clear" w:color="auto" w:fill="auto"/>
            <w:noWrap/>
            <w:vAlign w:val="bottom"/>
            <w:hideMark/>
          </w:tcPr>
          <w:p w14:paraId="474F069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3DBBD938"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6A890C7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485500</w:t>
            </w:r>
          </w:p>
        </w:tc>
        <w:tc>
          <w:tcPr>
            <w:tcW w:w="994" w:type="dxa"/>
            <w:shd w:val="clear" w:color="auto" w:fill="auto"/>
            <w:noWrap/>
            <w:vAlign w:val="bottom"/>
            <w:hideMark/>
          </w:tcPr>
          <w:p w14:paraId="26AF0F6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138100</w:t>
            </w:r>
          </w:p>
        </w:tc>
        <w:tc>
          <w:tcPr>
            <w:tcW w:w="927" w:type="dxa"/>
            <w:shd w:val="clear" w:color="auto" w:fill="auto"/>
            <w:noWrap/>
            <w:vAlign w:val="bottom"/>
            <w:hideMark/>
          </w:tcPr>
          <w:p w14:paraId="24EE159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19.29</w:t>
            </w:r>
          </w:p>
        </w:tc>
        <w:tc>
          <w:tcPr>
            <w:tcW w:w="851" w:type="dxa"/>
            <w:shd w:val="clear" w:color="auto" w:fill="auto"/>
            <w:noWrap/>
            <w:vAlign w:val="bottom"/>
            <w:hideMark/>
          </w:tcPr>
          <w:p w14:paraId="5CC0214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1C929D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0.32</w:t>
            </w:r>
          </w:p>
        </w:tc>
        <w:tc>
          <w:tcPr>
            <w:tcW w:w="851" w:type="dxa"/>
            <w:shd w:val="clear" w:color="auto" w:fill="auto"/>
            <w:noWrap/>
            <w:vAlign w:val="bottom"/>
            <w:hideMark/>
          </w:tcPr>
          <w:p w14:paraId="2D57B5F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8EB89F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F17762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21DB32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232A1C64" w14:textId="77777777" w:rsidTr="00F560C9">
        <w:trPr>
          <w:trHeight w:val="300"/>
        </w:trPr>
        <w:tc>
          <w:tcPr>
            <w:tcW w:w="960" w:type="dxa"/>
            <w:shd w:val="clear" w:color="auto" w:fill="auto"/>
            <w:noWrap/>
            <w:vAlign w:val="bottom"/>
            <w:hideMark/>
          </w:tcPr>
          <w:p w14:paraId="60EC7B8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6B4D0F96"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065BEA4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374600</w:t>
            </w:r>
          </w:p>
        </w:tc>
        <w:tc>
          <w:tcPr>
            <w:tcW w:w="994" w:type="dxa"/>
            <w:shd w:val="clear" w:color="auto" w:fill="auto"/>
            <w:noWrap/>
            <w:vAlign w:val="bottom"/>
            <w:hideMark/>
          </w:tcPr>
          <w:p w14:paraId="0F365D5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113700</w:t>
            </w:r>
          </w:p>
        </w:tc>
        <w:tc>
          <w:tcPr>
            <w:tcW w:w="927" w:type="dxa"/>
            <w:shd w:val="clear" w:color="auto" w:fill="auto"/>
            <w:noWrap/>
            <w:vAlign w:val="bottom"/>
            <w:hideMark/>
          </w:tcPr>
          <w:p w14:paraId="33A8708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78.42</w:t>
            </w:r>
          </w:p>
        </w:tc>
        <w:tc>
          <w:tcPr>
            <w:tcW w:w="851" w:type="dxa"/>
            <w:shd w:val="clear" w:color="auto" w:fill="auto"/>
            <w:noWrap/>
            <w:vAlign w:val="bottom"/>
            <w:hideMark/>
          </w:tcPr>
          <w:p w14:paraId="5FF1F0A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0.02</w:t>
            </w:r>
          </w:p>
        </w:tc>
        <w:tc>
          <w:tcPr>
            <w:tcW w:w="850" w:type="dxa"/>
            <w:shd w:val="clear" w:color="auto" w:fill="auto"/>
            <w:noWrap/>
            <w:vAlign w:val="bottom"/>
            <w:hideMark/>
          </w:tcPr>
          <w:p w14:paraId="5FA9983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5.28</w:t>
            </w:r>
          </w:p>
        </w:tc>
        <w:tc>
          <w:tcPr>
            <w:tcW w:w="851" w:type="dxa"/>
            <w:shd w:val="clear" w:color="auto" w:fill="auto"/>
            <w:noWrap/>
            <w:vAlign w:val="bottom"/>
            <w:hideMark/>
          </w:tcPr>
          <w:p w14:paraId="08428C7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C139A6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71848B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9A9D3A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43647EFA" w14:textId="77777777" w:rsidTr="00F560C9">
        <w:trPr>
          <w:trHeight w:val="300"/>
        </w:trPr>
        <w:tc>
          <w:tcPr>
            <w:tcW w:w="960" w:type="dxa"/>
            <w:shd w:val="clear" w:color="auto" w:fill="auto"/>
            <w:noWrap/>
            <w:vAlign w:val="bottom"/>
            <w:hideMark/>
          </w:tcPr>
          <w:p w14:paraId="218FF6E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B00D0B2"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5952F40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330400</w:t>
            </w:r>
          </w:p>
        </w:tc>
        <w:tc>
          <w:tcPr>
            <w:tcW w:w="994" w:type="dxa"/>
            <w:shd w:val="clear" w:color="auto" w:fill="auto"/>
            <w:noWrap/>
            <w:vAlign w:val="bottom"/>
            <w:hideMark/>
          </w:tcPr>
          <w:p w14:paraId="5E68E00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96100</w:t>
            </w:r>
          </w:p>
        </w:tc>
        <w:tc>
          <w:tcPr>
            <w:tcW w:w="927" w:type="dxa"/>
            <w:shd w:val="clear" w:color="auto" w:fill="auto"/>
            <w:noWrap/>
            <w:vAlign w:val="bottom"/>
            <w:hideMark/>
          </w:tcPr>
          <w:p w14:paraId="78672F7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41.87</w:t>
            </w:r>
          </w:p>
        </w:tc>
        <w:tc>
          <w:tcPr>
            <w:tcW w:w="851" w:type="dxa"/>
            <w:shd w:val="clear" w:color="auto" w:fill="auto"/>
            <w:noWrap/>
            <w:vAlign w:val="bottom"/>
            <w:hideMark/>
          </w:tcPr>
          <w:p w14:paraId="299456D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AD4974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2.66</w:t>
            </w:r>
          </w:p>
        </w:tc>
        <w:tc>
          <w:tcPr>
            <w:tcW w:w="851" w:type="dxa"/>
            <w:shd w:val="clear" w:color="auto" w:fill="auto"/>
            <w:noWrap/>
            <w:vAlign w:val="bottom"/>
            <w:hideMark/>
          </w:tcPr>
          <w:p w14:paraId="08BC4D7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AF4C3C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B081C5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c>
          <w:tcPr>
            <w:tcW w:w="850" w:type="dxa"/>
            <w:shd w:val="clear" w:color="auto" w:fill="auto"/>
            <w:noWrap/>
            <w:vAlign w:val="bottom"/>
            <w:hideMark/>
          </w:tcPr>
          <w:p w14:paraId="6134D88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r>
      <w:tr w:rsidR="00AB13DC" w:rsidRPr="008A38A6" w14:paraId="1B973716" w14:textId="77777777" w:rsidTr="00F560C9">
        <w:trPr>
          <w:trHeight w:val="300"/>
        </w:trPr>
        <w:tc>
          <w:tcPr>
            <w:tcW w:w="960" w:type="dxa"/>
            <w:shd w:val="clear" w:color="auto" w:fill="auto"/>
            <w:noWrap/>
            <w:vAlign w:val="bottom"/>
            <w:hideMark/>
          </w:tcPr>
          <w:p w14:paraId="016809E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0F51790E"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439DCB2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351300</w:t>
            </w:r>
          </w:p>
        </w:tc>
        <w:tc>
          <w:tcPr>
            <w:tcW w:w="994" w:type="dxa"/>
            <w:shd w:val="clear" w:color="auto" w:fill="auto"/>
            <w:noWrap/>
            <w:vAlign w:val="bottom"/>
            <w:hideMark/>
          </w:tcPr>
          <w:p w14:paraId="17877DE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291800</w:t>
            </w:r>
          </w:p>
        </w:tc>
        <w:tc>
          <w:tcPr>
            <w:tcW w:w="927" w:type="dxa"/>
            <w:shd w:val="clear" w:color="auto" w:fill="auto"/>
            <w:noWrap/>
            <w:vAlign w:val="bottom"/>
            <w:hideMark/>
          </w:tcPr>
          <w:p w14:paraId="43F7050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71.20</w:t>
            </w:r>
          </w:p>
        </w:tc>
        <w:tc>
          <w:tcPr>
            <w:tcW w:w="851" w:type="dxa"/>
            <w:shd w:val="clear" w:color="auto" w:fill="auto"/>
            <w:noWrap/>
            <w:vAlign w:val="bottom"/>
            <w:hideMark/>
          </w:tcPr>
          <w:p w14:paraId="7689ABA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10.54</w:t>
            </w:r>
          </w:p>
        </w:tc>
        <w:tc>
          <w:tcPr>
            <w:tcW w:w="850" w:type="dxa"/>
            <w:shd w:val="clear" w:color="auto" w:fill="auto"/>
            <w:noWrap/>
            <w:vAlign w:val="bottom"/>
            <w:hideMark/>
          </w:tcPr>
          <w:p w14:paraId="1A8AD6A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18.97</w:t>
            </w:r>
          </w:p>
        </w:tc>
        <w:tc>
          <w:tcPr>
            <w:tcW w:w="851" w:type="dxa"/>
            <w:shd w:val="clear" w:color="auto" w:fill="auto"/>
            <w:noWrap/>
            <w:vAlign w:val="bottom"/>
            <w:hideMark/>
          </w:tcPr>
          <w:p w14:paraId="5B5A568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3B6754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79BDDE6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40A562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377D0E8B" w14:textId="77777777" w:rsidTr="00F560C9">
        <w:trPr>
          <w:trHeight w:val="300"/>
        </w:trPr>
        <w:tc>
          <w:tcPr>
            <w:tcW w:w="960" w:type="dxa"/>
            <w:shd w:val="clear" w:color="auto" w:fill="auto"/>
            <w:noWrap/>
            <w:vAlign w:val="bottom"/>
            <w:hideMark/>
          </w:tcPr>
          <w:p w14:paraId="13290D9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8FA9E4A"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3197473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350500</w:t>
            </w:r>
          </w:p>
        </w:tc>
        <w:tc>
          <w:tcPr>
            <w:tcW w:w="994" w:type="dxa"/>
            <w:shd w:val="clear" w:color="auto" w:fill="auto"/>
            <w:noWrap/>
            <w:vAlign w:val="bottom"/>
            <w:hideMark/>
          </w:tcPr>
          <w:p w14:paraId="1393C3A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138500</w:t>
            </w:r>
          </w:p>
        </w:tc>
        <w:tc>
          <w:tcPr>
            <w:tcW w:w="927" w:type="dxa"/>
            <w:shd w:val="clear" w:color="auto" w:fill="auto"/>
            <w:noWrap/>
            <w:vAlign w:val="bottom"/>
            <w:hideMark/>
          </w:tcPr>
          <w:p w14:paraId="26C599C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47.21</w:t>
            </w:r>
          </w:p>
        </w:tc>
        <w:tc>
          <w:tcPr>
            <w:tcW w:w="851" w:type="dxa"/>
            <w:shd w:val="clear" w:color="auto" w:fill="auto"/>
            <w:noWrap/>
            <w:vAlign w:val="bottom"/>
            <w:hideMark/>
          </w:tcPr>
          <w:p w14:paraId="05A89B3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058655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4A3500A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E66705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6AF08E7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99796B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5D811B67" w14:textId="77777777" w:rsidTr="00F560C9">
        <w:trPr>
          <w:trHeight w:val="300"/>
        </w:trPr>
        <w:tc>
          <w:tcPr>
            <w:tcW w:w="960" w:type="dxa"/>
            <w:shd w:val="clear" w:color="auto" w:fill="auto"/>
            <w:noWrap/>
            <w:vAlign w:val="bottom"/>
            <w:hideMark/>
          </w:tcPr>
          <w:p w14:paraId="53A3C93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4D6AC082"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1368154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169300</w:t>
            </w:r>
          </w:p>
        </w:tc>
        <w:tc>
          <w:tcPr>
            <w:tcW w:w="994" w:type="dxa"/>
            <w:shd w:val="clear" w:color="auto" w:fill="auto"/>
            <w:noWrap/>
            <w:vAlign w:val="bottom"/>
            <w:hideMark/>
          </w:tcPr>
          <w:p w14:paraId="1B059E7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29800</w:t>
            </w:r>
          </w:p>
        </w:tc>
        <w:tc>
          <w:tcPr>
            <w:tcW w:w="927" w:type="dxa"/>
            <w:shd w:val="clear" w:color="auto" w:fill="auto"/>
            <w:noWrap/>
            <w:vAlign w:val="bottom"/>
            <w:hideMark/>
          </w:tcPr>
          <w:p w14:paraId="419CE1E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39.32</w:t>
            </w:r>
          </w:p>
        </w:tc>
        <w:tc>
          <w:tcPr>
            <w:tcW w:w="851" w:type="dxa"/>
            <w:shd w:val="clear" w:color="auto" w:fill="auto"/>
            <w:noWrap/>
            <w:vAlign w:val="bottom"/>
            <w:hideMark/>
          </w:tcPr>
          <w:p w14:paraId="3A92DD8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5.13</w:t>
            </w:r>
          </w:p>
        </w:tc>
        <w:tc>
          <w:tcPr>
            <w:tcW w:w="850" w:type="dxa"/>
            <w:shd w:val="clear" w:color="auto" w:fill="auto"/>
            <w:noWrap/>
            <w:vAlign w:val="bottom"/>
            <w:hideMark/>
          </w:tcPr>
          <w:p w14:paraId="2F49DEA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1.94</w:t>
            </w:r>
          </w:p>
        </w:tc>
        <w:tc>
          <w:tcPr>
            <w:tcW w:w="851" w:type="dxa"/>
            <w:shd w:val="clear" w:color="auto" w:fill="auto"/>
            <w:noWrap/>
            <w:vAlign w:val="bottom"/>
            <w:hideMark/>
          </w:tcPr>
          <w:p w14:paraId="3FF0BA7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12E275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32A92D9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F460D8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395FE39" w14:textId="77777777" w:rsidTr="00F560C9">
        <w:trPr>
          <w:trHeight w:val="300"/>
        </w:trPr>
        <w:tc>
          <w:tcPr>
            <w:tcW w:w="960" w:type="dxa"/>
            <w:shd w:val="clear" w:color="auto" w:fill="auto"/>
            <w:noWrap/>
            <w:vAlign w:val="bottom"/>
            <w:hideMark/>
          </w:tcPr>
          <w:p w14:paraId="3D051CD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082FC5C3"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2BC28E0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427400</w:t>
            </w:r>
          </w:p>
        </w:tc>
        <w:tc>
          <w:tcPr>
            <w:tcW w:w="994" w:type="dxa"/>
            <w:shd w:val="clear" w:color="auto" w:fill="auto"/>
            <w:noWrap/>
            <w:vAlign w:val="bottom"/>
            <w:hideMark/>
          </w:tcPr>
          <w:p w14:paraId="61CF614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572900</w:t>
            </w:r>
          </w:p>
        </w:tc>
        <w:tc>
          <w:tcPr>
            <w:tcW w:w="927" w:type="dxa"/>
            <w:shd w:val="clear" w:color="auto" w:fill="auto"/>
            <w:noWrap/>
            <w:vAlign w:val="bottom"/>
            <w:hideMark/>
          </w:tcPr>
          <w:p w14:paraId="6BD2FC1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53.82</w:t>
            </w:r>
          </w:p>
        </w:tc>
        <w:tc>
          <w:tcPr>
            <w:tcW w:w="851" w:type="dxa"/>
            <w:shd w:val="clear" w:color="auto" w:fill="auto"/>
            <w:noWrap/>
            <w:vAlign w:val="bottom"/>
            <w:hideMark/>
          </w:tcPr>
          <w:p w14:paraId="181DD36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4.11</w:t>
            </w:r>
          </w:p>
        </w:tc>
        <w:tc>
          <w:tcPr>
            <w:tcW w:w="850" w:type="dxa"/>
            <w:shd w:val="clear" w:color="auto" w:fill="auto"/>
            <w:noWrap/>
            <w:vAlign w:val="bottom"/>
            <w:hideMark/>
          </w:tcPr>
          <w:p w14:paraId="4B43D03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29.19</w:t>
            </w:r>
          </w:p>
        </w:tc>
        <w:tc>
          <w:tcPr>
            <w:tcW w:w="851" w:type="dxa"/>
            <w:shd w:val="clear" w:color="auto" w:fill="auto"/>
            <w:noWrap/>
            <w:vAlign w:val="bottom"/>
            <w:hideMark/>
          </w:tcPr>
          <w:p w14:paraId="03969D0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411E17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7D04661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CCDF0A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084A7A6E" w14:textId="77777777" w:rsidTr="00F560C9">
        <w:trPr>
          <w:trHeight w:val="300"/>
        </w:trPr>
        <w:tc>
          <w:tcPr>
            <w:tcW w:w="960" w:type="dxa"/>
            <w:shd w:val="clear" w:color="auto" w:fill="auto"/>
            <w:noWrap/>
            <w:vAlign w:val="bottom"/>
            <w:hideMark/>
          </w:tcPr>
          <w:p w14:paraId="5C46BC7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lastRenderedPageBreak/>
              <w:t>2015</w:t>
            </w:r>
          </w:p>
        </w:tc>
        <w:tc>
          <w:tcPr>
            <w:tcW w:w="794" w:type="dxa"/>
            <w:shd w:val="clear" w:color="auto" w:fill="auto"/>
            <w:noWrap/>
            <w:hideMark/>
          </w:tcPr>
          <w:p w14:paraId="20B88FC6" w14:textId="77777777" w:rsidR="00AB13DC" w:rsidRDefault="00AB13DC" w:rsidP="00AB13DC">
            <w:r w:rsidRPr="008A38A6">
              <w:rPr>
                <w:rFonts w:ascii="Calibri" w:eastAsia="Times New Roman" w:hAnsi="Calibri"/>
                <w:lang w:val="en-GB" w:eastAsia="en-GB"/>
              </w:rPr>
              <w:t>Aug.</w:t>
            </w:r>
          </w:p>
        </w:tc>
        <w:tc>
          <w:tcPr>
            <w:tcW w:w="861" w:type="dxa"/>
            <w:shd w:val="clear" w:color="auto" w:fill="auto"/>
            <w:noWrap/>
            <w:vAlign w:val="bottom"/>
            <w:hideMark/>
          </w:tcPr>
          <w:p w14:paraId="63706C6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340800</w:t>
            </w:r>
          </w:p>
        </w:tc>
        <w:tc>
          <w:tcPr>
            <w:tcW w:w="994" w:type="dxa"/>
            <w:shd w:val="clear" w:color="auto" w:fill="auto"/>
            <w:noWrap/>
            <w:vAlign w:val="bottom"/>
            <w:hideMark/>
          </w:tcPr>
          <w:p w14:paraId="6AFBA49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94900</w:t>
            </w:r>
          </w:p>
        </w:tc>
        <w:tc>
          <w:tcPr>
            <w:tcW w:w="927" w:type="dxa"/>
            <w:shd w:val="clear" w:color="auto" w:fill="auto"/>
            <w:noWrap/>
            <w:vAlign w:val="bottom"/>
            <w:hideMark/>
          </w:tcPr>
          <w:p w14:paraId="52E5909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52.35</w:t>
            </w:r>
          </w:p>
        </w:tc>
        <w:tc>
          <w:tcPr>
            <w:tcW w:w="851" w:type="dxa"/>
            <w:shd w:val="clear" w:color="auto" w:fill="auto"/>
            <w:noWrap/>
            <w:vAlign w:val="bottom"/>
            <w:hideMark/>
          </w:tcPr>
          <w:p w14:paraId="4BE8CDF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D335AA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4.30</w:t>
            </w:r>
          </w:p>
        </w:tc>
        <w:tc>
          <w:tcPr>
            <w:tcW w:w="851" w:type="dxa"/>
            <w:shd w:val="clear" w:color="auto" w:fill="auto"/>
            <w:noWrap/>
            <w:vAlign w:val="bottom"/>
            <w:hideMark/>
          </w:tcPr>
          <w:p w14:paraId="76294FD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9E80A0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45D46C4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149D3A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5A844CD4" w14:textId="77777777" w:rsidTr="00AB13DC">
        <w:trPr>
          <w:trHeight w:val="300"/>
        </w:trPr>
        <w:tc>
          <w:tcPr>
            <w:tcW w:w="960" w:type="dxa"/>
            <w:shd w:val="clear" w:color="auto" w:fill="auto"/>
            <w:noWrap/>
            <w:vAlign w:val="bottom"/>
            <w:hideMark/>
          </w:tcPr>
          <w:p w14:paraId="2C4774A0"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vAlign w:val="bottom"/>
            <w:hideMark/>
          </w:tcPr>
          <w:p w14:paraId="4C51F8FA" w14:textId="77777777" w:rsidR="00AB13DC" w:rsidRPr="008A38A6" w:rsidRDefault="00AB13DC" w:rsidP="00AB13DC">
            <w:pPr>
              <w:rPr>
                <w:rFonts w:ascii="Calibri" w:eastAsia="Times New Roman" w:hAnsi="Calibri"/>
                <w:lang w:val="en-GB" w:eastAsia="en-GB"/>
              </w:rPr>
            </w:pPr>
            <w:r w:rsidRPr="008A38A6">
              <w:rPr>
                <w:rFonts w:ascii="Calibri" w:eastAsia="Times New Roman" w:hAnsi="Calibri"/>
                <w:lang w:val="en-GB" w:eastAsia="en-GB"/>
              </w:rPr>
              <w:t>Sept.</w:t>
            </w:r>
          </w:p>
        </w:tc>
        <w:tc>
          <w:tcPr>
            <w:tcW w:w="861" w:type="dxa"/>
            <w:shd w:val="clear" w:color="auto" w:fill="auto"/>
            <w:noWrap/>
            <w:vAlign w:val="bottom"/>
            <w:hideMark/>
          </w:tcPr>
          <w:p w14:paraId="7FC95EA7"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455200</w:t>
            </w:r>
          </w:p>
        </w:tc>
        <w:tc>
          <w:tcPr>
            <w:tcW w:w="994" w:type="dxa"/>
            <w:shd w:val="clear" w:color="auto" w:fill="auto"/>
            <w:noWrap/>
            <w:vAlign w:val="bottom"/>
            <w:hideMark/>
          </w:tcPr>
          <w:p w14:paraId="6B412E4B"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174800</w:t>
            </w:r>
          </w:p>
        </w:tc>
        <w:tc>
          <w:tcPr>
            <w:tcW w:w="927" w:type="dxa"/>
            <w:shd w:val="clear" w:color="auto" w:fill="auto"/>
            <w:noWrap/>
            <w:vAlign w:val="bottom"/>
            <w:hideMark/>
          </w:tcPr>
          <w:p w14:paraId="3E99D660"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67.59</w:t>
            </w:r>
          </w:p>
        </w:tc>
        <w:tc>
          <w:tcPr>
            <w:tcW w:w="851" w:type="dxa"/>
            <w:shd w:val="clear" w:color="auto" w:fill="auto"/>
            <w:noWrap/>
            <w:vAlign w:val="bottom"/>
            <w:hideMark/>
          </w:tcPr>
          <w:p w14:paraId="2EC206B4"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5.85</w:t>
            </w:r>
          </w:p>
        </w:tc>
        <w:tc>
          <w:tcPr>
            <w:tcW w:w="850" w:type="dxa"/>
            <w:shd w:val="clear" w:color="auto" w:fill="auto"/>
            <w:noWrap/>
            <w:vAlign w:val="bottom"/>
            <w:hideMark/>
          </w:tcPr>
          <w:p w14:paraId="6487FB75"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21.23</w:t>
            </w:r>
          </w:p>
        </w:tc>
        <w:tc>
          <w:tcPr>
            <w:tcW w:w="851" w:type="dxa"/>
            <w:shd w:val="clear" w:color="auto" w:fill="auto"/>
            <w:noWrap/>
            <w:vAlign w:val="bottom"/>
            <w:hideMark/>
          </w:tcPr>
          <w:p w14:paraId="4FC6B010"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45D399F"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7783A23"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A5B4574" w14:textId="77777777" w:rsidR="00AB13DC" w:rsidRPr="008A38A6" w:rsidRDefault="00AB13DC" w:rsidP="005C104A">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255E13DA" w14:textId="77777777" w:rsidTr="00F560C9">
        <w:trPr>
          <w:trHeight w:val="300"/>
        </w:trPr>
        <w:tc>
          <w:tcPr>
            <w:tcW w:w="960" w:type="dxa"/>
            <w:shd w:val="clear" w:color="auto" w:fill="auto"/>
            <w:noWrap/>
            <w:vAlign w:val="bottom"/>
            <w:hideMark/>
          </w:tcPr>
          <w:p w14:paraId="20844B1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0E42792C"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272F341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487800</w:t>
            </w:r>
          </w:p>
        </w:tc>
        <w:tc>
          <w:tcPr>
            <w:tcW w:w="994" w:type="dxa"/>
            <w:shd w:val="clear" w:color="auto" w:fill="auto"/>
            <w:noWrap/>
            <w:vAlign w:val="bottom"/>
            <w:hideMark/>
          </w:tcPr>
          <w:p w14:paraId="58EE75E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137600</w:t>
            </w:r>
          </w:p>
        </w:tc>
        <w:tc>
          <w:tcPr>
            <w:tcW w:w="927" w:type="dxa"/>
            <w:shd w:val="clear" w:color="auto" w:fill="auto"/>
            <w:noWrap/>
            <w:vAlign w:val="bottom"/>
            <w:hideMark/>
          </w:tcPr>
          <w:p w14:paraId="4F2D079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11.15</w:t>
            </w:r>
          </w:p>
        </w:tc>
        <w:tc>
          <w:tcPr>
            <w:tcW w:w="851" w:type="dxa"/>
            <w:shd w:val="clear" w:color="auto" w:fill="auto"/>
            <w:noWrap/>
            <w:vAlign w:val="bottom"/>
            <w:hideMark/>
          </w:tcPr>
          <w:p w14:paraId="0D87FC7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4EC992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73BC2AA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4BE5A4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659A6CC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04BC1F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3E2AC1E" w14:textId="77777777" w:rsidTr="00F560C9">
        <w:trPr>
          <w:trHeight w:val="300"/>
        </w:trPr>
        <w:tc>
          <w:tcPr>
            <w:tcW w:w="960" w:type="dxa"/>
            <w:shd w:val="clear" w:color="auto" w:fill="auto"/>
            <w:noWrap/>
            <w:vAlign w:val="bottom"/>
            <w:hideMark/>
          </w:tcPr>
          <w:p w14:paraId="252C5F4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3250BCEE"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5E6CB38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495500</w:t>
            </w:r>
          </w:p>
        </w:tc>
        <w:tc>
          <w:tcPr>
            <w:tcW w:w="994" w:type="dxa"/>
            <w:shd w:val="clear" w:color="auto" w:fill="auto"/>
            <w:noWrap/>
            <w:vAlign w:val="bottom"/>
            <w:hideMark/>
          </w:tcPr>
          <w:p w14:paraId="0B301D4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145600</w:t>
            </w:r>
          </w:p>
        </w:tc>
        <w:tc>
          <w:tcPr>
            <w:tcW w:w="927" w:type="dxa"/>
            <w:shd w:val="clear" w:color="auto" w:fill="auto"/>
            <w:noWrap/>
            <w:vAlign w:val="bottom"/>
            <w:hideMark/>
          </w:tcPr>
          <w:p w14:paraId="4FE11C5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40.79</w:t>
            </w:r>
          </w:p>
        </w:tc>
        <w:tc>
          <w:tcPr>
            <w:tcW w:w="851" w:type="dxa"/>
            <w:shd w:val="clear" w:color="auto" w:fill="auto"/>
            <w:noWrap/>
            <w:vAlign w:val="bottom"/>
            <w:hideMark/>
          </w:tcPr>
          <w:p w14:paraId="0A08273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0.01</w:t>
            </w:r>
          </w:p>
        </w:tc>
        <w:tc>
          <w:tcPr>
            <w:tcW w:w="850" w:type="dxa"/>
            <w:shd w:val="clear" w:color="auto" w:fill="auto"/>
            <w:noWrap/>
            <w:vAlign w:val="bottom"/>
            <w:hideMark/>
          </w:tcPr>
          <w:p w14:paraId="75D64AD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1.66</w:t>
            </w:r>
          </w:p>
        </w:tc>
        <w:tc>
          <w:tcPr>
            <w:tcW w:w="851" w:type="dxa"/>
            <w:shd w:val="clear" w:color="auto" w:fill="auto"/>
            <w:noWrap/>
            <w:vAlign w:val="bottom"/>
            <w:hideMark/>
          </w:tcPr>
          <w:p w14:paraId="3902FC3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292B49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12763F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F33DE4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4AE4E176" w14:textId="77777777" w:rsidTr="00F560C9">
        <w:trPr>
          <w:trHeight w:val="300"/>
        </w:trPr>
        <w:tc>
          <w:tcPr>
            <w:tcW w:w="960" w:type="dxa"/>
            <w:shd w:val="clear" w:color="auto" w:fill="auto"/>
            <w:noWrap/>
            <w:vAlign w:val="bottom"/>
            <w:hideMark/>
          </w:tcPr>
          <w:p w14:paraId="59F1FDC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33A2618A"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7784AA3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372700</w:t>
            </w:r>
          </w:p>
        </w:tc>
        <w:tc>
          <w:tcPr>
            <w:tcW w:w="994" w:type="dxa"/>
            <w:shd w:val="clear" w:color="auto" w:fill="auto"/>
            <w:noWrap/>
            <w:vAlign w:val="bottom"/>
            <w:hideMark/>
          </w:tcPr>
          <w:p w14:paraId="3783244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189300</w:t>
            </w:r>
          </w:p>
        </w:tc>
        <w:tc>
          <w:tcPr>
            <w:tcW w:w="927" w:type="dxa"/>
            <w:shd w:val="clear" w:color="auto" w:fill="auto"/>
            <w:noWrap/>
            <w:vAlign w:val="bottom"/>
            <w:hideMark/>
          </w:tcPr>
          <w:p w14:paraId="3D145E7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64.15</w:t>
            </w:r>
          </w:p>
        </w:tc>
        <w:tc>
          <w:tcPr>
            <w:tcW w:w="851" w:type="dxa"/>
            <w:shd w:val="clear" w:color="auto" w:fill="auto"/>
            <w:noWrap/>
            <w:vAlign w:val="bottom"/>
            <w:hideMark/>
          </w:tcPr>
          <w:p w14:paraId="5179A3F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1.56</w:t>
            </w:r>
          </w:p>
        </w:tc>
        <w:tc>
          <w:tcPr>
            <w:tcW w:w="850" w:type="dxa"/>
            <w:shd w:val="clear" w:color="auto" w:fill="auto"/>
            <w:noWrap/>
            <w:vAlign w:val="bottom"/>
            <w:hideMark/>
          </w:tcPr>
          <w:p w14:paraId="4293602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4.22</w:t>
            </w:r>
          </w:p>
        </w:tc>
        <w:tc>
          <w:tcPr>
            <w:tcW w:w="851" w:type="dxa"/>
            <w:shd w:val="clear" w:color="auto" w:fill="auto"/>
            <w:noWrap/>
            <w:vAlign w:val="bottom"/>
            <w:hideMark/>
          </w:tcPr>
          <w:p w14:paraId="2ADC2E2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BE274C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9A74A3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c>
          <w:tcPr>
            <w:tcW w:w="850" w:type="dxa"/>
            <w:shd w:val="clear" w:color="auto" w:fill="auto"/>
            <w:noWrap/>
            <w:vAlign w:val="bottom"/>
            <w:hideMark/>
          </w:tcPr>
          <w:p w14:paraId="41D6075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0.38</w:t>
            </w:r>
          </w:p>
        </w:tc>
      </w:tr>
      <w:tr w:rsidR="00AB13DC" w:rsidRPr="008A38A6" w14:paraId="72ED5B6B" w14:textId="77777777" w:rsidTr="00F560C9">
        <w:trPr>
          <w:trHeight w:val="300"/>
        </w:trPr>
        <w:tc>
          <w:tcPr>
            <w:tcW w:w="960" w:type="dxa"/>
            <w:shd w:val="clear" w:color="auto" w:fill="auto"/>
            <w:noWrap/>
            <w:vAlign w:val="bottom"/>
            <w:hideMark/>
          </w:tcPr>
          <w:p w14:paraId="49AA369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1FC5C8D"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69775B1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352500</w:t>
            </w:r>
          </w:p>
        </w:tc>
        <w:tc>
          <w:tcPr>
            <w:tcW w:w="994" w:type="dxa"/>
            <w:shd w:val="clear" w:color="auto" w:fill="auto"/>
            <w:noWrap/>
            <w:vAlign w:val="bottom"/>
            <w:hideMark/>
          </w:tcPr>
          <w:p w14:paraId="22EDB72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377200</w:t>
            </w:r>
          </w:p>
        </w:tc>
        <w:tc>
          <w:tcPr>
            <w:tcW w:w="927" w:type="dxa"/>
            <w:shd w:val="clear" w:color="auto" w:fill="auto"/>
            <w:noWrap/>
            <w:vAlign w:val="bottom"/>
            <w:hideMark/>
          </w:tcPr>
          <w:p w14:paraId="149919E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51.30</w:t>
            </w:r>
          </w:p>
        </w:tc>
        <w:tc>
          <w:tcPr>
            <w:tcW w:w="851" w:type="dxa"/>
            <w:shd w:val="clear" w:color="auto" w:fill="auto"/>
            <w:noWrap/>
            <w:vAlign w:val="bottom"/>
            <w:hideMark/>
          </w:tcPr>
          <w:p w14:paraId="50849E7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1.74</w:t>
            </w:r>
          </w:p>
        </w:tc>
        <w:tc>
          <w:tcPr>
            <w:tcW w:w="850" w:type="dxa"/>
            <w:shd w:val="clear" w:color="auto" w:fill="auto"/>
            <w:noWrap/>
            <w:vAlign w:val="bottom"/>
            <w:hideMark/>
          </w:tcPr>
          <w:p w14:paraId="0AC047B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5.28</w:t>
            </w:r>
          </w:p>
        </w:tc>
        <w:tc>
          <w:tcPr>
            <w:tcW w:w="851" w:type="dxa"/>
            <w:shd w:val="clear" w:color="auto" w:fill="auto"/>
            <w:noWrap/>
            <w:vAlign w:val="bottom"/>
            <w:hideMark/>
          </w:tcPr>
          <w:p w14:paraId="0D8C4DC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A91001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07BD7E0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B9875D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517F38A7" w14:textId="77777777" w:rsidTr="00F560C9">
        <w:trPr>
          <w:trHeight w:val="300"/>
        </w:trPr>
        <w:tc>
          <w:tcPr>
            <w:tcW w:w="960" w:type="dxa"/>
            <w:shd w:val="clear" w:color="auto" w:fill="auto"/>
            <w:noWrap/>
            <w:vAlign w:val="bottom"/>
            <w:hideMark/>
          </w:tcPr>
          <w:p w14:paraId="16D91F6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29715FA"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1932E3F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366400</w:t>
            </w:r>
          </w:p>
        </w:tc>
        <w:tc>
          <w:tcPr>
            <w:tcW w:w="994" w:type="dxa"/>
            <w:shd w:val="clear" w:color="auto" w:fill="auto"/>
            <w:noWrap/>
            <w:vAlign w:val="bottom"/>
            <w:hideMark/>
          </w:tcPr>
          <w:p w14:paraId="505FA9B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1040600</w:t>
            </w:r>
          </w:p>
        </w:tc>
        <w:tc>
          <w:tcPr>
            <w:tcW w:w="927" w:type="dxa"/>
            <w:shd w:val="clear" w:color="auto" w:fill="auto"/>
            <w:noWrap/>
            <w:vAlign w:val="bottom"/>
            <w:hideMark/>
          </w:tcPr>
          <w:p w14:paraId="00FF5D9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37.62</w:t>
            </w:r>
          </w:p>
        </w:tc>
        <w:tc>
          <w:tcPr>
            <w:tcW w:w="851" w:type="dxa"/>
            <w:shd w:val="clear" w:color="auto" w:fill="auto"/>
            <w:noWrap/>
            <w:vAlign w:val="bottom"/>
            <w:hideMark/>
          </w:tcPr>
          <w:p w14:paraId="5FB5A6C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6CCA42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2.06</w:t>
            </w:r>
          </w:p>
        </w:tc>
        <w:tc>
          <w:tcPr>
            <w:tcW w:w="851" w:type="dxa"/>
            <w:shd w:val="clear" w:color="auto" w:fill="auto"/>
            <w:noWrap/>
            <w:vAlign w:val="bottom"/>
            <w:hideMark/>
          </w:tcPr>
          <w:p w14:paraId="03C2020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4D561B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4911D39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BF001B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CE4EA08" w14:textId="77777777" w:rsidTr="00F560C9">
        <w:trPr>
          <w:trHeight w:val="300"/>
        </w:trPr>
        <w:tc>
          <w:tcPr>
            <w:tcW w:w="960" w:type="dxa"/>
            <w:shd w:val="clear" w:color="auto" w:fill="auto"/>
            <w:noWrap/>
            <w:vAlign w:val="bottom"/>
            <w:hideMark/>
          </w:tcPr>
          <w:p w14:paraId="18AD30B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4732B259"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7EF0E05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491600</w:t>
            </w:r>
          </w:p>
        </w:tc>
        <w:tc>
          <w:tcPr>
            <w:tcW w:w="994" w:type="dxa"/>
            <w:shd w:val="clear" w:color="auto" w:fill="auto"/>
            <w:noWrap/>
            <w:vAlign w:val="bottom"/>
            <w:hideMark/>
          </w:tcPr>
          <w:p w14:paraId="79DA510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134600</w:t>
            </w:r>
          </w:p>
        </w:tc>
        <w:tc>
          <w:tcPr>
            <w:tcW w:w="927" w:type="dxa"/>
            <w:shd w:val="clear" w:color="auto" w:fill="auto"/>
            <w:noWrap/>
            <w:vAlign w:val="bottom"/>
            <w:hideMark/>
          </w:tcPr>
          <w:p w14:paraId="4764407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22.19</w:t>
            </w:r>
          </w:p>
        </w:tc>
        <w:tc>
          <w:tcPr>
            <w:tcW w:w="851" w:type="dxa"/>
            <w:shd w:val="clear" w:color="auto" w:fill="auto"/>
            <w:noWrap/>
            <w:vAlign w:val="bottom"/>
            <w:hideMark/>
          </w:tcPr>
          <w:p w14:paraId="6C098F2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5C5FCB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3.22</w:t>
            </w:r>
          </w:p>
        </w:tc>
        <w:tc>
          <w:tcPr>
            <w:tcW w:w="851" w:type="dxa"/>
            <w:shd w:val="clear" w:color="auto" w:fill="auto"/>
            <w:noWrap/>
            <w:vAlign w:val="bottom"/>
            <w:hideMark/>
          </w:tcPr>
          <w:p w14:paraId="577E181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B6FB32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2738B5D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5A598D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164A84AE" w14:textId="77777777" w:rsidTr="00F560C9">
        <w:trPr>
          <w:trHeight w:val="300"/>
        </w:trPr>
        <w:tc>
          <w:tcPr>
            <w:tcW w:w="960" w:type="dxa"/>
            <w:shd w:val="clear" w:color="auto" w:fill="auto"/>
            <w:noWrap/>
            <w:vAlign w:val="bottom"/>
            <w:hideMark/>
          </w:tcPr>
          <w:p w14:paraId="74F3401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32EFD1FC"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3557799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318600</w:t>
            </w:r>
          </w:p>
        </w:tc>
        <w:tc>
          <w:tcPr>
            <w:tcW w:w="994" w:type="dxa"/>
            <w:shd w:val="clear" w:color="auto" w:fill="auto"/>
            <w:noWrap/>
            <w:vAlign w:val="bottom"/>
            <w:hideMark/>
          </w:tcPr>
          <w:p w14:paraId="77E0E69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732000</w:t>
            </w:r>
          </w:p>
        </w:tc>
        <w:tc>
          <w:tcPr>
            <w:tcW w:w="927" w:type="dxa"/>
            <w:shd w:val="clear" w:color="auto" w:fill="auto"/>
            <w:noWrap/>
            <w:vAlign w:val="bottom"/>
            <w:hideMark/>
          </w:tcPr>
          <w:p w14:paraId="09FBA41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77.20</w:t>
            </w:r>
          </w:p>
        </w:tc>
        <w:tc>
          <w:tcPr>
            <w:tcW w:w="851" w:type="dxa"/>
            <w:shd w:val="clear" w:color="auto" w:fill="auto"/>
            <w:noWrap/>
            <w:vAlign w:val="bottom"/>
            <w:hideMark/>
          </w:tcPr>
          <w:p w14:paraId="15D31A3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5.68</w:t>
            </w:r>
          </w:p>
        </w:tc>
        <w:tc>
          <w:tcPr>
            <w:tcW w:w="850" w:type="dxa"/>
            <w:shd w:val="clear" w:color="auto" w:fill="auto"/>
            <w:noWrap/>
            <w:vAlign w:val="bottom"/>
            <w:hideMark/>
          </w:tcPr>
          <w:p w14:paraId="5EA08BB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13.65</w:t>
            </w:r>
          </w:p>
        </w:tc>
        <w:tc>
          <w:tcPr>
            <w:tcW w:w="851" w:type="dxa"/>
            <w:shd w:val="clear" w:color="auto" w:fill="auto"/>
            <w:noWrap/>
            <w:vAlign w:val="bottom"/>
            <w:hideMark/>
          </w:tcPr>
          <w:p w14:paraId="501DA58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C63298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233C9D1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76484E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E617F73" w14:textId="77777777" w:rsidTr="00F560C9">
        <w:trPr>
          <w:trHeight w:val="300"/>
        </w:trPr>
        <w:tc>
          <w:tcPr>
            <w:tcW w:w="960" w:type="dxa"/>
            <w:shd w:val="clear" w:color="auto" w:fill="auto"/>
            <w:noWrap/>
            <w:vAlign w:val="bottom"/>
            <w:hideMark/>
          </w:tcPr>
          <w:p w14:paraId="43D0D1F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3D14BB64"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5F65B50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488300</w:t>
            </w:r>
          </w:p>
        </w:tc>
        <w:tc>
          <w:tcPr>
            <w:tcW w:w="994" w:type="dxa"/>
            <w:shd w:val="clear" w:color="auto" w:fill="auto"/>
            <w:noWrap/>
            <w:vAlign w:val="bottom"/>
            <w:hideMark/>
          </w:tcPr>
          <w:p w14:paraId="5BDFD01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135700</w:t>
            </w:r>
          </w:p>
        </w:tc>
        <w:tc>
          <w:tcPr>
            <w:tcW w:w="927" w:type="dxa"/>
            <w:shd w:val="clear" w:color="auto" w:fill="auto"/>
            <w:noWrap/>
            <w:vAlign w:val="bottom"/>
            <w:hideMark/>
          </w:tcPr>
          <w:p w14:paraId="343F2C2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4.60</w:t>
            </w:r>
          </w:p>
        </w:tc>
        <w:tc>
          <w:tcPr>
            <w:tcW w:w="851" w:type="dxa"/>
            <w:shd w:val="clear" w:color="auto" w:fill="auto"/>
            <w:noWrap/>
            <w:vAlign w:val="bottom"/>
            <w:hideMark/>
          </w:tcPr>
          <w:p w14:paraId="768D51D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689B37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0BB6E0E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1DFD83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0377647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6560DF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1BC8CA41" w14:textId="77777777" w:rsidTr="00F560C9">
        <w:trPr>
          <w:trHeight w:val="300"/>
        </w:trPr>
        <w:tc>
          <w:tcPr>
            <w:tcW w:w="960" w:type="dxa"/>
            <w:shd w:val="clear" w:color="auto" w:fill="auto"/>
            <w:noWrap/>
            <w:vAlign w:val="bottom"/>
            <w:hideMark/>
          </w:tcPr>
          <w:p w14:paraId="7D63567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66F95392"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0607EC5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379100</w:t>
            </w:r>
          </w:p>
        </w:tc>
        <w:tc>
          <w:tcPr>
            <w:tcW w:w="994" w:type="dxa"/>
            <w:shd w:val="clear" w:color="auto" w:fill="auto"/>
            <w:noWrap/>
            <w:vAlign w:val="bottom"/>
            <w:hideMark/>
          </w:tcPr>
          <w:p w14:paraId="7903B44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94400</w:t>
            </w:r>
          </w:p>
        </w:tc>
        <w:tc>
          <w:tcPr>
            <w:tcW w:w="927" w:type="dxa"/>
            <w:shd w:val="clear" w:color="auto" w:fill="auto"/>
            <w:noWrap/>
            <w:vAlign w:val="bottom"/>
            <w:hideMark/>
          </w:tcPr>
          <w:p w14:paraId="1E28EC3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81.00</w:t>
            </w:r>
          </w:p>
        </w:tc>
        <w:tc>
          <w:tcPr>
            <w:tcW w:w="851" w:type="dxa"/>
            <w:shd w:val="clear" w:color="auto" w:fill="auto"/>
            <w:noWrap/>
            <w:vAlign w:val="bottom"/>
            <w:hideMark/>
          </w:tcPr>
          <w:p w14:paraId="22FB497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7.38</w:t>
            </w:r>
          </w:p>
        </w:tc>
        <w:tc>
          <w:tcPr>
            <w:tcW w:w="850" w:type="dxa"/>
            <w:shd w:val="clear" w:color="auto" w:fill="auto"/>
            <w:noWrap/>
            <w:vAlign w:val="bottom"/>
            <w:hideMark/>
          </w:tcPr>
          <w:p w14:paraId="1D3DE5E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14.67</w:t>
            </w:r>
          </w:p>
        </w:tc>
        <w:tc>
          <w:tcPr>
            <w:tcW w:w="851" w:type="dxa"/>
            <w:shd w:val="clear" w:color="auto" w:fill="auto"/>
            <w:noWrap/>
            <w:vAlign w:val="bottom"/>
            <w:hideMark/>
          </w:tcPr>
          <w:p w14:paraId="6AAA4F1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2A94D0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3FD8C7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102998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5DC94476" w14:textId="77777777" w:rsidTr="00F560C9">
        <w:trPr>
          <w:trHeight w:val="300"/>
        </w:trPr>
        <w:tc>
          <w:tcPr>
            <w:tcW w:w="960" w:type="dxa"/>
            <w:shd w:val="clear" w:color="auto" w:fill="auto"/>
            <w:noWrap/>
            <w:vAlign w:val="bottom"/>
            <w:hideMark/>
          </w:tcPr>
          <w:p w14:paraId="0103DCE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0C3E7A17"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53DE749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404600</w:t>
            </w:r>
          </w:p>
        </w:tc>
        <w:tc>
          <w:tcPr>
            <w:tcW w:w="994" w:type="dxa"/>
            <w:shd w:val="clear" w:color="auto" w:fill="auto"/>
            <w:noWrap/>
            <w:vAlign w:val="bottom"/>
            <w:hideMark/>
          </w:tcPr>
          <w:p w14:paraId="182C691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393800</w:t>
            </w:r>
          </w:p>
        </w:tc>
        <w:tc>
          <w:tcPr>
            <w:tcW w:w="927" w:type="dxa"/>
            <w:shd w:val="clear" w:color="auto" w:fill="auto"/>
            <w:noWrap/>
            <w:vAlign w:val="bottom"/>
            <w:hideMark/>
          </w:tcPr>
          <w:p w14:paraId="7AC956F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20.78</w:t>
            </w:r>
          </w:p>
        </w:tc>
        <w:tc>
          <w:tcPr>
            <w:tcW w:w="851" w:type="dxa"/>
            <w:shd w:val="clear" w:color="auto" w:fill="auto"/>
            <w:noWrap/>
            <w:vAlign w:val="bottom"/>
            <w:hideMark/>
          </w:tcPr>
          <w:p w14:paraId="191B703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CABF5D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0.19</w:t>
            </w:r>
          </w:p>
        </w:tc>
        <w:tc>
          <w:tcPr>
            <w:tcW w:w="851" w:type="dxa"/>
            <w:shd w:val="clear" w:color="auto" w:fill="auto"/>
            <w:noWrap/>
            <w:vAlign w:val="bottom"/>
            <w:hideMark/>
          </w:tcPr>
          <w:p w14:paraId="7C043F5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9FE791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42795AA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496871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2A52294E" w14:textId="77777777" w:rsidTr="00F560C9">
        <w:trPr>
          <w:trHeight w:val="300"/>
        </w:trPr>
        <w:tc>
          <w:tcPr>
            <w:tcW w:w="960" w:type="dxa"/>
            <w:shd w:val="clear" w:color="auto" w:fill="auto"/>
            <w:noWrap/>
            <w:vAlign w:val="bottom"/>
            <w:hideMark/>
          </w:tcPr>
          <w:p w14:paraId="0D544B2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75D48477"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74EAACE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428800</w:t>
            </w:r>
          </w:p>
        </w:tc>
        <w:tc>
          <w:tcPr>
            <w:tcW w:w="994" w:type="dxa"/>
            <w:shd w:val="clear" w:color="auto" w:fill="auto"/>
            <w:noWrap/>
            <w:vAlign w:val="bottom"/>
            <w:hideMark/>
          </w:tcPr>
          <w:p w14:paraId="69F74A6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195600</w:t>
            </w:r>
          </w:p>
        </w:tc>
        <w:tc>
          <w:tcPr>
            <w:tcW w:w="927" w:type="dxa"/>
            <w:shd w:val="clear" w:color="auto" w:fill="auto"/>
            <w:noWrap/>
            <w:vAlign w:val="bottom"/>
            <w:hideMark/>
          </w:tcPr>
          <w:p w14:paraId="4EEECF8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70.37</w:t>
            </w:r>
          </w:p>
        </w:tc>
        <w:tc>
          <w:tcPr>
            <w:tcW w:w="851" w:type="dxa"/>
            <w:shd w:val="clear" w:color="auto" w:fill="auto"/>
            <w:noWrap/>
            <w:vAlign w:val="bottom"/>
            <w:hideMark/>
          </w:tcPr>
          <w:p w14:paraId="3A9B392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2.67</w:t>
            </w:r>
          </w:p>
        </w:tc>
        <w:tc>
          <w:tcPr>
            <w:tcW w:w="850" w:type="dxa"/>
            <w:shd w:val="clear" w:color="auto" w:fill="auto"/>
            <w:noWrap/>
            <w:vAlign w:val="bottom"/>
            <w:hideMark/>
          </w:tcPr>
          <w:p w14:paraId="6FECEE0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7.21</w:t>
            </w:r>
          </w:p>
        </w:tc>
        <w:tc>
          <w:tcPr>
            <w:tcW w:w="851" w:type="dxa"/>
            <w:shd w:val="clear" w:color="auto" w:fill="auto"/>
            <w:noWrap/>
            <w:vAlign w:val="bottom"/>
            <w:hideMark/>
          </w:tcPr>
          <w:p w14:paraId="6F74605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EA1466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6C175C1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735142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4D7F08CD" w14:textId="77777777" w:rsidTr="00F560C9">
        <w:trPr>
          <w:trHeight w:val="300"/>
        </w:trPr>
        <w:tc>
          <w:tcPr>
            <w:tcW w:w="960" w:type="dxa"/>
            <w:shd w:val="clear" w:color="auto" w:fill="auto"/>
            <w:noWrap/>
            <w:vAlign w:val="bottom"/>
            <w:hideMark/>
          </w:tcPr>
          <w:p w14:paraId="2D075DB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0EA32128"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233BAFA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352900</w:t>
            </w:r>
          </w:p>
        </w:tc>
        <w:tc>
          <w:tcPr>
            <w:tcW w:w="994" w:type="dxa"/>
            <w:shd w:val="clear" w:color="auto" w:fill="auto"/>
            <w:noWrap/>
            <w:vAlign w:val="bottom"/>
            <w:hideMark/>
          </w:tcPr>
          <w:p w14:paraId="43CF903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354500</w:t>
            </w:r>
          </w:p>
        </w:tc>
        <w:tc>
          <w:tcPr>
            <w:tcW w:w="927" w:type="dxa"/>
            <w:shd w:val="clear" w:color="auto" w:fill="auto"/>
            <w:noWrap/>
            <w:vAlign w:val="bottom"/>
            <w:hideMark/>
          </w:tcPr>
          <w:p w14:paraId="0CDD287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61.92</w:t>
            </w:r>
          </w:p>
        </w:tc>
        <w:tc>
          <w:tcPr>
            <w:tcW w:w="851" w:type="dxa"/>
            <w:shd w:val="clear" w:color="auto" w:fill="auto"/>
            <w:noWrap/>
            <w:vAlign w:val="bottom"/>
            <w:hideMark/>
          </w:tcPr>
          <w:p w14:paraId="1B66087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45F8FA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0.77</w:t>
            </w:r>
          </w:p>
        </w:tc>
        <w:tc>
          <w:tcPr>
            <w:tcW w:w="851" w:type="dxa"/>
            <w:shd w:val="clear" w:color="auto" w:fill="auto"/>
            <w:noWrap/>
            <w:vAlign w:val="bottom"/>
            <w:hideMark/>
          </w:tcPr>
          <w:p w14:paraId="5116CC0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29D80D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1F643AE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33398F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3F5F5A11" w14:textId="77777777" w:rsidTr="00F560C9">
        <w:trPr>
          <w:trHeight w:val="300"/>
        </w:trPr>
        <w:tc>
          <w:tcPr>
            <w:tcW w:w="960" w:type="dxa"/>
            <w:shd w:val="clear" w:color="auto" w:fill="auto"/>
            <w:noWrap/>
            <w:vAlign w:val="bottom"/>
            <w:hideMark/>
          </w:tcPr>
          <w:p w14:paraId="1D81839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0CA290B4"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5395F02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458400</w:t>
            </w:r>
          </w:p>
        </w:tc>
        <w:tc>
          <w:tcPr>
            <w:tcW w:w="994" w:type="dxa"/>
            <w:shd w:val="clear" w:color="auto" w:fill="auto"/>
            <w:noWrap/>
            <w:vAlign w:val="bottom"/>
            <w:hideMark/>
          </w:tcPr>
          <w:p w14:paraId="3A29F84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172400</w:t>
            </w:r>
          </w:p>
        </w:tc>
        <w:tc>
          <w:tcPr>
            <w:tcW w:w="927" w:type="dxa"/>
            <w:shd w:val="clear" w:color="auto" w:fill="auto"/>
            <w:noWrap/>
            <w:vAlign w:val="bottom"/>
            <w:hideMark/>
          </w:tcPr>
          <w:p w14:paraId="7727ABC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52.78</w:t>
            </w:r>
          </w:p>
        </w:tc>
        <w:tc>
          <w:tcPr>
            <w:tcW w:w="851" w:type="dxa"/>
            <w:shd w:val="clear" w:color="auto" w:fill="auto"/>
            <w:noWrap/>
            <w:vAlign w:val="bottom"/>
            <w:hideMark/>
          </w:tcPr>
          <w:p w14:paraId="47F5597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A760D5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7.60</w:t>
            </w:r>
          </w:p>
        </w:tc>
        <w:tc>
          <w:tcPr>
            <w:tcW w:w="851" w:type="dxa"/>
            <w:shd w:val="clear" w:color="auto" w:fill="auto"/>
            <w:noWrap/>
            <w:vAlign w:val="bottom"/>
            <w:hideMark/>
          </w:tcPr>
          <w:p w14:paraId="0DEB682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B08537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2976391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779312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1BEF6788" w14:textId="77777777" w:rsidTr="00F560C9">
        <w:trPr>
          <w:trHeight w:val="300"/>
        </w:trPr>
        <w:tc>
          <w:tcPr>
            <w:tcW w:w="960" w:type="dxa"/>
            <w:shd w:val="clear" w:color="auto" w:fill="auto"/>
            <w:noWrap/>
            <w:vAlign w:val="bottom"/>
            <w:hideMark/>
          </w:tcPr>
          <w:p w14:paraId="480F212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0777D35A"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1AF3D2A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619900</w:t>
            </w:r>
          </w:p>
        </w:tc>
        <w:tc>
          <w:tcPr>
            <w:tcW w:w="994" w:type="dxa"/>
            <w:shd w:val="clear" w:color="auto" w:fill="auto"/>
            <w:noWrap/>
            <w:vAlign w:val="bottom"/>
            <w:hideMark/>
          </w:tcPr>
          <w:p w14:paraId="16E60C6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223800</w:t>
            </w:r>
          </w:p>
        </w:tc>
        <w:tc>
          <w:tcPr>
            <w:tcW w:w="927" w:type="dxa"/>
            <w:shd w:val="clear" w:color="auto" w:fill="auto"/>
            <w:noWrap/>
            <w:vAlign w:val="bottom"/>
            <w:hideMark/>
          </w:tcPr>
          <w:p w14:paraId="127728F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69.47</w:t>
            </w:r>
          </w:p>
        </w:tc>
        <w:tc>
          <w:tcPr>
            <w:tcW w:w="851" w:type="dxa"/>
            <w:shd w:val="clear" w:color="auto" w:fill="auto"/>
            <w:noWrap/>
            <w:vAlign w:val="bottom"/>
            <w:hideMark/>
          </w:tcPr>
          <w:p w14:paraId="006C034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6.95</w:t>
            </w:r>
          </w:p>
        </w:tc>
        <w:tc>
          <w:tcPr>
            <w:tcW w:w="850" w:type="dxa"/>
            <w:shd w:val="clear" w:color="auto" w:fill="auto"/>
            <w:noWrap/>
            <w:vAlign w:val="bottom"/>
            <w:hideMark/>
          </w:tcPr>
          <w:p w14:paraId="4AC7337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38.48</w:t>
            </w:r>
          </w:p>
        </w:tc>
        <w:tc>
          <w:tcPr>
            <w:tcW w:w="851" w:type="dxa"/>
            <w:shd w:val="clear" w:color="auto" w:fill="auto"/>
            <w:noWrap/>
            <w:vAlign w:val="bottom"/>
            <w:hideMark/>
          </w:tcPr>
          <w:p w14:paraId="570ECA5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D75CDB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5B62ACD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38DA49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3D6E5D9" w14:textId="77777777" w:rsidTr="00F560C9">
        <w:trPr>
          <w:trHeight w:val="300"/>
        </w:trPr>
        <w:tc>
          <w:tcPr>
            <w:tcW w:w="960" w:type="dxa"/>
            <w:shd w:val="clear" w:color="auto" w:fill="auto"/>
            <w:noWrap/>
            <w:vAlign w:val="bottom"/>
            <w:hideMark/>
          </w:tcPr>
          <w:p w14:paraId="4A6394D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6952AE8F"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23FFA0B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636900</w:t>
            </w:r>
          </w:p>
        </w:tc>
        <w:tc>
          <w:tcPr>
            <w:tcW w:w="994" w:type="dxa"/>
            <w:shd w:val="clear" w:color="auto" w:fill="auto"/>
            <w:noWrap/>
            <w:vAlign w:val="bottom"/>
            <w:hideMark/>
          </w:tcPr>
          <w:p w14:paraId="20C503C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170900</w:t>
            </w:r>
          </w:p>
        </w:tc>
        <w:tc>
          <w:tcPr>
            <w:tcW w:w="927" w:type="dxa"/>
            <w:shd w:val="clear" w:color="auto" w:fill="auto"/>
            <w:noWrap/>
            <w:vAlign w:val="bottom"/>
            <w:hideMark/>
          </w:tcPr>
          <w:p w14:paraId="412F338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16.62</w:t>
            </w:r>
          </w:p>
        </w:tc>
        <w:tc>
          <w:tcPr>
            <w:tcW w:w="851" w:type="dxa"/>
            <w:shd w:val="clear" w:color="auto" w:fill="auto"/>
            <w:noWrap/>
            <w:vAlign w:val="bottom"/>
            <w:hideMark/>
          </w:tcPr>
          <w:p w14:paraId="4AD87F0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6E8E5090"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1.78</w:t>
            </w:r>
          </w:p>
        </w:tc>
        <w:tc>
          <w:tcPr>
            <w:tcW w:w="851" w:type="dxa"/>
            <w:shd w:val="clear" w:color="auto" w:fill="auto"/>
            <w:noWrap/>
            <w:vAlign w:val="bottom"/>
            <w:hideMark/>
          </w:tcPr>
          <w:p w14:paraId="64B58B6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3B238F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073F9B2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2E2F9E4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70BC050F" w14:textId="77777777" w:rsidTr="00F560C9">
        <w:trPr>
          <w:trHeight w:val="300"/>
        </w:trPr>
        <w:tc>
          <w:tcPr>
            <w:tcW w:w="960" w:type="dxa"/>
            <w:shd w:val="clear" w:color="auto" w:fill="auto"/>
            <w:noWrap/>
            <w:vAlign w:val="bottom"/>
            <w:hideMark/>
          </w:tcPr>
          <w:p w14:paraId="163CA58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2FA7E578"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571AFED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577900</w:t>
            </w:r>
          </w:p>
        </w:tc>
        <w:tc>
          <w:tcPr>
            <w:tcW w:w="994" w:type="dxa"/>
            <w:shd w:val="clear" w:color="auto" w:fill="auto"/>
            <w:noWrap/>
            <w:vAlign w:val="bottom"/>
            <w:hideMark/>
          </w:tcPr>
          <w:p w14:paraId="41B04F0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191800</w:t>
            </w:r>
          </w:p>
        </w:tc>
        <w:tc>
          <w:tcPr>
            <w:tcW w:w="927" w:type="dxa"/>
            <w:shd w:val="clear" w:color="auto" w:fill="auto"/>
            <w:noWrap/>
            <w:vAlign w:val="bottom"/>
            <w:hideMark/>
          </w:tcPr>
          <w:p w14:paraId="23D5C61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62.02</w:t>
            </w:r>
          </w:p>
        </w:tc>
        <w:tc>
          <w:tcPr>
            <w:tcW w:w="851" w:type="dxa"/>
            <w:shd w:val="clear" w:color="auto" w:fill="auto"/>
            <w:noWrap/>
            <w:vAlign w:val="bottom"/>
            <w:hideMark/>
          </w:tcPr>
          <w:p w14:paraId="5B1C6F4A"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12.76</w:t>
            </w:r>
          </w:p>
        </w:tc>
        <w:tc>
          <w:tcPr>
            <w:tcW w:w="850" w:type="dxa"/>
            <w:shd w:val="clear" w:color="auto" w:fill="auto"/>
            <w:noWrap/>
            <w:vAlign w:val="bottom"/>
            <w:hideMark/>
          </w:tcPr>
          <w:p w14:paraId="6CE6400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9.31</w:t>
            </w:r>
          </w:p>
        </w:tc>
        <w:tc>
          <w:tcPr>
            <w:tcW w:w="851" w:type="dxa"/>
            <w:shd w:val="clear" w:color="auto" w:fill="auto"/>
            <w:noWrap/>
            <w:vAlign w:val="bottom"/>
            <w:hideMark/>
          </w:tcPr>
          <w:p w14:paraId="5834083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F2C098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37779C2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2AE388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29F9A8D6" w14:textId="77777777" w:rsidTr="00F560C9">
        <w:trPr>
          <w:trHeight w:val="300"/>
        </w:trPr>
        <w:tc>
          <w:tcPr>
            <w:tcW w:w="960" w:type="dxa"/>
            <w:shd w:val="clear" w:color="auto" w:fill="auto"/>
            <w:noWrap/>
            <w:vAlign w:val="bottom"/>
            <w:hideMark/>
          </w:tcPr>
          <w:p w14:paraId="781B051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3FA01342"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7B0FB03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361900</w:t>
            </w:r>
          </w:p>
        </w:tc>
        <w:tc>
          <w:tcPr>
            <w:tcW w:w="994" w:type="dxa"/>
            <w:shd w:val="clear" w:color="auto" w:fill="auto"/>
            <w:noWrap/>
            <w:vAlign w:val="bottom"/>
            <w:hideMark/>
          </w:tcPr>
          <w:p w14:paraId="23E7A3F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284700</w:t>
            </w:r>
          </w:p>
        </w:tc>
        <w:tc>
          <w:tcPr>
            <w:tcW w:w="927" w:type="dxa"/>
            <w:shd w:val="clear" w:color="auto" w:fill="auto"/>
            <w:noWrap/>
            <w:vAlign w:val="bottom"/>
            <w:hideMark/>
          </w:tcPr>
          <w:p w14:paraId="0889218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69.66</w:t>
            </w:r>
          </w:p>
        </w:tc>
        <w:tc>
          <w:tcPr>
            <w:tcW w:w="851" w:type="dxa"/>
            <w:shd w:val="clear" w:color="auto" w:fill="auto"/>
            <w:noWrap/>
            <w:vAlign w:val="bottom"/>
            <w:hideMark/>
          </w:tcPr>
          <w:p w14:paraId="0FD71A3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4.72</w:t>
            </w:r>
          </w:p>
        </w:tc>
        <w:tc>
          <w:tcPr>
            <w:tcW w:w="850" w:type="dxa"/>
            <w:shd w:val="clear" w:color="auto" w:fill="auto"/>
            <w:noWrap/>
            <w:vAlign w:val="bottom"/>
            <w:hideMark/>
          </w:tcPr>
          <w:p w14:paraId="4A16A83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19.75</w:t>
            </w:r>
          </w:p>
        </w:tc>
        <w:tc>
          <w:tcPr>
            <w:tcW w:w="851" w:type="dxa"/>
            <w:shd w:val="clear" w:color="auto" w:fill="auto"/>
            <w:noWrap/>
            <w:vAlign w:val="bottom"/>
            <w:hideMark/>
          </w:tcPr>
          <w:p w14:paraId="623F60A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46CB6D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49B063A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EECB57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2C4C0329" w14:textId="77777777" w:rsidTr="00F560C9">
        <w:trPr>
          <w:trHeight w:val="300"/>
        </w:trPr>
        <w:tc>
          <w:tcPr>
            <w:tcW w:w="960" w:type="dxa"/>
            <w:shd w:val="clear" w:color="auto" w:fill="auto"/>
            <w:noWrap/>
            <w:vAlign w:val="bottom"/>
            <w:hideMark/>
          </w:tcPr>
          <w:p w14:paraId="69CEEC1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4243F9BC"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44D070C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597800</w:t>
            </w:r>
          </w:p>
        </w:tc>
        <w:tc>
          <w:tcPr>
            <w:tcW w:w="994" w:type="dxa"/>
            <w:shd w:val="clear" w:color="auto" w:fill="auto"/>
            <w:noWrap/>
            <w:vAlign w:val="bottom"/>
            <w:hideMark/>
          </w:tcPr>
          <w:p w14:paraId="0B84113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220300</w:t>
            </w:r>
          </w:p>
        </w:tc>
        <w:tc>
          <w:tcPr>
            <w:tcW w:w="927" w:type="dxa"/>
            <w:shd w:val="clear" w:color="auto" w:fill="auto"/>
            <w:noWrap/>
            <w:vAlign w:val="bottom"/>
            <w:hideMark/>
          </w:tcPr>
          <w:p w14:paraId="6495FD7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45.73</w:t>
            </w:r>
          </w:p>
        </w:tc>
        <w:tc>
          <w:tcPr>
            <w:tcW w:w="851" w:type="dxa"/>
            <w:shd w:val="clear" w:color="auto" w:fill="auto"/>
            <w:noWrap/>
            <w:vAlign w:val="bottom"/>
            <w:hideMark/>
          </w:tcPr>
          <w:p w14:paraId="6928BF4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0.91</w:t>
            </w:r>
          </w:p>
        </w:tc>
        <w:tc>
          <w:tcPr>
            <w:tcW w:w="850" w:type="dxa"/>
            <w:shd w:val="clear" w:color="auto" w:fill="auto"/>
            <w:noWrap/>
            <w:vAlign w:val="bottom"/>
            <w:hideMark/>
          </w:tcPr>
          <w:p w14:paraId="5B3FD25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4.57</w:t>
            </w:r>
          </w:p>
        </w:tc>
        <w:tc>
          <w:tcPr>
            <w:tcW w:w="851" w:type="dxa"/>
            <w:shd w:val="clear" w:color="auto" w:fill="auto"/>
            <w:noWrap/>
            <w:vAlign w:val="bottom"/>
            <w:hideMark/>
          </w:tcPr>
          <w:p w14:paraId="3A75975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4C3AE95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0B16DCE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724DD5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4F827C68" w14:textId="77777777" w:rsidTr="00F560C9">
        <w:trPr>
          <w:trHeight w:val="300"/>
        </w:trPr>
        <w:tc>
          <w:tcPr>
            <w:tcW w:w="960" w:type="dxa"/>
            <w:shd w:val="clear" w:color="auto" w:fill="auto"/>
            <w:noWrap/>
            <w:vAlign w:val="bottom"/>
            <w:hideMark/>
          </w:tcPr>
          <w:p w14:paraId="7B220A5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63F3B2A0"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17188A4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482600</w:t>
            </w:r>
          </w:p>
        </w:tc>
        <w:tc>
          <w:tcPr>
            <w:tcW w:w="994" w:type="dxa"/>
            <w:shd w:val="clear" w:color="auto" w:fill="auto"/>
            <w:noWrap/>
            <w:vAlign w:val="bottom"/>
            <w:hideMark/>
          </w:tcPr>
          <w:p w14:paraId="237CA93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142500</w:t>
            </w:r>
          </w:p>
        </w:tc>
        <w:tc>
          <w:tcPr>
            <w:tcW w:w="927" w:type="dxa"/>
            <w:shd w:val="clear" w:color="auto" w:fill="auto"/>
            <w:noWrap/>
            <w:vAlign w:val="bottom"/>
            <w:hideMark/>
          </w:tcPr>
          <w:p w14:paraId="0073A4E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23.17</w:t>
            </w:r>
          </w:p>
        </w:tc>
        <w:tc>
          <w:tcPr>
            <w:tcW w:w="851" w:type="dxa"/>
            <w:shd w:val="clear" w:color="auto" w:fill="auto"/>
            <w:noWrap/>
            <w:vAlign w:val="bottom"/>
            <w:hideMark/>
          </w:tcPr>
          <w:p w14:paraId="6F890AA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76B7ED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2.00</w:t>
            </w:r>
          </w:p>
        </w:tc>
        <w:tc>
          <w:tcPr>
            <w:tcW w:w="851" w:type="dxa"/>
            <w:shd w:val="clear" w:color="auto" w:fill="auto"/>
            <w:noWrap/>
            <w:vAlign w:val="bottom"/>
            <w:hideMark/>
          </w:tcPr>
          <w:p w14:paraId="71EEDEF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3EBAAB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3301800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5B9A74D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37A88707" w14:textId="77777777" w:rsidTr="00F560C9">
        <w:trPr>
          <w:trHeight w:val="300"/>
        </w:trPr>
        <w:tc>
          <w:tcPr>
            <w:tcW w:w="960" w:type="dxa"/>
            <w:shd w:val="clear" w:color="auto" w:fill="auto"/>
            <w:noWrap/>
            <w:vAlign w:val="bottom"/>
            <w:hideMark/>
          </w:tcPr>
          <w:p w14:paraId="5BEB831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7511C780"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461F5CC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425600</w:t>
            </w:r>
          </w:p>
        </w:tc>
        <w:tc>
          <w:tcPr>
            <w:tcW w:w="994" w:type="dxa"/>
            <w:shd w:val="clear" w:color="auto" w:fill="auto"/>
            <w:noWrap/>
            <w:vAlign w:val="bottom"/>
            <w:hideMark/>
          </w:tcPr>
          <w:p w14:paraId="3C37320F"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553600</w:t>
            </w:r>
          </w:p>
        </w:tc>
        <w:tc>
          <w:tcPr>
            <w:tcW w:w="927" w:type="dxa"/>
            <w:shd w:val="clear" w:color="auto" w:fill="auto"/>
            <w:noWrap/>
            <w:vAlign w:val="bottom"/>
            <w:hideMark/>
          </w:tcPr>
          <w:p w14:paraId="2C88354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51.72</w:t>
            </w:r>
          </w:p>
        </w:tc>
        <w:tc>
          <w:tcPr>
            <w:tcW w:w="851" w:type="dxa"/>
            <w:shd w:val="clear" w:color="auto" w:fill="auto"/>
            <w:noWrap/>
            <w:vAlign w:val="bottom"/>
            <w:hideMark/>
          </w:tcPr>
          <w:p w14:paraId="0070B7B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1.36</w:t>
            </w:r>
          </w:p>
        </w:tc>
        <w:tc>
          <w:tcPr>
            <w:tcW w:w="850" w:type="dxa"/>
            <w:shd w:val="clear" w:color="auto" w:fill="auto"/>
            <w:noWrap/>
            <w:vAlign w:val="bottom"/>
            <w:hideMark/>
          </w:tcPr>
          <w:p w14:paraId="7F45AA6B"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21.44</w:t>
            </w:r>
          </w:p>
        </w:tc>
        <w:tc>
          <w:tcPr>
            <w:tcW w:w="851" w:type="dxa"/>
            <w:shd w:val="clear" w:color="auto" w:fill="auto"/>
            <w:noWrap/>
            <w:vAlign w:val="bottom"/>
            <w:hideMark/>
          </w:tcPr>
          <w:p w14:paraId="2EA7C62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568BDB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4E4344F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5B97AC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5A480705" w14:textId="77777777" w:rsidTr="00F560C9">
        <w:trPr>
          <w:trHeight w:val="300"/>
        </w:trPr>
        <w:tc>
          <w:tcPr>
            <w:tcW w:w="960" w:type="dxa"/>
            <w:shd w:val="clear" w:color="auto" w:fill="auto"/>
            <w:noWrap/>
            <w:vAlign w:val="bottom"/>
            <w:hideMark/>
          </w:tcPr>
          <w:p w14:paraId="5750E3BE"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553DE5CF"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42A624B8"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493500</w:t>
            </w:r>
          </w:p>
        </w:tc>
        <w:tc>
          <w:tcPr>
            <w:tcW w:w="994" w:type="dxa"/>
            <w:shd w:val="clear" w:color="auto" w:fill="auto"/>
            <w:noWrap/>
            <w:vAlign w:val="bottom"/>
            <w:hideMark/>
          </w:tcPr>
          <w:p w14:paraId="7ADB7D9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145300</w:t>
            </w:r>
          </w:p>
        </w:tc>
        <w:tc>
          <w:tcPr>
            <w:tcW w:w="927" w:type="dxa"/>
            <w:shd w:val="clear" w:color="auto" w:fill="auto"/>
            <w:noWrap/>
            <w:vAlign w:val="bottom"/>
            <w:hideMark/>
          </w:tcPr>
          <w:p w14:paraId="516EB08C"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44.78</w:t>
            </w:r>
          </w:p>
        </w:tc>
        <w:tc>
          <w:tcPr>
            <w:tcW w:w="851" w:type="dxa"/>
            <w:shd w:val="clear" w:color="auto" w:fill="auto"/>
            <w:noWrap/>
            <w:vAlign w:val="bottom"/>
            <w:hideMark/>
          </w:tcPr>
          <w:p w14:paraId="1E77D3D6"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76067E9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3.11</w:t>
            </w:r>
          </w:p>
        </w:tc>
        <w:tc>
          <w:tcPr>
            <w:tcW w:w="851" w:type="dxa"/>
            <w:shd w:val="clear" w:color="auto" w:fill="auto"/>
            <w:noWrap/>
            <w:vAlign w:val="bottom"/>
            <w:hideMark/>
          </w:tcPr>
          <w:p w14:paraId="7232B254"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1DF0342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230CBA5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A54979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r w:rsidR="00AB13DC" w:rsidRPr="008A38A6" w14:paraId="2CD7D31A" w14:textId="77777777" w:rsidTr="00F560C9">
        <w:trPr>
          <w:trHeight w:val="300"/>
        </w:trPr>
        <w:tc>
          <w:tcPr>
            <w:tcW w:w="960" w:type="dxa"/>
            <w:shd w:val="clear" w:color="auto" w:fill="auto"/>
            <w:noWrap/>
            <w:vAlign w:val="bottom"/>
            <w:hideMark/>
          </w:tcPr>
          <w:p w14:paraId="1842272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2015</w:t>
            </w:r>
          </w:p>
        </w:tc>
        <w:tc>
          <w:tcPr>
            <w:tcW w:w="794" w:type="dxa"/>
            <w:shd w:val="clear" w:color="auto" w:fill="auto"/>
            <w:noWrap/>
            <w:hideMark/>
          </w:tcPr>
          <w:p w14:paraId="3CE3EE70" w14:textId="77777777" w:rsidR="00AB13DC" w:rsidRDefault="00AB13DC" w:rsidP="00AB13DC">
            <w:r w:rsidRPr="008A38A6">
              <w:rPr>
                <w:rFonts w:ascii="Calibri" w:eastAsia="Times New Roman" w:hAnsi="Calibri"/>
                <w:lang w:val="en-GB" w:eastAsia="en-GB"/>
              </w:rPr>
              <w:t>Sept.</w:t>
            </w:r>
          </w:p>
        </w:tc>
        <w:tc>
          <w:tcPr>
            <w:tcW w:w="861" w:type="dxa"/>
            <w:shd w:val="clear" w:color="auto" w:fill="auto"/>
            <w:noWrap/>
            <w:vAlign w:val="bottom"/>
            <w:hideMark/>
          </w:tcPr>
          <w:p w14:paraId="0F3F032D"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270400</w:t>
            </w:r>
          </w:p>
        </w:tc>
        <w:tc>
          <w:tcPr>
            <w:tcW w:w="994" w:type="dxa"/>
            <w:shd w:val="clear" w:color="auto" w:fill="auto"/>
            <w:noWrap/>
            <w:vAlign w:val="bottom"/>
            <w:hideMark/>
          </w:tcPr>
          <w:p w14:paraId="7F698992"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855100</w:t>
            </w:r>
          </w:p>
        </w:tc>
        <w:tc>
          <w:tcPr>
            <w:tcW w:w="927" w:type="dxa"/>
            <w:shd w:val="clear" w:color="auto" w:fill="auto"/>
            <w:noWrap/>
            <w:vAlign w:val="bottom"/>
            <w:hideMark/>
          </w:tcPr>
          <w:p w14:paraId="0ECF970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37.43</w:t>
            </w:r>
          </w:p>
        </w:tc>
        <w:tc>
          <w:tcPr>
            <w:tcW w:w="851" w:type="dxa"/>
            <w:shd w:val="clear" w:color="auto" w:fill="auto"/>
            <w:noWrap/>
            <w:vAlign w:val="bottom"/>
            <w:hideMark/>
          </w:tcPr>
          <w:p w14:paraId="4CE1E47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6.41</w:t>
            </w:r>
          </w:p>
        </w:tc>
        <w:tc>
          <w:tcPr>
            <w:tcW w:w="850" w:type="dxa"/>
            <w:shd w:val="clear" w:color="auto" w:fill="auto"/>
            <w:noWrap/>
            <w:vAlign w:val="bottom"/>
            <w:hideMark/>
          </w:tcPr>
          <w:p w14:paraId="1105E1C1"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2.16</w:t>
            </w:r>
          </w:p>
        </w:tc>
        <w:tc>
          <w:tcPr>
            <w:tcW w:w="851" w:type="dxa"/>
            <w:shd w:val="clear" w:color="auto" w:fill="auto"/>
            <w:noWrap/>
            <w:vAlign w:val="bottom"/>
            <w:hideMark/>
          </w:tcPr>
          <w:p w14:paraId="29B251A7"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38F33169"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1" w:type="dxa"/>
            <w:shd w:val="clear" w:color="auto" w:fill="auto"/>
            <w:noWrap/>
            <w:vAlign w:val="bottom"/>
            <w:hideMark/>
          </w:tcPr>
          <w:p w14:paraId="64BB5665"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c>
          <w:tcPr>
            <w:tcW w:w="850" w:type="dxa"/>
            <w:shd w:val="clear" w:color="auto" w:fill="auto"/>
            <w:noWrap/>
            <w:vAlign w:val="bottom"/>
            <w:hideMark/>
          </w:tcPr>
          <w:p w14:paraId="01EE44F3" w14:textId="77777777" w:rsidR="00AB13DC" w:rsidRPr="008A38A6" w:rsidRDefault="00AB13DC" w:rsidP="00AB13DC">
            <w:pPr>
              <w:jc w:val="right"/>
              <w:rPr>
                <w:rFonts w:ascii="Calibri" w:eastAsia="Times New Roman" w:hAnsi="Calibri"/>
                <w:lang w:val="en-GB" w:eastAsia="en-GB"/>
              </w:rPr>
            </w:pPr>
            <w:r w:rsidRPr="008A38A6">
              <w:rPr>
                <w:rFonts w:ascii="Calibri" w:eastAsia="Times New Roman" w:hAnsi="Calibri"/>
                <w:lang w:val="en-GB" w:eastAsia="en-GB"/>
              </w:rPr>
              <w:t>0.00</w:t>
            </w:r>
          </w:p>
        </w:tc>
      </w:tr>
    </w:tbl>
    <w:p w14:paraId="6ECA6875" w14:textId="77777777" w:rsidR="005C104A" w:rsidRDefault="005C104A" w:rsidP="001B2F0E">
      <w:pPr>
        <w:pStyle w:val="Acknowledgement"/>
        <w:spacing w:before="0" w:line="360" w:lineRule="auto"/>
        <w:ind w:left="1440"/>
      </w:pPr>
    </w:p>
    <w:p w14:paraId="66164371" w14:textId="359E9160" w:rsidR="00D43B2F" w:rsidRDefault="00D43B2F" w:rsidP="00D149E9">
      <w:pPr>
        <w:pStyle w:val="Acknowledgement"/>
        <w:spacing w:before="0" w:line="360" w:lineRule="auto"/>
        <w:ind w:left="0" w:firstLine="0"/>
      </w:pPr>
      <w:r>
        <w:br w:type="page"/>
      </w:r>
      <w:r w:rsidRPr="00B40B36">
        <w:rPr>
          <w:b/>
        </w:rPr>
        <w:lastRenderedPageBreak/>
        <w:t>Table</w:t>
      </w:r>
      <w:r w:rsidR="00297D99">
        <w:rPr>
          <w:b/>
        </w:rPr>
        <w:t xml:space="preserve"> C</w:t>
      </w:r>
      <w:r w:rsidRPr="00B40B36">
        <w:rPr>
          <w:b/>
        </w:rPr>
        <w:t>.</w:t>
      </w:r>
      <w:r w:rsidRPr="00B40B36">
        <w:t xml:space="preserve"> </w:t>
      </w:r>
      <w:r w:rsidR="001C5242">
        <w:rPr>
          <w:b/>
        </w:rPr>
        <w:t>Pearson</w:t>
      </w:r>
      <w:r w:rsidR="00297D99">
        <w:rPr>
          <w:b/>
        </w:rPr>
        <w:t>’</w:t>
      </w:r>
      <w:r w:rsidR="001C5242">
        <w:rPr>
          <w:b/>
        </w:rPr>
        <w:t>s correlation</w:t>
      </w:r>
      <w:r w:rsidR="00293D13">
        <w:rPr>
          <w:b/>
        </w:rPr>
        <w:t xml:space="preserve"> coefficients</w:t>
      </w:r>
      <w:r>
        <w:rPr>
          <w:b/>
        </w:rPr>
        <w:t xml:space="preserve"> between agricultural land use types.</w:t>
      </w:r>
      <w:r w:rsidRPr="00B40B36">
        <w:rPr>
          <w:b/>
        </w:rPr>
        <w:t xml:space="preserve"> </w:t>
      </w:r>
      <w:r>
        <w:t xml:space="preserve">  Summary correlations for 2015 data between the three land use types considered as fixed effect to explain neonicotinoid residues in honey.  All land use cover was determined within a 2 km radius from hives where honey samples were removed.  </w:t>
      </w:r>
    </w:p>
    <w:p w14:paraId="7F263876" w14:textId="77777777" w:rsidR="00D43B2F" w:rsidRDefault="00D43B2F" w:rsidP="00D43B2F">
      <w:pPr>
        <w:pStyle w:val="Acknowledgement"/>
        <w:spacing w:before="0" w:line="360" w:lineRule="auto"/>
        <w:ind w:left="144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982"/>
        <w:gridCol w:w="1983"/>
        <w:gridCol w:w="1983"/>
      </w:tblGrid>
      <w:tr w:rsidR="00D43B2F" w14:paraId="5BEFAEB1" w14:textId="77777777" w:rsidTr="00D43B2F">
        <w:tc>
          <w:tcPr>
            <w:tcW w:w="2047" w:type="dxa"/>
            <w:shd w:val="clear" w:color="auto" w:fill="auto"/>
          </w:tcPr>
          <w:p w14:paraId="78511514" w14:textId="77777777" w:rsidR="00D43B2F" w:rsidRPr="00C355DE" w:rsidRDefault="00D43B2F" w:rsidP="00D43B2F">
            <w:pPr>
              <w:pStyle w:val="Acknowledgement"/>
              <w:spacing w:before="0"/>
              <w:ind w:left="0" w:firstLine="0"/>
              <w:rPr>
                <w:rFonts w:ascii="Times" w:hAnsi="Times"/>
              </w:rPr>
            </w:pPr>
          </w:p>
        </w:tc>
        <w:tc>
          <w:tcPr>
            <w:tcW w:w="2059" w:type="dxa"/>
            <w:shd w:val="clear" w:color="auto" w:fill="auto"/>
          </w:tcPr>
          <w:p w14:paraId="59A2972D" w14:textId="18EF6CA6" w:rsidR="00D43B2F" w:rsidRPr="00D43B2F" w:rsidRDefault="001C5242" w:rsidP="00D43B2F">
            <w:pPr>
              <w:pStyle w:val="Acknowledgement"/>
              <w:spacing w:before="0"/>
              <w:ind w:left="0" w:firstLine="0"/>
              <w:rPr>
                <w:rFonts w:ascii="Times" w:hAnsi="Times"/>
                <w:b/>
              </w:rPr>
            </w:pPr>
            <w:r w:rsidRPr="00D43B2F">
              <w:rPr>
                <w:rFonts w:ascii="Times" w:hAnsi="Times"/>
                <w:b/>
              </w:rPr>
              <w:t>Total arable</w:t>
            </w:r>
          </w:p>
        </w:tc>
        <w:tc>
          <w:tcPr>
            <w:tcW w:w="2060" w:type="dxa"/>
            <w:shd w:val="clear" w:color="auto" w:fill="auto"/>
          </w:tcPr>
          <w:p w14:paraId="4D8E7D60" w14:textId="77777777" w:rsidR="00D43B2F" w:rsidRPr="00D43B2F" w:rsidRDefault="00D43B2F" w:rsidP="00D43B2F">
            <w:pPr>
              <w:pStyle w:val="Acknowledgement"/>
              <w:spacing w:before="0"/>
              <w:ind w:left="0" w:firstLine="0"/>
              <w:rPr>
                <w:rFonts w:ascii="Times" w:hAnsi="Times"/>
                <w:b/>
              </w:rPr>
            </w:pPr>
            <w:r w:rsidRPr="00D43B2F">
              <w:rPr>
                <w:rFonts w:ascii="Times" w:hAnsi="Times"/>
                <w:b/>
              </w:rPr>
              <w:t>Winter cereals</w:t>
            </w:r>
          </w:p>
        </w:tc>
        <w:tc>
          <w:tcPr>
            <w:tcW w:w="2060" w:type="dxa"/>
            <w:shd w:val="clear" w:color="auto" w:fill="auto"/>
          </w:tcPr>
          <w:p w14:paraId="6E6CB885" w14:textId="3A66E86D" w:rsidR="00D43B2F" w:rsidRPr="00D43B2F" w:rsidRDefault="001C5242" w:rsidP="00D43B2F">
            <w:pPr>
              <w:pStyle w:val="Acknowledgement"/>
              <w:spacing w:before="0"/>
              <w:ind w:left="0" w:firstLine="0"/>
              <w:rPr>
                <w:rFonts w:ascii="Times" w:hAnsi="Times"/>
                <w:b/>
              </w:rPr>
            </w:pPr>
            <w:r w:rsidRPr="00D43B2F">
              <w:rPr>
                <w:rFonts w:ascii="Times" w:hAnsi="Times"/>
                <w:b/>
              </w:rPr>
              <w:t>Oilseed rape</w:t>
            </w:r>
          </w:p>
        </w:tc>
      </w:tr>
      <w:tr w:rsidR="00D43B2F" w14:paraId="5B202541" w14:textId="77777777" w:rsidTr="00D43B2F">
        <w:tc>
          <w:tcPr>
            <w:tcW w:w="2047" w:type="dxa"/>
            <w:shd w:val="clear" w:color="auto" w:fill="auto"/>
          </w:tcPr>
          <w:p w14:paraId="150D9731" w14:textId="1E84511D" w:rsidR="00D43B2F" w:rsidRPr="00D43B2F" w:rsidRDefault="001C5242" w:rsidP="00D43B2F">
            <w:pPr>
              <w:pStyle w:val="Acknowledgement"/>
              <w:spacing w:before="0"/>
              <w:ind w:left="0" w:firstLine="0"/>
              <w:rPr>
                <w:rFonts w:ascii="Times" w:hAnsi="Times"/>
                <w:b/>
              </w:rPr>
            </w:pPr>
            <w:r w:rsidRPr="00D43B2F">
              <w:rPr>
                <w:rFonts w:ascii="Times" w:hAnsi="Times"/>
                <w:b/>
              </w:rPr>
              <w:t>Total arable</w:t>
            </w:r>
          </w:p>
        </w:tc>
        <w:tc>
          <w:tcPr>
            <w:tcW w:w="2059" w:type="dxa"/>
            <w:shd w:val="clear" w:color="auto" w:fill="auto"/>
          </w:tcPr>
          <w:p w14:paraId="456DF2F0" w14:textId="5D7A4745" w:rsidR="00D43B2F" w:rsidRPr="001C5242" w:rsidRDefault="001C5242" w:rsidP="001C5242">
            <w:pPr>
              <w:pStyle w:val="Acknowledgement"/>
              <w:spacing w:before="0"/>
              <w:ind w:left="0" w:firstLine="0"/>
              <w:rPr>
                <w:rFonts w:ascii="Times" w:hAnsi="Times"/>
              </w:rPr>
            </w:pPr>
            <w:r w:rsidRPr="001C5242">
              <w:rPr>
                <w:rFonts w:ascii="Times" w:hAnsi="Times"/>
              </w:rPr>
              <w:t xml:space="preserve">1.00 </w:t>
            </w:r>
          </w:p>
        </w:tc>
        <w:tc>
          <w:tcPr>
            <w:tcW w:w="2060" w:type="dxa"/>
            <w:shd w:val="clear" w:color="auto" w:fill="auto"/>
          </w:tcPr>
          <w:p w14:paraId="260DCD9C" w14:textId="206006A9" w:rsidR="00D43B2F" w:rsidRPr="001C5242" w:rsidRDefault="001C5242" w:rsidP="001C5242">
            <w:pPr>
              <w:pStyle w:val="Acknowledgement"/>
              <w:spacing w:before="0"/>
              <w:ind w:left="0" w:firstLine="0"/>
              <w:rPr>
                <w:rFonts w:ascii="Times" w:hAnsi="Times"/>
              </w:rPr>
            </w:pPr>
            <w:r w:rsidRPr="001C5242">
              <w:rPr>
                <w:rFonts w:ascii="Times" w:hAnsi="Times"/>
              </w:rPr>
              <w:t>0.55</w:t>
            </w:r>
            <w:r>
              <w:rPr>
                <w:rFonts w:ascii="Times" w:hAnsi="Times"/>
              </w:rPr>
              <w:t xml:space="preserve"> </w:t>
            </w:r>
            <w:r w:rsidRPr="001C5242">
              <w:rPr>
                <w:rFonts w:ascii="Times" w:hAnsi="Times"/>
              </w:rPr>
              <w:t>(</w:t>
            </w:r>
            <w:r w:rsidRPr="001C5242">
              <w:rPr>
                <w:rFonts w:ascii="Times" w:hAnsi="Times"/>
                <w:i/>
              </w:rPr>
              <w:t>p</w:t>
            </w:r>
            <w:r>
              <w:rPr>
                <w:rFonts w:ascii="Times" w:hAnsi="Times"/>
                <w:i/>
              </w:rPr>
              <w:t>&lt;</w:t>
            </w:r>
            <w:r w:rsidRPr="001C5242">
              <w:rPr>
                <w:rFonts w:ascii="Times" w:hAnsi="Times"/>
              </w:rPr>
              <w:t>0.01)</w:t>
            </w:r>
          </w:p>
        </w:tc>
        <w:tc>
          <w:tcPr>
            <w:tcW w:w="2060" w:type="dxa"/>
            <w:shd w:val="clear" w:color="auto" w:fill="auto"/>
          </w:tcPr>
          <w:p w14:paraId="7A95AD24" w14:textId="294E2BCA" w:rsidR="00D43B2F" w:rsidRPr="001C5242" w:rsidRDefault="001C5242" w:rsidP="00D43B2F">
            <w:pPr>
              <w:pStyle w:val="Acknowledgement"/>
              <w:spacing w:before="0"/>
              <w:ind w:left="0" w:firstLine="0"/>
              <w:rPr>
                <w:rFonts w:ascii="Times" w:hAnsi="Times"/>
              </w:rPr>
            </w:pPr>
            <w:r w:rsidRPr="001C5242">
              <w:rPr>
                <w:rFonts w:ascii="Times" w:hAnsi="Times"/>
              </w:rPr>
              <w:t>0.62</w:t>
            </w:r>
            <w:r>
              <w:rPr>
                <w:rFonts w:ascii="Times" w:hAnsi="Times"/>
              </w:rPr>
              <w:t xml:space="preserve"> </w:t>
            </w:r>
            <w:r w:rsidRPr="001C5242">
              <w:rPr>
                <w:rFonts w:ascii="Times" w:hAnsi="Times"/>
              </w:rPr>
              <w:t>(</w:t>
            </w:r>
            <w:r w:rsidRPr="001C5242">
              <w:rPr>
                <w:rFonts w:ascii="Times" w:hAnsi="Times"/>
                <w:i/>
              </w:rPr>
              <w:t>p</w:t>
            </w:r>
            <w:r>
              <w:rPr>
                <w:rFonts w:ascii="Times" w:hAnsi="Times"/>
                <w:i/>
              </w:rPr>
              <w:t>&lt;</w:t>
            </w:r>
            <w:r w:rsidRPr="001C5242">
              <w:rPr>
                <w:rFonts w:ascii="Times" w:hAnsi="Times"/>
              </w:rPr>
              <w:t>0.01)</w:t>
            </w:r>
          </w:p>
        </w:tc>
      </w:tr>
      <w:tr w:rsidR="00D43B2F" w14:paraId="16180A48" w14:textId="77777777" w:rsidTr="00D43B2F">
        <w:tc>
          <w:tcPr>
            <w:tcW w:w="2047" w:type="dxa"/>
            <w:shd w:val="clear" w:color="auto" w:fill="auto"/>
          </w:tcPr>
          <w:p w14:paraId="7B420D18" w14:textId="77777777" w:rsidR="00D43B2F" w:rsidRPr="00D43B2F" w:rsidRDefault="00D43B2F" w:rsidP="00D43B2F">
            <w:pPr>
              <w:pStyle w:val="Acknowledgement"/>
              <w:spacing w:before="0"/>
              <w:ind w:left="0" w:firstLine="0"/>
              <w:rPr>
                <w:rFonts w:ascii="Times" w:hAnsi="Times"/>
                <w:b/>
              </w:rPr>
            </w:pPr>
            <w:r w:rsidRPr="00D43B2F">
              <w:rPr>
                <w:rFonts w:ascii="Times" w:hAnsi="Times"/>
                <w:b/>
              </w:rPr>
              <w:t>Winter cereal</w:t>
            </w:r>
          </w:p>
        </w:tc>
        <w:tc>
          <w:tcPr>
            <w:tcW w:w="2059" w:type="dxa"/>
            <w:shd w:val="clear" w:color="auto" w:fill="auto"/>
          </w:tcPr>
          <w:p w14:paraId="2FFD53CC" w14:textId="1E71BEA1" w:rsidR="00D43B2F" w:rsidRPr="001C5242" w:rsidRDefault="001C5242" w:rsidP="00D43B2F">
            <w:pPr>
              <w:pStyle w:val="Acknowledgement"/>
              <w:spacing w:before="0"/>
              <w:ind w:left="0" w:firstLine="0"/>
              <w:rPr>
                <w:rFonts w:ascii="Times" w:hAnsi="Times"/>
              </w:rPr>
            </w:pPr>
            <w:r w:rsidRPr="001C5242">
              <w:rPr>
                <w:rFonts w:ascii="Times" w:hAnsi="Times"/>
              </w:rPr>
              <w:t>0.55</w:t>
            </w:r>
            <w:r>
              <w:rPr>
                <w:rFonts w:ascii="Times" w:hAnsi="Times"/>
              </w:rPr>
              <w:t xml:space="preserve"> </w:t>
            </w:r>
            <w:r w:rsidRPr="001C5242">
              <w:rPr>
                <w:rFonts w:ascii="Times" w:hAnsi="Times"/>
              </w:rPr>
              <w:t>(</w:t>
            </w:r>
            <w:r w:rsidRPr="001C5242">
              <w:rPr>
                <w:rFonts w:ascii="Times" w:hAnsi="Times"/>
                <w:i/>
              </w:rPr>
              <w:t>p</w:t>
            </w:r>
            <w:r>
              <w:rPr>
                <w:rFonts w:ascii="Times" w:hAnsi="Times"/>
                <w:i/>
              </w:rPr>
              <w:t>&lt;</w:t>
            </w:r>
            <w:r w:rsidRPr="001C5242">
              <w:rPr>
                <w:rFonts w:ascii="Times" w:hAnsi="Times"/>
              </w:rPr>
              <w:t>0.01)</w:t>
            </w:r>
          </w:p>
        </w:tc>
        <w:tc>
          <w:tcPr>
            <w:tcW w:w="2060" w:type="dxa"/>
            <w:shd w:val="clear" w:color="auto" w:fill="auto"/>
          </w:tcPr>
          <w:p w14:paraId="2484792D" w14:textId="15DCA395" w:rsidR="00D43B2F" w:rsidRPr="001C5242" w:rsidRDefault="001C5242" w:rsidP="00D43B2F">
            <w:pPr>
              <w:pStyle w:val="Acknowledgement"/>
              <w:spacing w:before="0"/>
              <w:ind w:left="0" w:firstLine="0"/>
              <w:rPr>
                <w:rFonts w:ascii="Times" w:hAnsi="Times"/>
              </w:rPr>
            </w:pPr>
            <w:r w:rsidRPr="001C5242">
              <w:rPr>
                <w:rFonts w:ascii="Times" w:hAnsi="Times"/>
              </w:rPr>
              <w:t>1.00</w:t>
            </w:r>
          </w:p>
        </w:tc>
        <w:tc>
          <w:tcPr>
            <w:tcW w:w="2060" w:type="dxa"/>
            <w:shd w:val="clear" w:color="auto" w:fill="auto"/>
          </w:tcPr>
          <w:p w14:paraId="09297271" w14:textId="1645273D" w:rsidR="00D43B2F" w:rsidRPr="001C5242" w:rsidRDefault="001C5242" w:rsidP="00D43B2F">
            <w:pPr>
              <w:pStyle w:val="Acknowledgement"/>
              <w:spacing w:before="0"/>
              <w:ind w:left="0" w:firstLine="0"/>
              <w:rPr>
                <w:rFonts w:ascii="Times" w:hAnsi="Times"/>
              </w:rPr>
            </w:pPr>
            <w:r w:rsidRPr="001C5242">
              <w:rPr>
                <w:rFonts w:ascii="Times" w:hAnsi="Times"/>
              </w:rPr>
              <w:t>0.53</w:t>
            </w:r>
            <w:r>
              <w:rPr>
                <w:rFonts w:ascii="Times" w:hAnsi="Times"/>
              </w:rPr>
              <w:t xml:space="preserve"> </w:t>
            </w:r>
            <w:r w:rsidRPr="001C5242">
              <w:rPr>
                <w:rFonts w:ascii="Times" w:hAnsi="Times"/>
              </w:rPr>
              <w:t>(</w:t>
            </w:r>
            <w:r w:rsidRPr="001C5242">
              <w:rPr>
                <w:rFonts w:ascii="Times" w:hAnsi="Times"/>
                <w:i/>
              </w:rPr>
              <w:t>p</w:t>
            </w:r>
            <w:r>
              <w:rPr>
                <w:rFonts w:ascii="Times" w:hAnsi="Times"/>
                <w:i/>
              </w:rPr>
              <w:t>&lt;</w:t>
            </w:r>
            <w:r w:rsidRPr="001C5242">
              <w:rPr>
                <w:rFonts w:ascii="Times" w:hAnsi="Times"/>
              </w:rPr>
              <w:t>0.01)</w:t>
            </w:r>
          </w:p>
        </w:tc>
      </w:tr>
      <w:tr w:rsidR="00D43B2F" w14:paraId="499E9A88" w14:textId="77777777" w:rsidTr="00D43B2F">
        <w:tc>
          <w:tcPr>
            <w:tcW w:w="2047" w:type="dxa"/>
            <w:shd w:val="clear" w:color="auto" w:fill="auto"/>
          </w:tcPr>
          <w:p w14:paraId="334F2C98" w14:textId="59A4B36D" w:rsidR="00D43B2F" w:rsidRPr="00D43B2F" w:rsidRDefault="001C5242" w:rsidP="001C5242">
            <w:pPr>
              <w:pStyle w:val="Acknowledgement"/>
              <w:spacing w:before="0"/>
              <w:ind w:left="0" w:firstLine="0"/>
              <w:rPr>
                <w:rFonts w:ascii="Times" w:hAnsi="Times"/>
                <w:b/>
              </w:rPr>
            </w:pPr>
            <w:r w:rsidRPr="00D43B2F">
              <w:rPr>
                <w:rFonts w:ascii="Times" w:hAnsi="Times"/>
                <w:b/>
              </w:rPr>
              <w:t xml:space="preserve">Oilseed rape </w:t>
            </w:r>
          </w:p>
        </w:tc>
        <w:tc>
          <w:tcPr>
            <w:tcW w:w="2059" w:type="dxa"/>
            <w:shd w:val="clear" w:color="auto" w:fill="auto"/>
          </w:tcPr>
          <w:p w14:paraId="7F6EA525" w14:textId="3EF3BD72" w:rsidR="00D43B2F" w:rsidRPr="001C5242" w:rsidRDefault="001C5242" w:rsidP="00D43B2F">
            <w:pPr>
              <w:pStyle w:val="Acknowledgement"/>
              <w:spacing w:before="0"/>
              <w:ind w:left="0" w:firstLine="0"/>
              <w:rPr>
                <w:rFonts w:ascii="Times" w:hAnsi="Times"/>
              </w:rPr>
            </w:pPr>
            <w:r w:rsidRPr="001C5242">
              <w:rPr>
                <w:rFonts w:ascii="Times" w:hAnsi="Times"/>
              </w:rPr>
              <w:t>0.62</w:t>
            </w:r>
            <w:r>
              <w:rPr>
                <w:rFonts w:ascii="Times" w:hAnsi="Times"/>
              </w:rPr>
              <w:t xml:space="preserve"> </w:t>
            </w:r>
            <w:r w:rsidRPr="001C5242">
              <w:rPr>
                <w:rFonts w:ascii="Times" w:hAnsi="Times"/>
              </w:rPr>
              <w:t>(</w:t>
            </w:r>
            <w:r w:rsidRPr="001C5242">
              <w:rPr>
                <w:rFonts w:ascii="Times" w:hAnsi="Times"/>
                <w:i/>
              </w:rPr>
              <w:t>p</w:t>
            </w:r>
            <w:r>
              <w:rPr>
                <w:rFonts w:ascii="Times" w:hAnsi="Times"/>
                <w:i/>
              </w:rPr>
              <w:t>&lt;</w:t>
            </w:r>
            <w:r w:rsidRPr="001C5242">
              <w:rPr>
                <w:rFonts w:ascii="Times" w:hAnsi="Times"/>
              </w:rPr>
              <w:t>0.01)</w:t>
            </w:r>
          </w:p>
        </w:tc>
        <w:tc>
          <w:tcPr>
            <w:tcW w:w="2060" w:type="dxa"/>
            <w:shd w:val="clear" w:color="auto" w:fill="auto"/>
          </w:tcPr>
          <w:p w14:paraId="52C28C27" w14:textId="019AC626" w:rsidR="00D43B2F" w:rsidRPr="001C5242" w:rsidRDefault="001C5242" w:rsidP="00D43B2F">
            <w:pPr>
              <w:pStyle w:val="Acknowledgement"/>
              <w:spacing w:before="0"/>
              <w:ind w:left="0" w:firstLine="0"/>
              <w:rPr>
                <w:rFonts w:ascii="Times" w:hAnsi="Times"/>
              </w:rPr>
            </w:pPr>
            <w:r w:rsidRPr="001C5242">
              <w:rPr>
                <w:rFonts w:ascii="Times" w:hAnsi="Times"/>
              </w:rPr>
              <w:t>0.53</w:t>
            </w:r>
            <w:r>
              <w:rPr>
                <w:rFonts w:ascii="Times" w:hAnsi="Times"/>
              </w:rPr>
              <w:t xml:space="preserve"> </w:t>
            </w:r>
            <w:r w:rsidRPr="001C5242">
              <w:rPr>
                <w:rFonts w:ascii="Times" w:hAnsi="Times"/>
              </w:rPr>
              <w:t>(</w:t>
            </w:r>
            <w:r w:rsidRPr="001C5242">
              <w:rPr>
                <w:rFonts w:ascii="Times" w:hAnsi="Times"/>
                <w:i/>
              </w:rPr>
              <w:t>p</w:t>
            </w:r>
            <w:r>
              <w:rPr>
                <w:rFonts w:ascii="Times" w:hAnsi="Times"/>
                <w:i/>
              </w:rPr>
              <w:t>&lt;</w:t>
            </w:r>
            <w:r w:rsidRPr="001C5242">
              <w:rPr>
                <w:rFonts w:ascii="Times" w:hAnsi="Times"/>
              </w:rPr>
              <w:t>0.01)</w:t>
            </w:r>
          </w:p>
        </w:tc>
        <w:tc>
          <w:tcPr>
            <w:tcW w:w="2060" w:type="dxa"/>
            <w:shd w:val="clear" w:color="auto" w:fill="auto"/>
          </w:tcPr>
          <w:p w14:paraId="0C879CFF" w14:textId="3467D3D2" w:rsidR="00D43B2F" w:rsidRPr="001C5242" w:rsidRDefault="001C5242" w:rsidP="00D43B2F">
            <w:pPr>
              <w:pStyle w:val="Acknowledgement"/>
              <w:spacing w:before="0"/>
              <w:ind w:left="0" w:firstLine="0"/>
              <w:rPr>
                <w:rFonts w:ascii="Times" w:hAnsi="Times"/>
              </w:rPr>
            </w:pPr>
            <w:r w:rsidRPr="001C5242">
              <w:rPr>
                <w:rFonts w:ascii="Times" w:hAnsi="Times"/>
              </w:rPr>
              <w:t>1.00</w:t>
            </w:r>
          </w:p>
        </w:tc>
      </w:tr>
    </w:tbl>
    <w:p w14:paraId="649B4093" w14:textId="77777777" w:rsidR="00D43B2F" w:rsidRDefault="00D43B2F" w:rsidP="00D43B2F">
      <w:pPr>
        <w:pStyle w:val="Acknowledgement"/>
        <w:spacing w:before="0" w:line="360" w:lineRule="auto"/>
        <w:ind w:left="1440"/>
      </w:pPr>
    </w:p>
    <w:p w14:paraId="33093A32" w14:textId="77777777" w:rsidR="00D43B2F" w:rsidRPr="00B40B36" w:rsidRDefault="00D43B2F" w:rsidP="00D43B2F">
      <w:pPr>
        <w:pStyle w:val="Acknowledgement"/>
        <w:spacing w:before="0" w:line="360" w:lineRule="auto"/>
        <w:ind w:left="1440"/>
      </w:pPr>
    </w:p>
    <w:p w14:paraId="040A4E22" w14:textId="77777777" w:rsidR="00D43B2F" w:rsidRDefault="00D43B2F" w:rsidP="00D43B2F">
      <w:pPr>
        <w:pStyle w:val="Acknowledgement"/>
        <w:spacing w:before="0" w:line="360" w:lineRule="auto"/>
        <w:ind w:left="1440"/>
        <w:rPr>
          <w:b/>
        </w:rPr>
      </w:pPr>
      <w:r>
        <w:br w:type="page"/>
      </w:r>
    </w:p>
    <w:p w14:paraId="1A642A26" w14:textId="663F5E59" w:rsidR="00D43B2F" w:rsidRDefault="00D43B2F" w:rsidP="00DA6E1F">
      <w:pPr>
        <w:pStyle w:val="Legend"/>
        <w:spacing w:before="0" w:line="360" w:lineRule="auto"/>
      </w:pPr>
      <w:r w:rsidRPr="00B40B36">
        <w:rPr>
          <w:b/>
        </w:rPr>
        <w:lastRenderedPageBreak/>
        <w:t>Table</w:t>
      </w:r>
      <w:r w:rsidR="00297D99">
        <w:rPr>
          <w:b/>
        </w:rPr>
        <w:t xml:space="preserve"> D</w:t>
      </w:r>
      <w:r w:rsidRPr="00B40B36">
        <w:rPr>
          <w:b/>
        </w:rPr>
        <w:t>.</w:t>
      </w:r>
      <w:r w:rsidRPr="00B40B36">
        <w:t xml:space="preserve"> </w:t>
      </w:r>
      <w:r>
        <w:rPr>
          <w:b/>
        </w:rPr>
        <w:t xml:space="preserve">Likelihood ratio tests for honey residue responses to oilseed rape cover </w:t>
      </w:r>
      <w:r w:rsidR="00E176F3">
        <w:rPr>
          <w:b/>
        </w:rPr>
        <w:t xml:space="preserve">in the </w:t>
      </w:r>
      <w:r>
        <w:rPr>
          <w:b/>
        </w:rPr>
        <w:t>pre-</w:t>
      </w:r>
      <w:r w:rsidR="00E63A4A">
        <w:rPr>
          <w:b/>
        </w:rPr>
        <w:t>moratorium</w:t>
      </w:r>
      <w:r w:rsidR="00E176F3">
        <w:rPr>
          <w:b/>
        </w:rPr>
        <w:t xml:space="preserve"> year</w:t>
      </w:r>
      <w:r>
        <w:rPr>
          <w:b/>
        </w:rPr>
        <w:t xml:space="preserve">. </w:t>
      </w:r>
      <w:r>
        <w:t xml:space="preserve">The significance of the response of combined neonicotinoid residues detected in honey (NNI = clothianidin + thiamethoxam + imidacloprid) in the year (2014) immediately preceding the effective European Union moratorium on the use of neonicotinoids.  Combined neonicotinoids residues are correlated with potential agricultural sources of these pesticides in the form of oilseed rape cover (OSR), winter sown cereal cover and total arable cover.  Likelihood Ratio Tests assess whether these responses explain more variance than intercept only model.    Log Likelihood, number of parameters sample size (n) and </w:t>
      </w:r>
      <w:proofErr w:type="spellStart"/>
      <w:r w:rsidRPr="00074CB4">
        <w:rPr>
          <w:i/>
        </w:rPr>
        <w:t>AICc</w:t>
      </w:r>
      <w:proofErr w:type="spellEnd"/>
      <w:r>
        <w:t xml:space="preserve"> are also provided.</w:t>
      </w:r>
    </w:p>
    <w:p w14:paraId="0FB1A556" w14:textId="77777777" w:rsidR="00D43B2F" w:rsidRDefault="00D43B2F" w:rsidP="00D43B2F">
      <w:pPr>
        <w:pStyle w:val="Legend"/>
        <w:spacing w:before="0" w:line="360" w:lineRule="auto"/>
        <w:ind w:left="1440" w:hanging="720"/>
      </w:pPr>
    </w:p>
    <w:tbl>
      <w:tblPr>
        <w:tblW w:w="8046" w:type="dxa"/>
        <w:jc w:val="center"/>
        <w:tblLook w:val="04A0" w:firstRow="1" w:lastRow="0" w:firstColumn="1" w:lastColumn="0" w:noHBand="0" w:noVBand="1"/>
      </w:tblPr>
      <w:tblGrid>
        <w:gridCol w:w="2442"/>
        <w:gridCol w:w="1068"/>
        <w:gridCol w:w="851"/>
        <w:gridCol w:w="850"/>
        <w:gridCol w:w="993"/>
        <w:gridCol w:w="1842"/>
      </w:tblGrid>
      <w:tr w:rsidR="00D43B2F" w:rsidRPr="002951D5" w14:paraId="028A8E64" w14:textId="77777777" w:rsidTr="00D43B2F">
        <w:trPr>
          <w:trHeight w:val="300"/>
          <w:jc w:val="center"/>
        </w:trPr>
        <w:tc>
          <w:tcPr>
            <w:tcW w:w="2442" w:type="dxa"/>
            <w:tcBorders>
              <w:top w:val="single" w:sz="12" w:space="0" w:color="auto"/>
              <w:left w:val="nil"/>
              <w:bottom w:val="single" w:sz="12" w:space="0" w:color="auto"/>
              <w:right w:val="nil"/>
            </w:tcBorders>
            <w:shd w:val="clear" w:color="auto" w:fill="auto"/>
            <w:noWrap/>
            <w:hideMark/>
          </w:tcPr>
          <w:p w14:paraId="2D208A31" w14:textId="77777777" w:rsidR="00D43B2F" w:rsidRPr="002951D5" w:rsidRDefault="00D43B2F" w:rsidP="00D43B2F">
            <w:pPr>
              <w:rPr>
                <w:rFonts w:eastAsia="Times New Roman"/>
                <w:b/>
                <w:color w:val="000000"/>
                <w:sz w:val="22"/>
                <w:szCs w:val="22"/>
                <w:lang w:val="en-GB" w:eastAsia="en-GB"/>
              </w:rPr>
            </w:pPr>
            <w:r>
              <w:rPr>
                <w:rFonts w:eastAsia="Times New Roman"/>
                <w:b/>
                <w:color w:val="000000"/>
                <w:sz w:val="22"/>
                <w:szCs w:val="22"/>
                <w:lang w:val="en-GB" w:eastAsia="en-GB"/>
              </w:rPr>
              <w:t>Model</w:t>
            </w:r>
          </w:p>
        </w:tc>
        <w:tc>
          <w:tcPr>
            <w:tcW w:w="1068" w:type="dxa"/>
            <w:tcBorders>
              <w:top w:val="single" w:sz="12" w:space="0" w:color="auto"/>
              <w:left w:val="nil"/>
              <w:bottom w:val="single" w:sz="12" w:space="0" w:color="auto"/>
              <w:right w:val="nil"/>
            </w:tcBorders>
            <w:shd w:val="clear" w:color="auto" w:fill="auto"/>
            <w:noWrap/>
            <w:hideMark/>
          </w:tcPr>
          <w:p w14:paraId="54624B3F" w14:textId="77777777" w:rsidR="00D43B2F" w:rsidRPr="002951D5" w:rsidRDefault="00D43B2F" w:rsidP="00D43B2F">
            <w:pPr>
              <w:rPr>
                <w:rFonts w:eastAsia="Times New Roman"/>
                <w:b/>
                <w:color w:val="000000"/>
                <w:sz w:val="22"/>
                <w:szCs w:val="22"/>
                <w:lang w:val="en-GB" w:eastAsia="en-GB"/>
              </w:rPr>
            </w:pPr>
            <w:r w:rsidRPr="002951D5">
              <w:rPr>
                <w:rFonts w:eastAsia="Times New Roman"/>
                <w:b/>
                <w:color w:val="000000"/>
                <w:sz w:val="22"/>
                <w:szCs w:val="22"/>
                <w:lang w:val="en-GB" w:eastAsia="en-GB"/>
              </w:rPr>
              <w:t xml:space="preserve">Log </w:t>
            </w:r>
            <w:proofErr w:type="spellStart"/>
            <w:r w:rsidRPr="002951D5">
              <w:rPr>
                <w:rFonts w:eastAsia="Times New Roman"/>
                <w:b/>
                <w:color w:val="000000"/>
                <w:sz w:val="22"/>
                <w:szCs w:val="22"/>
                <w:lang w:val="en-GB" w:eastAsia="en-GB"/>
              </w:rPr>
              <w:t>Lik</w:t>
            </w:r>
            <w:proofErr w:type="spellEnd"/>
            <w:r w:rsidRPr="002951D5">
              <w:rPr>
                <w:rFonts w:eastAsia="Times New Roman"/>
                <w:b/>
                <w:color w:val="000000"/>
                <w:sz w:val="22"/>
                <w:szCs w:val="22"/>
                <w:lang w:val="en-GB" w:eastAsia="en-GB"/>
              </w:rPr>
              <w:t>.</w:t>
            </w:r>
          </w:p>
        </w:tc>
        <w:tc>
          <w:tcPr>
            <w:tcW w:w="851" w:type="dxa"/>
            <w:tcBorders>
              <w:top w:val="single" w:sz="12" w:space="0" w:color="auto"/>
              <w:left w:val="nil"/>
              <w:bottom w:val="single" w:sz="12" w:space="0" w:color="auto"/>
              <w:right w:val="nil"/>
            </w:tcBorders>
          </w:tcPr>
          <w:p w14:paraId="59ED9ABC" w14:textId="77777777" w:rsidR="00D43B2F" w:rsidRPr="002951D5" w:rsidRDefault="00D43B2F" w:rsidP="00D43B2F">
            <w:pPr>
              <w:rPr>
                <w:rFonts w:eastAsia="Times New Roman"/>
                <w:b/>
                <w:color w:val="000000"/>
                <w:sz w:val="22"/>
                <w:szCs w:val="22"/>
                <w:lang w:val="en-GB" w:eastAsia="en-GB"/>
              </w:rPr>
            </w:pPr>
            <w:r>
              <w:rPr>
                <w:rFonts w:eastAsia="Times New Roman"/>
                <w:b/>
                <w:color w:val="000000"/>
                <w:sz w:val="22"/>
                <w:szCs w:val="22"/>
                <w:lang w:val="en-GB" w:eastAsia="en-GB"/>
              </w:rPr>
              <w:t>Para.</w:t>
            </w:r>
          </w:p>
        </w:tc>
        <w:tc>
          <w:tcPr>
            <w:tcW w:w="850" w:type="dxa"/>
            <w:tcBorders>
              <w:top w:val="single" w:sz="12" w:space="0" w:color="auto"/>
              <w:left w:val="nil"/>
              <w:bottom w:val="single" w:sz="12" w:space="0" w:color="auto"/>
              <w:right w:val="nil"/>
            </w:tcBorders>
          </w:tcPr>
          <w:p w14:paraId="0B55F8E4" w14:textId="77777777" w:rsidR="00D43B2F" w:rsidRPr="002951D5" w:rsidRDefault="00D43B2F" w:rsidP="00D43B2F">
            <w:pPr>
              <w:rPr>
                <w:rFonts w:eastAsia="Times New Roman"/>
                <w:b/>
                <w:color w:val="000000"/>
                <w:sz w:val="22"/>
                <w:szCs w:val="22"/>
                <w:lang w:val="en-GB" w:eastAsia="en-GB"/>
              </w:rPr>
            </w:pPr>
            <w:r>
              <w:rPr>
                <w:rFonts w:eastAsia="Times New Roman"/>
                <w:b/>
                <w:color w:val="000000"/>
                <w:sz w:val="22"/>
                <w:szCs w:val="22"/>
                <w:lang w:val="en-GB" w:eastAsia="en-GB"/>
              </w:rPr>
              <w:t>n</w:t>
            </w:r>
          </w:p>
        </w:tc>
        <w:tc>
          <w:tcPr>
            <w:tcW w:w="993" w:type="dxa"/>
            <w:tcBorders>
              <w:top w:val="single" w:sz="12" w:space="0" w:color="auto"/>
              <w:left w:val="nil"/>
              <w:bottom w:val="single" w:sz="12" w:space="0" w:color="auto"/>
              <w:right w:val="nil"/>
            </w:tcBorders>
            <w:shd w:val="clear" w:color="auto" w:fill="auto"/>
            <w:noWrap/>
            <w:hideMark/>
          </w:tcPr>
          <w:p w14:paraId="7C39E717" w14:textId="77777777" w:rsidR="00D43B2F" w:rsidRPr="00074CB4" w:rsidRDefault="00D43B2F" w:rsidP="00D43B2F">
            <w:pPr>
              <w:rPr>
                <w:rFonts w:eastAsia="Times New Roman"/>
                <w:b/>
                <w:i/>
                <w:color w:val="000000"/>
                <w:sz w:val="22"/>
                <w:szCs w:val="22"/>
                <w:lang w:val="en-GB" w:eastAsia="en-GB"/>
              </w:rPr>
            </w:pPr>
            <w:proofErr w:type="spellStart"/>
            <w:r w:rsidRPr="00074CB4">
              <w:rPr>
                <w:rFonts w:eastAsia="Times New Roman"/>
                <w:b/>
                <w:i/>
                <w:color w:val="000000"/>
                <w:sz w:val="22"/>
                <w:szCs w:val="22"/>
                <w:lang w:val="en-GB" w:eastAsia="en-GB"/>
              </w:rPr>
              <w:t>AICc</w:t>
            </w:r>
            <w:proofErr w:type="spellEnd"/>
          </w:p>
        </w:tc>
        <w:tc>
          <w:tcPr>
            <w:tcW w:w="1842" w:type="dxa"/>
            <w:tcBorders>
              <w:top w:val="single" w:sz="12" w:space="0" w:color="auto"/>
              <w:left w:val="nil"/>
              <w:bottom w:val="single" w:sz="12" w:space="0" w:color="auto"/>
              <w:right w:val="nil"/>
            </w:tcBorders>
            <w:shd w:val="clear" w:color="auto" w:fill="auto"/>
            <w:noWrap/>
            <w:hideMark/>
          </w:tcPr>
          <w:p w14:paraId="54635A43" w14:textId="77777777" w:rsidR="00D43B2F" w:rsidRPr="002951D5" w:rsidRDefault="00D43B2F" w:rsidP="00D43B2F">
            <w:pPr>
              <w:rPr>
                <w:rFonts w:eastAsia="Times New Roman"/>
                <w:b/>
                <w:color w:val="000000"/>
                <w:sz w:val="22"/>
                <w:szCs w:val="22"/>
                <w:lang w:val="en-GB" w:eastAsia="en-GB"/>
              </w:rPr>
            </w:pPr>
            <w:r w:rsidRPr="002951D5">
              <w:rPr>
                <w:rFonts w:eastAsia="Times New Roman"/>
                <w:b/>
                <w:color w:val="000000"/>
                <w:sz w:val="22"/>
                <w:szCs w:val="22"/>
                <w:lang w:val="en-GB" w:eastAsia="en-GB"/>
              </w:rPr>
              <w:t>LRT</w:t>
            </w:r>
          </w:p>
        </w:tc>
      </w:tr>
      <w:tr w:rsidR="00D43B2F" w:rsidRPr="002951D5" w14:paraId="3D2D9754" w14:textId="77777777" w:rsidTr="00D43B2F">
        <w:trPr>
          <w:trHeight w:val="300"/>
          <w:jc w:val="center"/>
        </w:trPr>
        <w:tc>
          <w:tcPr>
            <w:tcW w:w="2442" w:type="dxa"/>
            <w:tcBorders>
              <w:left w:val="nil"/>
              <w:bottom w:val="nil"/>
              <w:right w:val="nil"/>
            </w:tcBorders>
            <w:shd w:val="clear" w:color="auto" w:fill="auto"/>
            <w:noWrap/>
            <w:hideMark/>
          </w:tcPr>
          <w:p w14:paraId="188541D6" w14:textId="77777777" w:rsidR="00D43B2F" w:rsidRPr="002951D5" w:rsidRDefault="00D43B2F" w:rsidP="00D43B2F">
            <w:pPr>
              <w:rPr>
                <w:rFonts w:eastAsia="Times New Roman"/>
                <w:color w:val="000000"/>
                <w:szCs w:val="22"/>
                <w:lang w:val="en-GB" w:eastAsia="en-GB"/>
              </w:rPr>
            </w:pPr>
            <w:r>
              <w:rPr>
                <w:rFonts w:eastAsia="Times New Roman"/>
                <w:color w:val="000000"/>
                <w:szCs w:val="22"/>
                <w:lang w:val="en-GB" w:eastAsia="en-GB"/>
              </w:rPr>
              <w:t>µ = a</w:t>
            </w:r>
            <w:r w:rsidRPr="007F3A57">
              <w:rPr>
                <w:rFonts w:eastAsia="Times New Roman"/>
                <w:color w:val="000000"/>
                <w:szCs w:val="22"/>
                <w:vertAlign w:val="subscript"/>
                <w:lang w:val="en-GB" w:eastAsia="en-GB"/>
              </w:rPr>
              <w:t>0</w:t>
            </w:r>
            <w:r>
              <w:rPr>
                <w:rFonts w:eastAsia="Times New Roman"/>
                <w:color w:val="000000"/>
                <w:szCs w:val="22"/>
                <w:lang w:val="en-GB" w:eastAsia="en-GB"/>
              </w:rPr>
              <w:t xml:space="preserve"> + </w:t>
            </w:r>
            <w:r w:rsidRPr="007F3A57">
              <w:rPr>
                <w:rFonts w:eastAsia="Times New Roman"/>
                <w:i/>
                <w:color w:val="000000"/>
                <w:szCs w:val="22"/>
                <w:lang w:val="en-GB" w:eastAsia="en-GB"/>
              </w:rPr>
              <w:t>a</w:t>
            </w:r>
            <w:r w:rsidRPr="007F3A57">
              <w:rPr>
                <w:rFonts w:eastAsia="Times New Roman"/>
                <w:i/>
                <w:color w:val="000000"/>
                <w:szCs w:val="22"/>
                <w:vertAlign w:val="subscript"/>
                <w:lang w:val="en-GB" w:eastAsia="en-GB"/>
              </w:rPr>
              <w:t>1</w:t>
            </w:r>
            <w:r>
              <w:rPr>
                <w:rFonts w:eastAsia="Times New Roman"/>
                <w:color w:val="000000"/>
                <w:szCs w:val="22"/>
                <w:lang w:val="en-GB" w:eastAsia="en-GB"/>
              </w:rPr>
              <w:t>*OSR</w:t>
            </w:r>
            <w:r w:rsidRPr="00310876">
              <w:rPr>
                <w:rFonts w:eastAsia="Times New Roman"/>
                <w:color w:val="000000"/>
                <w:szCs w:val="22"/>
                <w:lang w:val="en-GB" w:eastAsia="en-GB"/>
              </w:rPr>
              <w:t xml:space="preserve"> </w:t>
            </w:r>
          </w:p>
        </w:tc>
        <w:tc>
          <w:tcPr>
            <w:tcW w:w="1068" w:type="dxa"/>
            <w:tcBorders>
              <w:left w:val="nil"/>
              <w:bottom w:val="nil"/>
              <w:right w:val="nil"/>
            </w:tcBorders>
            <w:shd w:val="clear" w:color="auto" w:fill="auto"/>
            <w:noWrap/>
          </w:tcPr>
          <w:p w14:paraId="4B3B685D" w14:textId="77777777" w:rsidR="00D43B2F" w:rsidRPr="00AD53AB" w:rsidRDefault="00D43B2F" w:rsidP="00D43B2F">
            <w:r>
              <w:t>-16.00</w:t>
            </w:r>
          </w:p>
        </w:tc>
        <w:tc>
          <w:tcPr>
            <w:tcW w:w="851" w:type="dxa"/>
            <w:tcBorders>
              <w:left w:val="nil"/>
              <w:bottom w:val="nil"/>
              <w:right w:val="nil"/>
            </w:tcBorders>
          </w:tcPr>
          <w:p w14:paraId="411F9C6A" w14:textId="77777777" w:rsidR="00D43B2F" w:rsidRPr="00AD53AB" w:rsidRDefault="00D43B2F" w:rsidP="00D43B2F">
            <w:r>
              <w:t>4</w:t>
            </w:r>
          </w:p>
        </w:tc>
        <w:tc>
          <w:tcPr>
            <w:tcW w:w="850" w:type="dxa"/>
            <w:tcBorders>
              <w:left w:val="nil"/>
              <w:bottom w:val="nil"/>
              <w:right w:val="nil"/>
            </w:tcBorders>
          </w:tcPr>
          <w:p w14:paraId="74C0662C" w14:textId="77777777" w:rsidR="00D43B2F" w:rsidRPr="00AD53AB" w:rsidRDefault="00D43B2F" w:rsidP="00D43B2F">
            <w:r>
              <w:t>21</w:t>
            </w:r>
          </w:p>
        </w:tc>
        <w:tc>
          <w:tcPr>
            <w:tcW w:w="993" w:type="dxa"/>
            <w:tcBorders>
              <w:left w:val="nil"/>
              <w:bottom w:val="nil"/>
              <w:right w:val="nil"/>
            </w:tcBorders>
            <w:shd w:val="clear" w:color="auto" w:fill="auto"/>
            <w:noWrap/>
          </w:tcPr>
          <w:p w14:paraId="141C93C2" w14:textId="77777777" w:rsidR="00D43B2F" w:rsidRPr="00AD53AB" w:rsidRDefault="00D43B2F" w:rsidP="00D43B2F">
            <w:r>
              <w:t>42.50</w:t>
            </w:r>
          </w:p>
        </w:tc>
        <w:tc>
          <w:tcPr>
            <w:tcW w:w="1842" w:type="dxa"/>
            <w:tcBorders>
              <w:left w:val="nil"/>
              <w:bottom w:val="nil"/>
              <w:right w:val="nil"/>
            </w:tcBorders>
            <w:shd w:val="clear" w:color="auto" w:fill="auto"/>
            <w:noWrap/>
          </w:tcPr>
          <w:p w14:paraId="275D3100" w14:textId="77777777" w:rsidR="00D43B2F" w:rsidRPr="00C00427" w:rsidRDefault="00D43B2F" w:rsidP="00D43B2F">
            <w:r w:rsidRPr="00354CA1">
              <w:t>χ</w:t>
            </w:r>
            <w:r w:rsidRPr="00354CA1">
              <w:rPr>
                <w:vertAlign w:val="superscript"/>
              </w:rPr>
              <w:t>2</w:t>
            </w:r>
            <w:r w:rsidRPr="00354CA1">
              <w:rPr>
                <w:vertAlign w:val="subscript"/>
              </w:rPr>
              <w:t>1</w:t>
            </w:r>
            <w:r w:rsidRPr="00354CA1">
              <w:t>=</w:t>
            </w:r>
            <w:r>
              <w:t>5.62</w:t>
            </w:r>
            <w:r w:rsidRPr="00354CA1">
              <w:t>, p</w:t>
            </w:r>
            <w:r>
              <w:t>=0.02</w:t>
            </w:r>
          </w:p>
        </w:tc>
      </w:tr>
      <w:tr w:rsidR="00D43B2F" w:rsidRPr="002951D5" w14:paraId="1DFE7A0A" w14:textId="77777777" w:rsidTr="00D43B2F">
        <w:trPr>
          <w:trHeight w:val="300"/>
          <w:jc w:val="center"/>
        </w:trPr>
        <w:tc>
          <w:tcPr>
            <w:tcW w:w="2442" w:type="dxa"/>
            <w:tcBorders>
              <w:left w:val="nil"/>
              <w:right w:val="nil"/>
            </w:tcBorders>
            <w:shd w:val="clear" w:color="auto" w:fill="auto"/>
            <w:noWrap/>
          </w:tcPr>
          <w:p w14:paraId="1913528D" w14:textId="77777777" w:rsidR="00D43B2F" w:rsidRPr="002951D5" w:rsidRDefault="00D43B2F" w:rsidP="00D43B2F">
            <w:pPr>
              <w:rPr>
                <w:rFonts w:eastAsia="Times New Roman"/>
                <w:color w:val="000000"/>
                <w:szCs w:val="22"/>
                <w:lang w:val="en-GB" w:eastAsia="en-GB"/>
              </w:rPr>
            </w:pPr>
            <w:r>
              <w:rPr>
                <w:rFonts w:eastAsia="Times New Roman"/>
                <w:color w:val="000000"/>
                <w:szCs w:val="22"/>
                <w:lang w:val="en-GB" w:eastAsia="en-GB"/>
              </w:rPr>
              <w:t>µ = a</w:t>
            </w:r>
            <w:r w:rsidRPr="007F3A57">
              <w:rPr>
                <w:rFonts w:eastAsia="Times New Roman"/>
                <w:color w:val="000000"/>
                <w:szCs w:val="22"/>
                <w:vertAlign w:val="subscript"/>
                <w:lang w:val="en-GB" w:eastAsia="en-GB"/>
              </w:rPr>
              <w:t>0</w:t>
            </w:r>
            <w:r>
              <w:rPr>
                <w:rFonts w:eastAsia="Times New Roman"/>
                <w:color w:val="000000"/>
                <w:szCs w:val="22"/>
                <w:lang w:val="en-GB" w:eastAsia="en-GB"/>
              </w:rPr>
              <w:t xml:space="preserve"> + </w:t>
            </w:r>
            <w:r w:rsidRPr="007F3A57">
              <w:rPr>
                <w:rFonts w:eastAsia="Times New Roman"/>
                <w:i/>
                <w:color w:val="000000"/>
                <w:szCs w:val="22"/>
                <w:lang w:val="en-GB" w:eastAsia="en-GB"/>
              </w:rPr>
              <w:t>a</w:t>
            </w:r>
            <w:r w:rsidRPr="007F3A57">
              <w:rPr>
                <w:rFonts w:eastAsia="Times New Roman"/>
                <w:i/>
                <w:color w:val="000000"/>
                <w:szCs w:val="22"/>
                <w:vertAlign w:val="subscript"/>
                <w:lang w:val="en-GB" w:eastAsia="en-GB"/>
              </w:rPr>
              <w:t>1</w:t>
            </w:r>
            <w:r>
              <w:rPr>
                <w:rFonts w:eastAsia="Times New Roman"/>
                <w:color w:val="000000"/>
                <w:szCs w:val="22"/>
                <w:lang w:val="en-GB" w:eastAsia="en-GB"/>
              </w:rPr>
              <w:t>*Winter cereals</w:t>
            </w:r>
            <w:r w:rsidRPr="00310876">
              <w:rPr>
                <w:rFonts w:eastAsia="Times New Roman"/>
                <w:color w:val="000000"/>
                <w:szCs w:val="22"/>
                <w:lang w:val="en-GB" w:eastAsia="en-GB"/>
              </w:rPr>
              <w:t xml:space="preserve"> </w:t>
            </w:r>
          </w:p>
        </w:tc>
        <w:tc>
          <w:tcPr>
            <w:tcW w:w="1068" w:type="dxa"/>
            <w:tcBorders>
              <w:left w:val="nil"/>
              <w:right w:val="nil"/>
            </w:tcBorders>
            <w:shd w:val="clear" w:color="auto" w:fill="auto"/>
            <w:noWrap/>
          </w:tcPr>
          <w:p w14:paraId="1552A751" w14:textId="77777777" w:rsidR="00D43B2F" w:rsidRPr="00AD53AB" w:rsidRDefault="00D43B2F" w:rsidP="00D43B2F">
            <w:r>
              <w:t>-18.26</w:t>
            </w:r>
          </w:p>
        </w:tc>
        <w:tc>
          <w:tcPr>
            <w:tcW w:w="851" w:type="dxa"/>
            <w:tcBorders>
              <w:left w:val="nil"/>
              <w:right w:val="nil"/>
            </w:tcBorders>
          </w:tcPr>
          <w:p w14:paraId="1EE99BD4" w14:textId="77777777" w:rsidR="00D43B2F" w:rsidRPr="00AD53AB" w:rsidRDefault="00D43B2F" w:rsidP="00D43B2F">
            <w:r>
              <w:t>4</w:t>
            </w:r>
          </w:p>
        </w:tc>
        <w:tc>
          <w:tcPr>
            <w:tcW w:w="850" w:type="dxa"/>
            <w:tcBorders>
              <w:left w:val="nil"/>
              <w:right w:val="nil"/>
            </w:tcBorders>
          </w:tcPr>
          <w:p w14:paraId="030BDFD9" w14:textId="77777777" w:rsidR="00D43B2F" w:rsidRPr="00AD53AB" w:rsidRDefault="00D43B2F" w:rsidP="00D43B2F">
            <w:r>
              <w:t>21</w:t>
            </w:r>
          </w:p>
        </w:tc>
        <w:tc>
          <w:tcPr>
            <w:tcW w:w="993" w:type="dxa"/>
            <w:tcBorders>
              <w:left w:val="nil"/>
              <w:right w:val="nil"/>
            </w:tcBorders>
            <w:shd w:val="clear" w:color="auto" w:fill="auto"/>
            <w:noWrap/>
          </w:tcPr>
          <w:p w14:paraId="79973469" w14:textId="77777777" w:rsidR="00D43B2F" w:rsidRPr="00AD53AB" w:rsidRDefault="00D43B2F" w:rsidP="00D43B2F">
            <w:r>
              <w:t>47.02</w:t>
            </w:r>
          </w:p>
        </w:tc>
        <w:tc>
          <w:tcPr>
            <w:tcW w:w="1842" w:type="dxa"/>
            <w:tcBorders>
              <w:left w:val="nil"/>
              <w:right w:val="nil"/>
            </w:tcBorders>
            <w:shd w:val="clear" w:color="auto" w:fill="auto"/>
            <w:noWrap/>
          </w:tcPr>
          <w:p w14:paraId="38C2A346" w14:textId="77777777" w:rsidR="00D43B2F" w:rsidRPr="00C00427" w:rsidRDefault="00D43B2F" w:rsidP="00D43B2F">
            <w:r w:rsidRPr="00354CA1">
              <w:t>χ</w:t>
            </w:r>
            <w:r w:rsidRPr="00354CA1">
              <w:rPr>
                <w:vertAlign w:val="superscript"/>
              </w:rPr>
              <w:t>2</w:t>
            </w:r>
            <w:r w:rsidRPr="00354CA1">
              <w:rPr>
                <w:vertAlign w:val="subscript"/>
              </w:rPr>
              <w:t>1</w:t>
            </w:r>
            <w:r w:rsidRPr="00354CA1">
              <w:t>=</w:t>
            </w:r>
            <w:r>
              <w:t>1.10</w:t>
            </w:r>
            <w:r w:rsidRPr="00354CA1">
              <w:t>, p</w:t>
            </w:r>
            <w:r>
              <w:t>=0.29</w:t>
            </w:r>
          </w:p>
        </w:tc>
      </w:tr>
      <w:tr w:rsidR="00D43B2F" w:rsidRPr="002951D5" w14:paraId="21249F36" w14:textId="77777777" w:rsidTr="00D43B2F">
        <w:trPr>
          <w:trHeight w:val="300"/>
          <w:jc w:val="center"/>
        </w:trPr>
        <w:tc>
          <w:tcPr>
            <w:tcW w:w="2442" w:type="dxa"/>
            <w:tcBorders>
              <w:left w:val="nil"/>
              <w:bottom w:val="single" w:sz="12" w:space="0" w:color="auto"/>
              <w:right w:val="nil"/>
            </w:tcBorders>
            <w:shd w:val="clear" w:color="auto" w:fill="auto"/>
            <w:noWrap/>
          </w:tcPr>
          <w:p w14:paraId="469CA1A8" w14:textId="77777777" w:rsidR="00D43B2F" w:rsidRPr="002951D5" w:rsidRDefault="00D43B2F" w:rsidP="00D43B2F">
            <w:pPr>
              <w:rPr>
                <w:rFonts w:eastAsia="Times New Roman"/>
                <w:color w:val="000000"/>
                <w:szCs w:val="22"/>
                <w:lang w:val="en-GB" w:eastAsia="en-GB"/>
              </w:rPr>
            </w:pPr>
            <w:r>
              <w:rPr>
                <w:rFonts w:eastAsia="Times New Roman"/>
                <w:color w:val="000000"/>
                <w:szCs w:val="22"/>
                <w:lang w:val="en-GB" w:eastAsia="en-GB"/>
              </w:rPr>
              <w:t>µ = a</w:t>
            </w:r>
            <w:r w:rsidRPr="007F3A57">
              <w:rPr>
                <w:rFonts w:eastAsia="Times New Roman"/>
                <w:color w:val="000000"/>
                <w:szCs w:val="22"/>
                <w:vertAlign w:val="subscript"/>
                <w:lang w:val="en-GB" w:eastAsia="en-GB"/>
              </w:rPr>
              <w:t>0</w:t>
            </w:r>
            <w:r>
              <w:rPr>
                <w:rFonts w:eastAsia="Times New Roman"/>
                <w:color w:val="000000"/>
                <w:szCs w:val="22"/>
                <w:lang w:val="en-GB" w:eastAsia="en-GB"/>
              </w:rPr>
              <w:t xml:space="preserve"> + </w:t>
            </w:r>
            <w:r w:rsidRPr="007F3A57">
              <w:rPr>
                <w:rFonts w:eastAsia="Times New Roman"/>
                <w:i/>
                <w:color w:val="000000"/>
                <w:szCs w:val="22"/>
                <w:lang w:val="en-GB" w:eastAsia="en-GB"/>
              </w:rPr>
              <w:t>a</w:t>
            </w:r>
            <w:r w:rsidRPr="007F3A57">
              <w:rPr>
                <w:rFonts w:eastAsia="Times New Roman"/>
                <w:i/>
                <w:color w:val="000000"/>
                <w:szCs w:val="22"/>
                <w:vertAlign w:val="subscript"/>
                <w:lang w:val="en-GB" w:eastAsia="en-GB"/>
              </w:rPr>
              <w:t>1</w:t>
            </w:r>
            <w:r>
              <w:rPr>
                <w:rFonts w:eastAsia="Times New Roman"/>
                <w:color w:val="000000"/>
                <w:szCs w:val="22"/>
                <w:lang w:val="en-GB" w:eastAsia="en-GB"/>
              </w:rPr>
              <w:t>*Arable</w:t>
            </w:r>
            <w:r w:rsidRPr="00310876">
              <w:rPr>
                <w:rFonts w:eastAsia="Times New Roman"/>
                <w:color w:val="000000"/>
                <w:szCs w:val="22"/>
                <w:lang w:val="en-GB" w:eastAsia="en-GB"/>
              </w:rPr>
              <w:t xml:space="preserve"> </w:t>
            </w:r>
          </w:p>
        </w:tc>
        <w:tc>
          <w:tcPr>
            <w:tcW w:w="1068" w:type="dxa"/>
            <w:tcBorders>
              <w:left w:val="nil"/>
              <w:bottom w:val="single" w:sz="12" w:space="0" w:color="auto"/>
              <w:right w:val="nil"/>
            </w:tcBorders>
            <w:shd w:val="clear" w:color="auto" w:fill="auto"/>
            <w:noWrap/>
          </w:tcPr>
          <w:p w14:paraId="01F28393" w14:textId="77777777" w:rsidR="00D43B2F" w:rsidRPr="00AD53AB" w:rsidRDefault="00D43B2F" w:rsidP="00D43B2F">
            <w:r>
              <w:t>-18.07</w:t>
            </w:r>
          </w:p>
        </w:tc>
        <w:tc>
          <w:tcPr>
            <w:tcW w:w="851" w:type="dxa"/>
            <w:tcBorders>
              <w:left w:val="nil"/>
              <w:bottom w:val="single" w:sz="12" w:space="0" w:color="auto"/>
              <w:right w:val="nil"/>
            </w:tcBorders>
          </w:tcPr>
          <w:p w14:paraId="4FAE5433" w14:textId="77777777" w:rsidR="00D43B2F" w:rsidRPr="00AD53AB" w:rsidRDefault="00D43B2F" w:rsidP="00D43B2F">
            <w:r>
              <w:t>4</w:t>
            </w:r>
          </w:p>
        </w:tc>
        <w:tc>
          <w:tcPr>
            <w:tcW w:w="850" w:type="dxa"/>
            <w:tcBorders>
              <w:left w:val="nil"/>
              <w:bottom w:val="single" w:sz="12" w:space="0" w:color="auto"/>
              <w:right w:val="nil"/>
            </w:tcBorders>
          </w:tcPr>
          <w:p w14:paraId="6DE11267" w14:textId="77777777" w:rsidR="00D43B2F" w:rsidRPr="00AD53AB" w:rsidRDefault="00D43B2F" w:rsidP="00D43B2F">
            <w:r>
              <w:t>21</w:t>
            </w:r>
          </w:p>
        </w:tc>
        <w:tc>
          <w:tcPr>
            <w:tcW w:w="993" w:type="dxa"/>
            <w:tcBorders>
              <w:left w:val="nil"/>
              <w:bottom w:val="single" w:sz="12" w:space="0" w:color="auto"/>
              <w:right w:val="nil"/>
            </w:tcBorders>
            <w:shd w:val="clear" w:color="auto" w:fill="auto"/>
            <w:noWrap/>
          </w:tcPr>
          <w:p w14:paraId="6E8BDD25" w14:textId="77777777" w:rsidR="00D43B2F" w:rsidRPr="00AD53AB" w:rsidRDefault="00D43B2F" w:rsidP="00D43B2F">
            <w:r>
              <w:t>46.64</w:t>
            </w:r>
          </w:p>
        </w:tc>
        <w:tc>
          <w:tcPr>
            <w:tcW w:w="1842" w:type="dxa"/>
            <w:tcBorders>
              <w:left w:val="nil"/>
              <w:bottom w:val="single" w:sz="12" w:space="0" w:color="auto"/>
              <w:right w:val="nil"/>
            </w:tcBorders>
            <w:shd w:val="clear" w:color="auto" w:fill="auto"/>
            <w:noWrap/>
          </w:tcPr>
          <w:p w14:paraId="06AFCBA8" w14:textId="77777777" w:rsidR="00D43B2F" w:rsidRPr="00C00427" w:rsidRDefault="00D43B2F" w:rsidP="00D43B2F">
            <w:r w:rsidRPr="00354CA1">
              <w:t>χ</w:t>
            </w:r>
            <w:r w:rsidRPr="00354CA1">
              <w:rPr>
                <w:vertAlign w:val="superscript"/>
              </w:rPr>
              <w:t>2</w:t>
            </w:r>
            <w:r w:rsidRPr="00354CA1">
              <w:rPr>
                <w:vertAlign w:val="subscript"/>
              </w:rPr>
              <w:t>1</w:t>
            </w:r>
            <w:r w:rsidRPr="00354CA1">
              <w:t>=</w:t>
            </w:r>
            <w:r>
              <w:t>1.48</w:t>
            </w:r>
            <w:r w:rsidRPr="00354CA1">
              <w:t>, p</w:t>
            </w:r>
            <w:r>
              <w:t>=0.22</w:t>
            </w:r>
          </w:p>
        </w:tc>
      </w:tr>
    </w:tbl>
    <w:p w14:paraId="14FC906B" w14:textId="77777777" w:rsidR="00D43B2F" w:rsidRDefault="00D43B2F" w:rsidP="00D43B2F">
      <w:pPr>
        <w:pStyle w:val="Legend"/>
        <w:spacing w:before="0" w:line="360" w:lineRule="auto"/>
        <w:ind w:left="1440" w:hanging="720"/>
      </w:pPr>
    </w:p>
    <w:p w14:paraId="383D1C62" w14:textId="77777777" w:rsidR="00D43B2F" w:rsidRDefault="00D43B2F" w:rsidP="00D43B2F">
      <w:pPr>
        <w:pStyle w:val="Acknowledgement"/>
        <w:spacing w:before="0" w:line="360" w:lineRule="auto"/>
        <w:ind w:firstLine="0"/>
        <w:rPr>
          <w:b/>
        </w:rPr>
      </w:pPr>
    </w:p>
    <w:p w14:paraId="1B76A855" w14:textId="3C1FD0EA" w:rsidR="005B6F15" w:rsidRDefault="005B6F15" w:rsidP="007F38B4">
      <w:pPr>
        <w:pStyle w:val="Acknowledgement"/>
        <w:spacing w:before="0" w:line="360" w:lineRule="auto"/>
        <w:ind w:left="0" w:firstLine="0"/>
      </w:pPr>
    </w:p>
    <w:sectPr w:rsidR="005B6F15" w:rsidSect="00AC6D2E">
      <w:footerReference w:type="default" r:id="rId9"/>
      <w:headerReference w:type="first" r:id="rId10"/>
      <w:footerReference w:type="first" r:id="rId11"/>
      <w:pgSz w:w="12240" w:h="15840"/>
      <w:pgMar w:top="1440" w:right="1440" w:bottom="1440" w:left="1440" w:header="432" w:footer="2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9ACDE" w14:textId="77777777" w:rsidR="005040E6" w:rsidRDefault="005040E6" w:rsidP="004A10BE">
      <w:r>
        <w:separator/>
      </w:r>
    </w:p>
  </w:endnote>
  <w:endnote w:type="continuationSeparator" w:id="0">
    <w:p w14:paraId="3D2200BF" w14:textId="77777777" w:rsidR="005040E6" w:rsidRDefault="005040E6" w:rsidP="004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D8E6C" w14:textId="77777777" w:rsidR="005040E6" w:rsidRDefault="005040E6" w:rsidP="009C7607">
    <w:pPr>
      <w:pStyle w:val="Footer"/>
      <w:pBdr>
        <w:top w:val="single" w:sz="4" w:space="0" w:color="auto"/>
      </w:pBdr>
      <w:rPr>
        <w:i/>
        <w:sz w:val="18"/>
        <w:szCs w:val="18"/>
      </w:rPr>
    </w:pPr>
  </w:p>
  <w:p w14:paraId="3C04E9C7" w14:textId="2EC59888" w:rsidR="005040E6" w:rsidRPr="004021D9" w:rsidRDefault="005040E6" w:rsidP="009C7607">
    <w:pPr>
      <w:pStyle w:val="Footer"/>
      <w:pBdr>
        <w:top w:val="single" w:sz="4" w:space="0" w:color="auto"/>
      </w:pBdr>
      <w:rPr>
        <w:sz w:val="18"/>
        <w:szCs w:val="18"/>
      </w:rPr>
    </w:pPr>
    <w:r w:rsidRPr="004021D9">
      <w:rPr>
        <w:sz w:val="18"/>
        <w:szCs w:val="18"/>
      </w:rPr>
      <w:t xml:space="preserve">Page </w:t>
    </w:r>
    <w:r w:rsidRPr="004021D9">
      <w:rPr>
        <w:b/>
        <w:bCs/>
        <w:sz w:val="18"/>
        <w:szCs w:val="18"/>
      </w:rPr>
      <w:fldChar w:fldCharType="begin"/>
    </w:r>
    <w:r w:rsidRPr="004021D9">
      <w:rPr>
        <w:b/>
        <w:bCs/>
        <w:sz w:val="18"/>
        <w:szCs w:val="18"/>
      </w:rPr>
      <w:instrText xml:space="preserve"> PAGE </w:instrText>
    </w:r>
    <w:r w:rsidRPr="004021D9">
      <w:rPr>
        <w:b/>
        <w:bCs/>
        <w:sz w:val="18"/>
        <w:szCs w:val="18"/>
      </w:rPr>
      <w:fldChar w:fldCharType="separate"/>
    </w:r>
    <w:r w:rsidR="00CD6023">
      <w:rPr>
        <w:b/>
        <w:bCs/>
        <w:noProof/>
        <w:sz w:val="18"/>
        <w:szCs w:val="18"/>
      </w:rPr>
      <w:t>8</w:t>
    </w:r>
    <w:r w:rsidRPr="004021D9">
      <w:rPr>
        <w:b/>
        <w:bCs/>
        <w:sz w:val="18"/>
        <w:szCs w:val="18"/>
      </w:rPr>
      <w:fldChar w:fldCharType="end"/>
    </w:r>
    <w:r w:rsidRPr="004021D9">
      <w:rPr>
        <w:sz w:val="18"/>
        <w:szCs w:val="18"/>
      </w:rPr>
      <w:t xml:space="preserve"> of </w:t>
    </w:r>
    <w:r w:rsidRPr="004021D9">
      <w:rPr>
        <w:b/>
        <w:bCs/>
        <w:sz w:val="18"/>
        <w:szCs w:val="18"/>
      </w:rPr>
      <w:fldChar w:fldCharType="begin"/>
    </w:r>
    <w:r w:rsidRPr="004021D9">
      <w:rPr>
        <w:b/>
        <w:bCs/>
        <w:sz w:val="18"/>
        <w:szCs w:val="18"/>
      </w:rPr>
      <w:instrText xml:space="preserve"> NUMPAGES  </w:instrText>
    </w:r>
    <w:r w:rsidRPr="004021D9">
      <w:rPr>
        <w:b/>
        <w:bCs/>
        <w:sz w:val="18"/>
        <w:szCs w:val="18"/>
      </w:rPr>
      <w:fldChar w:fldCharType="separate"/>
    </w:r>
    <w:r w:rsidR="00CD6023">
      <w:rPr>
        <w:b/>
        <w:bCs/>
        <w:noProof/>
        <w:sz w:val="18"/>
        <w:szCs w:val="18"/>
      </w:rPr>
      <w:t>8</w:t>
    </w:r>
    <w:r w:rsidRPr="004021D9">
      <w:rPr>
        <w:b/>
        <w:bCs/>
        <w:sz w:val="18"/>
        <w:szCs w:val="18"/>
      </w:rPr>
      <w:fldChar w:fldCharType="end"/>
    </w:r>
  </w:p>
  <w:p w14:paraId="2389399B" w14:textId="77777777" w:rsidR="005040E6" w:rsidRPr="00B547A9" w:rsidRDefault="005040E6" w:rsidP="00B54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683203"/>
      <w:docPartObj>
        <w:docPartGallery w:val="Page Numbers (Bottom of Page)"/>
        <w:docPartUnique/>
      </w:docPartObj>
    </w:sdtPr>
    <w:sdtEndPr>
      <w:rPr>
        <w:noProof/>
      </w:rPr>
    </w:sdtEndPr>
    <w:sdtContent>
      <w:p w14:paraId="14BEF8DD" w14:textId="77777777" w:rsidR="005040E6" w:rsidRDefault="005040E6">
        <w:pPr>
          <w:pStyle w:val="Footer"/>
          <w:jc w:val="center"/>
        </w:pPr>
        <w:r>
          <w:fldChar w:fldCharType="begin"/>
        </w:r>
        <w:r>
          <w:instrText xml:space="preserve"> PAGE   \* MERGEFORMAT </w:instrText>
        </w:r>
        <w:r>
          <w:fldChar w:fldCharType="separate"/>
        </w:r>
        <w:r w:rsidR="00CD6023">
          <w:rPr>
            <w:noProof/>
          </w:rPr>
          <w:t>1</w:t>
        </w:r>
        <w:r>
          <w:rPr>
            <w:noProof/>
          </w:rPr>
          <w:fldChar w:fldCharType="end"/>
        </w:r>
      </w:p>
    </w:sdtContent>
  </w:sdt>
  <w:p w14:paraId="7D5DE410" w14:textId="77777777" w:rsidR="005040E6" w:rsidRDefault="00504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E5893" w14:textId="77777777" w:rsidR="005040E6" w:rsidRDefault="005040E6" w:rsidP="004A10BE">
      <w:r>
        <w:separator/>
      </w:r>
    </w:p>
  </w:footnote>
  <w:footnote w:type="continuationSeparator" w:id="0">
    <w:p w14:paraId="69ED4642" w14:textId="77777777" w:rsidR="005040E6" w:rsidRDefault="005040E6" w:rsidP="004A1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B78E8" w14:textId="77777777" w:rsidR="005040E6" w:rsidRDefault="005040E6" w:rsidP="004A10BE">
    <w:pPr>
      <w:pStyle w:val="Header"/>
    </w:pPr>
    <w:r>
      <w:tab/>
    </w:r>
  </w:p>
  <w:p w14:paraId="3AAA0199" w14:textId="77777777" w:rsidR="005040E6" w:rsidRDefault="005040E6" w:rsidP="004A1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709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403DA"/>
    <w:multiLevelType w:val="hybridMultilevel"/>
    <w:tmpl w:val="51186534"/>
    <w:lvl w:ilvl="0" w:tplc="341ECD3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1622C7"/>
    <w:multiLevelType w:val="hybridMultilevel"/>
    <w:tmpl w:val="ADECA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478067D"/>
    <w:multiLevelType w:val="hybridMultilevel"/>
    <w:tmpl w:val="9FB6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91C43"/>
    <w:multiLevelType w:val="hybridMultilevel"/>
    <w:tmpl w:val="056A0E4C"/>
    <w:lvl w:ilvl="0" w:tplc="961E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34721"/>
    <w:multiLevelType w:val="hybridMultilevel"/>
    <w:tmpl w:val="88549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320A60"/>
    <w:multiLevelType w:val="hybridMultilevel"/>
    <w:tmpl w:val="51186534"/>
    <w:lvl w:ilvl="0" w:tplc="341ECD3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5E69A7"/>
    <w:multiLevelType w:val="hybridMultilevel"/>
    <w:tmpl w:val="DC543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4560FA"/>
    <w:multiLevelType w:val="hybridMultilevel"/>
    <w:tmpl w:val="51186534"/>
    <w:lvl w:ilvl="0" w:tplc="341ECD3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126112"/>
    <w:multiLevelType w:val="hybridMultilevel"/>
    <w:tmpl w:val="791246DA"/>
    <w:lvl w:ilvl="0" w:tplc="912E2E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CC3F32"/>
    <w:multiLevelType w:val="hybridMultilevel"/>
    <w:tmpl w:val="21DA0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702C8B"/>
    <w:multiLevelType w:val="hybridMultilevel"/>
    <w:tmpl w:val="193E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11AC1"/>
    <w:multiLevelType w:val="hybridMultilevel"/>
    <w:tmpl w:val="816A35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577F10"/>
    <w:multiLevelType w:val="hybridMultilevel"/>
    <w:tmpl w:val="DC14A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FB29D4"/>
    <w:multiLevelType w:val="hybridMultilevel"/>
    <w:tmpl w:val="AFE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E76C0"/>
    <w:multiLevelType w:val="hybridMultilevel"/>
    <w:tmpl w:val="51186534"/>
    <w:lvl w:ilvl="0" w:tplc="341ECD3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882490"/>
    <w:multiLevelType w:val="multilevel"/>
    <w:tmpl w:val="6C0212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F5973"/>
    <w:multiLevelType w:val="hybridMultilevel"/>
    <w:tmpl w:val="1758FDDC"/>
    <w:lvl w:ilvl="0" w:tplc="68BEDEAC">
      <w:start w:val="1"/>
      <w:numFmt w:val="upperLetter"/>
      <w:lvlText w:val="(%1)"/>
      <w:lvlJc w:val="left"/>
      <w:pPr>
        <w:ind w:left="360" w:hanging="360"/>
      </w:pPr>
      <w:rPr>
        <w:rFonts w:ascii="Times" w:eastAsia="Times New Roman" w:hAnsi="Time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A393BE1"/>
    <w:multiLevelType w:val="hybridMultilevel"/>
    <w:tmpl w:val="6D6AE6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4"/>
  </w:num>
  <w:num w:numId="13">
    <w:abstractNumId w:val="17"/>
  </w:num>
  <w:num w:numId="14">
    <w:abstractNumId w:val="12"/>
  </w:num>
  <w:num w:numId="15">
    <w:abstractNumId w:val="23"/>
  </w:num>
  <w:num w:numId="16">
    <w:abstractNumId w:val="0"/>
  </w:num>
  <w:num w:numId="17">
    <w:abstractNumId w:val="27"/>
  </w:num>
  <w:num w:numId="18">
    <w:abstractNumId w:val="16"/>
  </w:num>
  <w:num w:numId="19">
    <w:abstractNumId w:val="11"/>
  </w:num>
  <w:num w:numId="20">
    <w:abstractNumId w:val="25"/>
  </w:num>
  <w:num w:numId="21">
    <w:abstractNumId w:val="18"/>
  </w:num>
  <w:num w:numId="22">
    <w:abstractNumId w:val="26"/>
  </w:num>
  <w:num w:numId="23">
    <w:abstractNumId w:val="28"/>
  </w:num>
  <w:num w:numId="24">
    <w:abstractNumId w:val="22"/>
  </w:num>
  <w:num w:numId="25">
    <w:abstractNumId w:val="21"/>
  </w:num>
  <w:num w:numId="26">
    <w:abstractNumId w:val="20"/>
  </w:num>
  <w:num w:numId="27">
    <w:abstractNumId w:val="15"/>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dzptfsqwz5xse99z7xaz96dazf5vzzwa2w&quot;&gt;Ben Refferences-Converted&lt;record-ids&gt;&lt;item&gt;9037&lt;/item&gt;&lt;item&gt;9377&lt;/item&gt;&lt;item&gt;10773&lt;/item&gt;&lt;item&gt;10817&lt;/item&gt;&lt;item&gt;10824&lt;/item&gt;&lt;item&gt;10855&lt;/item&gt;&lt;item&gt;10891&lt;/item&gt;&lt;item&gt;10945&lt;/item&gt;&lt;item&gt;10953&lt;/item&gt;&lt;item&gt;11145&lt;/item&gt;&lt;item&gt;11227&lt;/item&gt;&lt;item&gt;12019&lt;/item&gt;&lt;item&gt;12026&lt;/item&gt;&lt;item&gt;12229&lt;/item&gt;&lt;item&gt;12241&lt;/item&gt;&lt;item&gt;12427&lt;/item&gt;&lt;item&gt;12467&lt;/item&gt;&lt;item&gt;12536&lt;/item&gt;&lt;item&gt;12556&lt;/item&gt;&lt;item&gt;12562&lt;/item&gt;&lt;item&gt;12587&lt;/item&gt;&lt;item&gt;12598&lt;/item&gt;&lt;item&gt;12716&lt;/item&gt;&lt;item&gt;12789&lt;/item&gt;&lt;item&gt;12790&lt;/item&gt;&lt;item&gt;12792&lt;/item&gt;&lt;item&gt;12793&lt;/item&gt;&lt;item&gt;12794&lt;/item&gt;&lt;item&gt;12795&lt;/item&gt;&lt;item&gt;12797&lt;/item&gt;&lt;item&gt;12805&lt;/item&gt;&lt;item&gt;12806&lt;/item&gt;&lt;item&gt;12818&lt;/item&gt;&lt;item&gt;12819&lt;/item&gt;&lt;item&gt;12821&lt;/item&gt;&lt;item&gt;12823&lt;/item&gt;&lt;item&gt;12828&lt;/item&gt;&lt;item&gt;12829&lt;/item&gt;&lt;/record-ids&gt;&lt;/item&gt;&lt;/Libraries&gt;"/>
  </w:docVars>
  <w:rsids>
    <w:rsidRoot w:val="0064261D"/>
    <w:rsid w:val="00003C3B"/>
    <w:rsid w:val="00013086"/>
    <w:rsid w:val="00013626"/>
    <w:rsid w:val="00014D96"/>
    <w:rsid w:val="0001780E"/>
    <w:rsid w:val="000203D5"/>
    <w:rsid w:val="00024DBF"/>
    <w:rsid w:val="000252D8"/>
    <w:rsid w:val="000253B3"/>
    <w:rsid w:val="0003183D"/>
    <w:rsid w:val="0003404A"/>
    <w:rsid w:val="00035049"/>
    <w:rsid w:val="000356E0"/>
    <w:rsid w:val="0003674A"/>
    <w:rsid w:val="00037583"/>
    <w:rsid w:val="0003771E"/>
    <w:rsid w:val="0004337D"/>
    <w:rsid w:val="0004366D"/>
    <w:rsid w:val="00043F9F"/>
    <w:rsid w:val="00044940"/>
    <w:rsid w:val="00045AA0"/>
    <w:rsid w:val="00046C67"/>
    <w:rsid w:val="000500F0"/>
    <w:rsid w:val="00050A43"/>
    <w:rsid w:val="00050C77"/>
    <w:rsid w:val="00054146"/>
    <w:rsid w:val="00054C2E"/>
    <w:rsid w:val="000627CB"/>
    <w:rsid w:val="000645F5"/>
    <w:rsid w:val="00065DDE"/>
    <w:rsid w:val="000662CC"/>
    <w:rsid w:val="0006661B"/>
    <w:rsid w:val="00066A2D"/>
    <w:rsid w:val="00066D6B"/>
    <w:rsid w:val="000717D0"/>
    <w:rsid w:val="0007212F"/>
    <w:rsid w:val="000737A7"/>
    <w:rsid w:val="00074CB4"/>
    <w:rsid w:val="00075671"/>
    <w:rsid w:val="00076AF2"/>
    <w:rsid w:val="00081CAD"/>
    <w:rsid w:val="00083C2F"/>
    <w:rsid w:val="00083CE4"/>
    <w:rsid w:val="00085117"/>
    <w:rsid w:val="00087314"/>
    <w:rsid w:val="00092AB2"/>
    <w:rsid w:val="00093850"/>
    <w:rsid w:val="000A2073"/>
    <w:rsid w:val="000A247E"/>
    <w:rsid w:val="000A417B"/>
    <w:rsid w:val="000A6FAE"/>
    <w:rsid w:val="000B236C"/>
    <w:rsid w:val="000B2C20"/>
    <w:rsid w:val="000B5270"/>
    <w:rsid w:val="000B7C14"/>
    <w:rsid w:val="000B7F0C"/>
    <w:rsid w:val="000C05E5"/>
    <w:rsid w:val="000D333F"/>
    <w:rsid w:val="000D7337"/>
    <w:rsid w:val="000E1DE9"/>
    <w:rsid w:val="000E6672"/>
    <w:rsid w:val="000F3009"/>
    <w:rsid w:val="000F43C8"/>
    <w:rsid w:val="000F4517"/>
    <w:rsid w:val="000F4EA3"/>
    <w:rsid w:val="000F5D0C"/>
    <w:rsid w:val="000F63E8"/>
    <w:rsid w:val="000F701E"/>
    <w:rsid w:val="000F7257"/>
    <w:rsid w:val="00102FF0"/>
    <w:rsid w:val="00103BAC"/>
    <w:rsid w:val="0010517C"/>
    <w:rsid w:val="001057AB"/>
    <w:rsid w:val="00107D45"/>
    <w:rsid w:val="00110BD1"/>
    <w:rsid w:val="00117DF4"/>
    <w:rsid w:val="001245AD"/>
    <w:rsid w:val="0012650F"/>
    <w:rsid w:val="00126A5C"/>
    <w:rsid w:val="001422F0"/>
    <w:rsid w:val="001438FF"/>
    <w:rsid w:val="00143D0F"/>
    <w:rsid w:val="00144CFB"/>
    <w:rsid w:val="00145478"/>
    <w:rsid w:val="001458BD"/>
    <w:rsid w:val="00146CB5"/>
    <w:rsid w:val="00151FF2"/>
    <w:rsid w:val="001534A9"/>
    <w:rsid w:val="00153C52"/>
    <w:rsid w:val="001558F3"/>
    <w:rsid w:val="00157B57"/>
    <w:rsid w:val="00160F9E"/>
    <w:rsid w:val="00161C59"/>
    <w:rsid w:val="001643D9"/>
    <w:rsid w:val="00164DD3"/>
    <w:rsid w:val="00165CB7"/>
    <w:rsid w:val="001666F7"/>
    <w:rsid w:val="001750E1"/>
    <w:rsid w:val="0017630A"/>
    <w:rsid w:val="001771A5"/>
    <w:rsid w:val="00184B4F"/>
    <w:rsid w:val="001865C0"/>
    <w:rsid w:val="00186CE8"/>
    <w:rsid w:val="00190EDA"/>
    <w:rsid w:val="001933C2"/>
    <w:rsid w:val="00193F0C"/>
    <w:rsid w:val="001953CF"/>
    <w:rsid w:val="0019549B"/>
    <w:rsid w:val="00196026"/>
    <w:rsid w:val="001962E4"/>
    <w:rsid w:val="001A03BD"/>
    <w:rsid w:val="001A41EF"/>
    <w:rsid w:val="001B2F0E"/>
    <w:rsid w:val="001B3B1A"/>
    <w:rsid w:val="001B5133"/>
    <w:rsid w:val="001C5242"/>
    <w:rsid w:val="001D01A7"/>
    <w:rsid w:val="001D24D3"/>
    <w:rsid w:val="001E17A8"/>
    <w:rsid w:val="001E1C91"/>
    <w:rsid w:val="001E24FB"/>
    <w:rsid w:val="001F11BD"/>
    <w:rsid w:val="001F21CC"/>
    <w:rsid w:val="001F504A"/>
    <w:rsid w:val="001F7016"/>
    <w:rsid w:val="0020026E"/>
    <w:rsid w:val="0020085C"/>
    <w:rsid w:val="002027EB"/>
    <w:rsid w:val="00202BD8"/>
    <w:rsid w:val="00202EB7"/>
    <w:rsid w:val="00203FDB"/>
    <w:rsid w:val="00204E2B"/>
    <w:rsid w:val="00205250"/>
    <w:rsid w:val="002056A7"/>
    <w:rsid w:val="0020734F"/>
    <w:rsid w:val="00210720"/>
    <w:rsid w:val="00211F77"/>
    <w:rsid w:val="00216149"/>
    <w:rsid w:val="0021774F"/>
    <w:rsid w:val="00220BF1"/>
    <w:rsid w:val="00221155"/>
    <w:rsid w:val="00221876"/>
    <w:rsid w:val="00221AE3"/>
    <w:rsid w:val="00224BDC"/>
    <w:rsid w:val="002257C4"/>
    <w:rsid w:val="00227E2F"/>
    <w:rsid w:val="00232CAF"/>
    <w:rsid w:val="00237B12"/>
    <w:rsid w:val="00244F9B"/>
    <w:rsid w:val="00247347"/>
    <w:rsid w:val="002478E4"/>
    <w:rsid w:val="00251095"/>
    <w:rsid w:val="00255A66"/>
    <w:rsid w:val="002562AE"/>
    <w:rsid w:val="0026103F"/>
    <w:rsid w:val="0026488E"/>
    <w:rsid w:val="00266FB0"/>
    <w:rsid w:val="0027396B"/>
    <w:rsid w:val="00276525"/>
    <w:rsid w:val="002773FA"/>
    <w:rsid w:val="002829C8"/>
    <w:rsid w:val="00283CF0"/>
    <w:rsid w:val="00285346"/>
    <w:rsid w:val="002871D7"/>
    <w:rsid w:val="00292F99"/>
    <w:rsid w:val="00293D13"/>
    <w:rsid w:val="00294688"/>
    <w:rsid w:val="00294D26"/>
    <w:rsid w:val="002951D5"/>
    <w:rsid w:val="00296D26"/>
    <w:rsid w:val="00297D99"/>
    <w:rsid w:val="002A007C"/>
    <w:rsid w:val="002A0643"/>
    <w:rsid w:val="002A244A"/>
    <w:rsid w:val="002A4473"/>
    <w:rsid w:val="002A7D9E"/>
    <w:rsid w:val="002B3AE6"/>
    <w:rsid w:val="002B6F07"/>
    <w:rsid w:val="002B7232"/>
    <w:rsid w:val="002C21D2"/>
    <w:rsid w:val="002C743A"/>
    <w:rsid w:val="002D12DF"/>
    <w:rsid w:val="002D26D0"/>
    <w:rsid w:val="002D3E74"/>
    <w:rsid w:val="002D7582"/>
    <w:rsid w:val="002E12E0"/>
    <w:rsid w:val="002E26FC"/>
    <w:rsid w:val="002E2ED4"/>
    <w:rsid w:val="002E4488"/>
    <w:rsid w:val="002E5A2C"/>
    <w:rsid w:val="002F4616"/>
    <w:rsid w:val="002F5605"/>
    <w:rsid w:val="002F5622"/>
    <w:rsid w:val="002F70B0"/>
    <w:rsid w:val="003007B8"/>
    <w:rsid w:val="00301043"/>
    <w:rsid w:val="00303446"/>
    <w:rsid w:val="00303575"/>
    <w:rsid w:val="00310876"/>
    <w:rsid w:val="00311F40"/>
    <w:rsid w:val="003131A6"/>
    <w:rsid w:val="003132D2"/>
    <w:rsid w:val="00320B31"/>
    <w:rsid w:val="00320BF4"/>
    <w:rsid w:val="003237DF"/>
    <w:rsid w:val="00326007"/>
    <w:rsid w:val="00326E45"/>
    <w:rsid w:val="00327977"/>
    <w:rsid w:val="00330DA4"/>
    <w:rsid w:val="0034018B"/>
    <w:rsid w:val="003433DE"/>
    <w:rsid w:val="00344F43"/>
    <w:rsid w:val="003469B2"/>
    <w:rsid w:val="003470AA"/>
    <w:rsid w:val="00350935"/>
    <w:rsid w:val="0035237B"/>
    <w:rsid w:val="00362276"/>
    <w:rsid w:val="003627A5"/>
    <w:rsid w:val="0036379C"/>
    <w:rsid w:val="0036645A"/>
    <w:rsid w:val="00375B99"/>
    <w:rsid w:val="003766C0"/>
    <w:rsid w:val="00380080"/>
    <w:rsid w:val="00390ECE"/>
    <w:rsid w:val="003920C4"/>
    <w:rsid w:val="00392C12"/>
    <w:rsid w:val="003948FB"/>
    <w:rsid w:val="00394AA2"/>
    <w:rsid w:val="003954EF"/>
    <w:rsid w:val="003A000F"/>
    <w:rsid w:val="003A07F2"/>
    <w:rsid w:val="003A21F1"/>
    <w:rsid w:val="003A44A7"/>
    <w:rsid w:val="003A4B99"/>
    <w:rsid w:val="003A63C5"/>
    <w:rsid w:val="003A6D58"/>
    <w:rsid w:val="003B3E2F"/>
    <w:rsid w:val="003B4BC3"/>
    <w:rsid w:val="003B6B43"/>
    <w:rsid w:val="003C06C9"/>
    <w:rsid w:val="003C0B0D"/>
    <w:rsid w:val="003C213F"/>
    <w:rsid w:val="003C3491"/>
    <w:rsid w:val="003C5152"/>
    <w:rsid w:val="003C63AD"/>
    <w:rsid w:val="003C6937"/>
    <w:rsid w:val="003D63CB"/>
    <w:rsid w:val="003D6F18"/>
    <w:rsid w:val="003E1E1C"/>
    <w:rsid w:val="003F253B"/>
    <w:rsid w:val="003F3647"/>
    <w:rsid w:val="003F68AA"/>
    <w:rsid w:val="003F75AC"/>
    <w:rsid w:val="00401B38"/>
    <w:rsid w:val="004021D9"/>
    <w:rsid w:val="00402374"/>
    <w:rsid w:val="004048C9"/>
    <w:rsid w:val="0041507C"/>
    <w:rsid w:val="0041521B"/>
    <w:rsid w:val="00424B7A"/>
    <w:rsid w:val="00432F1C"/>
    <w:rsid w:val="00433698"/>
    <w:rsid w:val="004361DA"/>
    <w:rsid w:val="00441480"/>
    <w:rsid w:val="00441DFF"/>
    <w:rsid w:val="00442161"/>
    <w:rsid w:val="004429FE"/>
    <w:rsid w:val="00443B40"/>
    <w:rsid w:val="00452AAE"/>
    <w:rsid w:val="004555B6"/>
    <w:rsid w:val="00457A9E"/>
    <w:rsid w:val="00457AB0"/>
    <w:rsid w:val="00464DEC"/>
    <w:rsid w:val="004657A3"/>
    <w:rsid w:val="004708C7"/>
    <w:rsid w:val="00470C16"/>
    <w:rsid w:val="00473C3A"/>
    <w:rsid w:val="00474213"/>
    <w:rsid w:val="00477A27"/>
    <w:rsid w:val="00480D4B"/>
    <w:rsid w:val="0048273C"/>
    <w:rsid w:val="00482E0E"/>
    <w:rsid w:val="004833A9"/>
    <w:rsid w:val="0048451F"/>
    <w:rsid w:val="00486D97"/>
    <w:rsid w:val="00490034"/>
    <w:rsid w:val="00490888"/>
    <w:rsid w:val="00497A69"/>
    <w:rsid w:val="004A10BE"/>
    <w:rsid w:val="004A1184"/>
    <w:rsid w:val="004A27D9"/>
    <w:rsid w:val="004A3087"/>
    <w:rsid w:val="004A3F90"/>
    <w:rsid w:val="004A4A54"/>
    <w:rsid w:val="004A780B"/>
    <w:rsid w:val="004B0714"/>
    <w:rsid w:val="004B4C48"/>
    <w:rsid w:val="004B4CCE"/>
    <w:rsid w:val="004B51DD"/>
    <w:rsid w:val="004B78CE"/>
    <w:rsid w:val="004C15E8"/>
    <w:rsid w:val="004C530E"/>
    <w:rsid w:val="004C6454"/>
    <w:rsid w:val="004C68F8"/>
    <w:rsid w:val="004C7088"/>
    <w:rsid w:val="004D0D33"/>
    <w:rsid w:val="004D5213"/>
    <w:rsid w:val="004D7207"/>
    <w:rsid w:val="004E003C"/>
    <w:rsid w:val="004E2D43"/>
    <w:rsid w:val="004E3D06"/>
    <w:rsid w:val="004E4D9D"/>
    <w:rsid w:val="004E588B"/>
    <w:rsid w:val="004E6F24"/>
    <w:rsid w:val="004E7118"/>
    <w:rsid w:val="004F03A6"/>
    <w:rsid w:val="004F1617"/>
    <w:rsid w:val="004F26A0"/>
    <w:rsid w:val="004F3106"/>
    <w:rsid w:val="00500C34"/>
    <w:rsid w:val="0050253D"/>
    <w:rsid w:val="005037D1"/>
    <w:rsid w:val="005040E6"/>
    <w:rsid w:val="00507698"/>
    <w:rsid w:val="005076F9"/>
    <w:rsid w:val="0051342E"/>
    <w:rsid w:val="00513791"/>
    <w:rsid w:val="00515578"/>
    <w:rsid w:val="00516B63"/>
    <w:rsid w:val="00516BDD"/>
    <w:rsid w:val="00516D77"/>
    <w:rsid w:val="005202F3"/>
    <w:rsid w:val="00520729"/>
    <w:rsid w:val="00521B14"/>
    <w:rsid w:val="0052226C"/>
    <w:rsid w:val="005226DE"/>
    <w:rsid w:val="00523D84"/>
    <w:rsid w:val="00523F1B"/>
    <w:rsid w:val="005245E2"/>
    <w:rsid w:val="0052785C"/>
    <w:rsid w:val="00527BFE"/>
    <w:rsid w:val="005341F3"/>
    <w:rsid w:val="00534E77"/>
    <w:rsid w:val="005356A8"/>
    <w:rsid w:val="00535BA3"/>
    <w:rsid w:val="00537DC0"/>
    <w:rsid w:val="005404DC"/>
    <w:rsid w:val="00542E1F"/>
    <w:rsid w:val="00543122"/>
    <w:rsid w:val="00544136"/>
    <w:rsid w:val="005442C5"/>
    <w:rsid w:val="005456B6"/>
    <w:rsid w:val="00547897"/>
    <w:rsid w:val="00547A1C"/>
    <w:rsid w:val="0055129A"/>
    <w:rsid w:val="00553522"/>
    <w:rsid w:val="0055415A"/>
    <w:rsid w:val="00556452"/>
    <w:rsid w:val="00557501"/>
    <w:rsid w:val="0055790F"/>
    <w:rsid w:val="00564D09"/>
    <w:rsid w:val="005661FD"/>
    <w:rsid w:val="005677D3"/>
    <w:rsid w:val="005761F7"/>
    <w:rsid w:val="00581257"/>
    <w:rsid w:val="00581AA2"/>
    <w:rsid w:val="005831AE"/>
    <w:rsid w:val="00583C15"/>
    <w:rsid w:val="005873FC"/>
    <w:rsid w:val="00590C65"/>
    <w:rsid w:val="00591478"/>
    <w:rsid w:val="005919E6"/>
    <w:rsid w:val="00594CE2"/>
    <w:rsid w:val="00596112"/>
    <w:rsid w:val="00597825"/>
    <w:rsid w:val="005A21ED"/>
    <w:rsid w:val="005A2FAB"/>
    <w:rsid w:val="005A61CF"/>
    <w:rsid w:val="005A74FC"/>
    <w:rsid w:val="005A7AE4"/>
    <w:rsid w:val="005B36C0"/>
    <w:rsid w:val="005B6F15"/>
    <w:rsid w:val="005C104A"/>
    <w:rsid w:val="005C3413"/>
    <w:rsid w:val="005C3D21"/>
    <w:rsid w:val="005C4E1D"/>
    <w:rsid w:val="005C7484"/>
    <w:rsid w:val="005C7ECB"/>
    <w:rsid w:val="005D00DF"/>
    <w:rsid w:val="005D0813"/>
    <w:rsid w:val="005D1C1F"/>
    <w:rsid w:val="005D1E16"/>
    <w:rsid w:val="005D5425"/>
    <w:rsid w:val="005D59E9"/>
    <w:rsid w:val="005D6989"/>
    <w:rsid w:val="005E00AD"/>
    <w:rsid w:val="005E4202"/>
    <w:rsid w:val="005E46FC"/>
    <w:rsid w:val="005F0DA5"/>
    <w:rsid w:val="005F2171"/>
    <w:rsid w:val="005F6724"/>
    <w:rsid w:val="00600C04"/>
    <w:rsid w:val="00603C91"/>
    <w:rsid w:val="00606483"/>
    <w:rsid w:val="006105AA"/>
    <w:rsid w:val="006106F0"/>
    <w:rsid w:val="00613B78"/>
    <w:rsid w:val="00614260"/>
    <w:rsid w:val="0061518B"/>
    <w:rsid w:val="006260AA"/>
    <w:rsid w:val="006260B1"/>
    <w:rsid w:val="006270B0"/>
    <w:rsid w:val="00631AB5"/>
    <w:rsid w:val="006336B5"/>
    <w:rsid w:val="006346C9"/>
    <w:rsid w:val="006363BC"/>
    <w:rsid w:val="006405EF"/>
    <w:rsid w:val="00641F18"/>
    <w:rsid w:val="0064261D"/>
    <w:rsid w:val="00651198"/>
    <w:rsid w:val="00651E10"/>
    <w:rsid w:val="00652C32"/>
    <w:rsid w:val="0065473C"/>
    <w:rsid w:val="00655813"/>
    <w:rsid w:val="006563DF"/>
    <w:rsid w:val="00657067"/>
    <w:rsid w:val="0066061C"/>
    <w:rsid w:val="0066480A"/>
    <w:rsid w:val="00664FB2"/>
    <w:rsid w:val="00666292"/>
    <w:rsid w:val="00670564"/>
    <w:rsid w:val="00672AB4"/>
    <w:rsid w:val="006772C0"/>
    <w:rsid w:val="00677536"/>
    <w:rsid w:val="00682761"/>
    <w:rsid w:val="00690589"/>
    <w:rsid w:val="00694062"/>
    <w:rsid w:val="00695A04"/>
    <w:rsid w:val="0069612A"/>
    <w:rsid w:val="0069684D"/>
    <w:rsid w:val="006A1852"/>
    <w:rsid w:val="006A3EF9"/>
    <w:rsid w:val="006A3F39"/>
    <w:rsid w:val="006A7357"/>
    <w:rsid w:val="006B4037"/>
    <w:rsid w:val="006B4F15"/>
    <w:rsid w:val="006C0A8B"/>
    <w:rsid w:val="006C1F47"/>
    <w:rsid w:val="006C6277"/>
    <w:rsid w:val="006C7EF0"/>
    <w:rsid w:val="006D1201"/>
    <w:rsid w:val="006D18B9"/>
    <w:rsid w:val="006D40D3"/>
    <w:rsid w:val="006D49A1"/>
    <w:rsid w:val="006E0C04"/>
    <w:rsid w:val="006E4772"/>
    <w:rsid w:val="006E6F44"/>
    <w:rsid w:val="006F2441"/>
    <w:rsid w:val="006F445B"/>
    <w:rsid w:val="006F6AAD"/>
    <w:rsid w:val="006F7C47"/>
    <w:rsid w:val="006F7E66"/>
    <w:rsid w:val="006F7F81"/>
    <w:rsid w:val="00712D93"/>
    <w:rsid w:val="0071343B"/>
    <w:rsid w:val="0071358C"/>
    <w:rsid w:val="00717444"/>
    <w:rsid w:val="00717CF5"/>
    <w:rsid w:val="007238AC"/>
    <w:rsid w:val="00725119"/>
    <w:rsid w:val="0072653A"/>
    <w:rsid w:val="007310D7"/>
    <w:rsid w:val="007336B8"/>
    <w:rsid w:val="007340F3"/>
    <w:rsid w:val="007347D3"/>
    <w:rsid w:val="00734CEB"/>
    <w:rsid w:val="00735D8F"/>
    <w:rsid w:val="00741024"/>
    <w:rsid w:val="007435E1"/>
    <w:rsid w:val="00745B89"/>
    <w:rsid w:val="007503A1"/>
    <w:rsid w:val="007505DA"/>
    <w:rsid w:val="00750652"/>
    <w:rsid w:val="00750E35"/>
    <w:rsid w:val="00750FD8"/>
    <w:rsid w:val="00751C1F"/>
    <w:rsid w:val="007528F4"/>
    <w:rsid w:val="00753290"/>
    <w:rsid w:val="00764EE3"/>
    <w:rsid w:val="00770EE6"/>
    <w:rsid w:val="0077109E"/>
    <w:rsid w:val="00771D55"/>
    <w:rsid w:val="00780048"/>
    <w:rsid w:val="0078384D"/>
    <w:rsid w:val="00786D69"/>
    <w:rsid w:val="00790860"/>
    <w:rsid w:val="00790F56"/>
    <w:rsid w:val="00791291"/>
    <w:rsid w:val="00793E4B"/>
    <w:rsid w:val="007960EB"/>
    <w:rsid w:val="00797C1A"/>
    <w:rsid w:val="007A30FC"/>
    <w:rsid w:val="007A458E"/>
    <w:rsid w:val="007A4D80"/>
    <w:rsid w:val="007A50D4"/>
    <w:rsid w:val="007B0A2B"/>
    <w:rsid w:val="007B1C55"/>
    <w:rsid w:val="007B1E24"/>
    <w:rsid w:val="007B2FA7"/>
    <w:rsid w:val="007B4B5E"/>
    <w:rsid w:val="007B50F3"/>
    <w:rsid w:val="007B6184"/>
    <w:rsid w:val="007B7679"/>
    <w:rsid w:val="007C052F"/>
    <w:rsid w:val="007C2B6E"/>
    <w:rsid w:val="007C4192"/>
    <w:rsid w:val="007C5009"/>
    <w:rsid w:val="007D3226"/>
    <w:rsid w:val="007D4558"/>
    <w:rsid w:val="007D458A"/>
    <w:rsid w:val="007E179A"/>
    <w:rsid w:val="007E1FBC"/>
    <w:rsid w:val="007E3303"/>
    <w:rsid w:val="007E35CF"/>
    <w:rsid w:val="007E5F8C"/>
    <w:rsid w:val="007F17D6"/>
    <w:rsid w:val="007F1EBC"/>
    <w:rsid w:val="007F38B4"/>
    <w:rsid w:val="007F3A57"/>
    <w:rsid w:val="007F60BD"/>
    <w:rsid w:val="007F64B1"/>
    <w:rsid w:val="00800B9E"/>
    <w:rsid w:val="00801E3E"/>
    <w:rsid w:val="00802A7F"/>
    <w:rsid w:val="008039AD"/>
    <w:rsid w:val="00807E62"/>
    <w:rsid w:val="00811569"/>
    <w:rsid w:val="00816978"/>
    <w:rsid w:val="00816EE4"/>
    <w:rsid w:val="00817E51"/>
    <w:rsid w:val="00823277"/>
    <w:rsid w:val="008248D1"/>
    <w:rsid w:val="0083166B"/>
    <w:rsid w:val="008336E0"/>
    <w:rsid w:val="00834DE2"/>
    <w:rsid w:val="0084503E"/>
    <w:rsid w:val="00845597"/>
    <w:rsid w:val="008458C7"/>
    <w:rsid w:val="00855DC2"/>
    <w:rsid w:val="008573F1"/>
    <w:rsid w:val="008600F5"/>
    <w:rsid w:val="0086190E"/>
    <w:rsid w:val="008625C7"/>
    <w:rsid w:val="008707B4"/>
    <w:rsid w:val="008708BD"/>
    <w:rsid w:val="008710EC"/>
    <w:rsid w:val="00871411"/>
    <w:rsid w:val="00873C64"/>
    <w:rsid w:val="008754E7"/>
    <w:rsid w:val="008757AC"/>
    <w:rsid w:val="0087754B"/>
    <w:rsid w:val="00880161"/>
    <w:rsid w:val="00881475"/>
    <w:rsid w:val="00882439"/>
    <w:rsid w:val="008830BE"/>
    <w:rsid w:val="00883493"/>
    <w:rsid w:val="00884BC3"/>
    <w:rsid w:val="00886ACB"/>
    <w:rsid w:val="00893B4A"/>
    <w:rsid w:val="00893E98"/>
    <w:rsid w:val="00894994"/>
    <w:rsid w:val="008951C1"/>
    <w:rsid w:val="00895F74"/>
    <w:rsid w:val="00897D50"/>
    <w:rsid w:val="008A2ABF"/>
    <w:rsid w:val="008A2BA0"/>
    <w:rsid w:val="008A2C82"/>
    <w:rsid w:val="008A360B"/>
    <w:rsid w:val="008A38A6"/>
    <w:rsid w:val="008A5153"/>
    <w:rsid w:val="008A5AC6"/>
    <w:rsid w:val="008B601B"/>
    <w:rsid w:val="008B68B7"/>
    <w:rsid w:val="008C023D"/>
    <w:rsid w:val="008C130D"/>
    <w:rsid w:val="008C1D3E"/>
    <w:rsid w:val="008C234D"/>
    <w:rsid w:val="008C3BAF"/>
    <w:rsid w:val="008C4C8A"/>
    <w:rsid w:val="008D20EF"/>
    <w:rsid w:val="008D2942"/>
    <w:rsid w:val="008E0181"/>
    <w:rsid w:val="008E25E0"/>
    <w:rsid w:val="008E3D81"/>
    <w:rsid w:val="008E4D7A"/>
    <w:rsid w:val="008E6E1F"/>
    <w:rsid w:val="008F2A21"/>
    <w:rsid w:val="00901E86"/>
    <w:rsid w:val="0090405E"/>
    <w:rsid w:val="00912AF5"/>
    <w:rsid w:val="009131DE"/>
    <w:rsid w:val="00913A8B"/>
    <w:rsid w:val="00913AEB"/>
    <w:rsid w:val="00915E59"/>
    <w:rsid w:val="0091673A"/>
    <w:rsid w:val="00920C65"/>
    <w:rsid w:val="00924C13"/>
    <w:rsid w:val="00926ADD"/>
    <w:rsid w:val="00932778"/>
    <w:rsid w:val="0093379D"/>
    <w:rsid w:val="009338C3"/>
    <w:rsid w:val="00933C3E"/>
    <w:rsid w:val="00933F70"/>
    <w:rsid w:val="00935EE1"/>
    <w:rsid w:val="00936425"/>
    <w:rsid w:val="009366EB"/>
    <w:rsid w:val="0094216D"/>
    <w:rsid w:val="00942894"/>
    <w:rsid w:val="00943D39"/>
    <w:rsid w:val="00950737"/>
    <w:rsid w:val="00952F11"/>
    <w:rsid w:val="00957070"/>
    <w:rsid w:val="009600C4"/>
    <w:rsid w:val="00964461"/>
    <w:rsid w:val="00966F9B"/>
    <w:rsid w:val="00970C43"/>
    <w:rsid w:val="00972E34"/>
    <w:rsid w:val="00973ECC"/>
    <w:rsid w:val="00974011"/>
    <w:rsid w:val="00977335"/>
    <w:rsid w:val="00977C2A"/>
    <w:rsid w:val="00977F81"/>
    <w:rsid w:val="009863DB"/>
    <w:rsid w:val="009864D7"/>
    <w:rsid w:val="009904ED"/>
    <w:rsid w:val="0099097D"/>
    <w:rsid w:val="00991468"/>
    <w:rsid w:val="009956BC"/>
    <w:rsid w:val="009A4BEE"/>
    <w:rsid w:val="009A6B28"/>
    <w:rsid w:val="009A6DC5"/>
    <w:rsid w:val="009B00C1"/>
    <w:rsid w:val="009B1596"/>
    <w:rsid w:val="009B1F4E"/>
    <w:rsid w:val="009B6C6E"/>
    <w:rsid w:val="009C0518"/>
    <w:rsid w:val="009C2229"/>
    <w:rsid w:val="009C7427"/>
    <w:rsid w:val="009C7607"/>
    <w:rsid w:val="009D10A3"/>
    <w:rsid w:val="009D15DC"/>
    <w:rsid w:val="009D15FD"/>
    <w:rsid w:val="009D1F71"/>
    <w:rsid w:val="009D38DC"/>
    <w:rsid w:val="009D3FC7"/>
    <w:rsid w:val="009F00E8"/>
    <w:rsid w:val="009F2FB6"/>
    <w:rsid w:val="00A01D9F"/>
    <w:rsid w:val="00A03476"/>
    <w:rsid w:val="00A04CD2"/>
    <w:rsid w:val="00A04ED5"/>
    <w:rsid w:val="00A06562"/>
    <w:rsid w:val="00A066FE"/>
    <w:rsid w:val="00A11F70"/>
    <w:rsid w:val="00A13B65"/>
    <w:rsid w:val="00A144D9"/>
    <w:rsid w:val="00A15C0E"/>
    <w:rsid w:val="00A16A1B"/>
    <w:rsid w:val="00A16C38"/>
    <w:rsid w:val="00A20229"/>
    <w:rsid w:val="00A234E1"/>
    <w:rsid w:val="00A273D6"/>
    <w:rsid w:val="00A335E4"/>
    <w:rsid w:val="00A35746"/>
    <w:rsid w:val="00A378E0"/>
    <w:rsid w:val="00A4029F"/>
    <w:rsid w:val="00A43B93"/>
    <w:rsid w:val="00A4424B"/>
    <w:rsid w:val="00A44D21"/>
    <w:rsid w:val="00A44FC7"/>
    <w:rsid w:val="00A46C61"/>
    <w:rsid w:val="00A471D3"/>
    <w:rsid w:val="00A5165B"/>
    <w:rsid w:val="00A5290B"/>
    <w:rsid w:val="00A56179"/>
    <w:rsid w:val="00A6150F"/>
    <w:rsid w:val="00A61C45"/>
    <w:rsid w:val="00A637CF"/>
    <w:rsid w:val="00A67F07"/>
    <w:rsid w:val="00A710EF"/>
    <w:rsid w:val="00A725E1"/>
    <w:rsid w:val="00A75B3C"/>
    <w:rsid w:val="00A818BB"/>
    <w:rsid w:val="00A84C1F"/>
    <w:rsid w:val="00A860B4"/>
    <w:rsid w:val="00A91A49"/>
    <w:rsid w:val="00A91DAB"/>
    <w:rsid w:val="00A9311D"/>
    <w:rsid w:val="00A96A14"/>
    <w:rsid w:val="00A96E1E"/>
    <w:rsid w:val="00AA1BB4"/>
    <w:rsid w:val="00AA4403"/>
    <w:rsid w:val="00AA53B8"/>
    <w:rsid w:val="00AA5E9D"/>
    <w:rsid w:val="00AA78E8"/>
    <w:rsid w:val="00AB13DC"/>
    <w:rsid w:val="00AB2AA3"/>
    <w:rsid w:val="00AB4917"/>
    <w:rsid w:val="00AB498A"/>
    <w:rsid w:val="00AB4D8F"/>
    <w:rsid w:val="00AB5031"/>
    <w:rsid w:val="00AB5717"/>
    <w:rsid w:val="00AB73DA"/>
    <w:rsid w:val="00AC09D6"/>
    <w:rsid w:val="00AC1076"/>
    <w:rsid w:val="00AC364C"/>
    <w:rsid w:val="00AC5266"/>
    <w:rsid w:val="00AC5DF3"/>
    <w:rsid w:val="00AC6D2E"/>
    <w:rsid w:val="00AD450E"/>
    <w:rsid w:val="00AE056A"/>
    <w:rsid w:val="00AE66B3"/>
    <w:rsid w:val="00AE6F15"/>
    <w:rsid w:val="00AE7271"/>
    <w:rsid w:val="00AF0DEC"/>
    <w:rsid w:val="00B00EF9"/>
    <w:rsid w:val="00B055A4"/>
    <w:rsid w:val="00B11A57"/>
    <w:rsid w:val="00B13232"/>
    <w:rsid w:val="00B13BD8"/>
    <w:rsid w:val="00B151F8"/>
    <w:rsid w:val="00B20539"/>
    <w:rsid w:val="00B20C55"/>
    <w:rsid w:val="00B22303"/>
    <w:rsid w:val="00B23D0D"/>
    <w:rsid w:val="00B25C2D"/>
    <w:rsid w:val="00B30844"/>
    <w:rsid w:val="00B33C12"/>
    <w:rsid w:val="00B348A5"/>
    <w:rsid w:val="00B35768"/>
    <w:rsid w:val="00B407D7"/>
    <w:rsid w:val="00B40B36"/>
    <w:rsid w:val="00B4102B"/>
    <w:rsid w:val="00B4390F"/>
    <w:rsid w:val="00B45371"/>
    <w:rsid w:val="00B46EEC"/>
    <w:rsid w:val="00B4792A"/>
    <w:rsid w:val="00B5180E"/>
    <w:rsid w:val="00B518B5"/>
    <w:rsid w:val="00B547A9"/>
    <w:rsid w:val="00B641C4"/>
    <w:rsid w:val="00B6473D"/>
    <w:rsid w:val="00B73ABE"/>
    <w:rsid w:val="00B75791"/>
    <w:rsid w:val="00B76231"/>
    <w:rsid w:val="00B76995"/>
    <w:rsid w:val="00B81045"/>
    <w:rsid w:val="00B817A2"/>
    <w:rsid w:val="00B84918"/>
    <w:rsid w:val="00B84D9C"/>
    <w:rsid w:val="00B875D8"/>
    <w:rsid w:val="00B87916"/>
    <w:rsid w:val="00B879BD"/>
    <w:rsid w:val="00B91041"/>
    <w:rsid w:val="00B949F9"/>
    <w:rsid w:val="00B95743"/>
    <w:rsid w:val="00BA286B"/>
    <w:rsid w:val="00BA2C3F"/>
    <w:rsid w:val="00BA4BF8"/>
    <w:rsid w:val="00BA7075"/>
    <w:rsid w:val="00BB2574"/>
    <w:rsid w:val="00BB2BF8"/>
    <w:rsid w:val="00BC162A"/>
    <w:rsid w:val="00BC23B7"/>
    <w:rsid w:val="00BC43AD"/>
    <w:rsid w:val="00BC7194"/>
    <w:rsid w:val="00BD2A38"/>
    <w:rsid w:val="00BD5055"/>
    <w:rsid w:val="00BD55E7"/>
    <w:rsid w:val="00BD580C"/>
    <w:rsid w:val="00BE0F39"/>
    <w:rsid w:val="00BE6020"/>
    <w:rsid w:val="00BF75E1"/>
    <w:rsid w:val="00C00932"/>
    <w:rsid w:val="00C00E4D"/>
    <w:rsid w:val="00C0348E"/>
    <w:rsid w:val="00C13BE3"/>
    <w:rsid w:val="00C15367"/>
    <w:rsid w:val="00C21A8F"/>
    <w:rsid w:val="00C226EF"/>
    <w:rsid w:val="00C24481"/>
    <w:rsid w:val="00C27798"/>
    <w:rsid w:val="00C27974"/>
    <w:rsid w:val="00C30222"/>
    <w:rsid w:val="00C34D14"/>
    <w:rsid w:val="00C355DE"/>
    <w:rsid w:val="00C3560A"/>
    <w:rsid w:val="00C4412B"/>
    <w:rsid w:val="00C45759"/>
    <w:rsid w:val="00C46147"/>
    <w:rsid w:val="00C466F3"/>
    <w:rsid w:val="00C51342"/>
    <w:rsid w:val="00C51CC2"/>
    <w:rsid w:val="00C51D93"/>
    <w:rsid w:val="00C51FC4"/>
    <w:rsid w:val="00C532F2"/>
    <w:rsid w:val="00C53F70"/>
    <w:rsid w:val="00C57BAA"/>
    <w:rsid w:val="00C6450D"/>
    <w:rsid w:val="00C70627"/>
    <w:rsid w:val="00C70A96"/>
    <w:rsid w:val="00C74930"/>
    <w:rsid w:val="00C7544C"/>
    <w:rsid w:val="00C76490"/>
    <w:rsid w:val="00C76A9C"/>
    <w:rsid w:val="00C77E1D"/>
    <w:rsid w:val="00C83BD6"/>
    <w:rsid w:val="00C8521B"/>
    <w:rsid w:val="00C908BD"/>
    <w:rsid w:val="00C9122A"/>
    <w:rsid w:val="00C917E9"/>
    <w:rsid w:val="00C954D0"/>
    <w:rsid w:val="00CA12A1"/>
    <w:rsid w:val="00CA2D88"/>
    <w:rsid w:val="00CA7DCB"/>
    <w:rsid w:val="00CA7F1A"/>
    <w:rsid w:val="00CB110F"/>
    <w:rsid w:val="00CB2527"/>
    <w:rsid w:val="00CB3181"/>
    <w:rsid w:val="00CB31D5"/>
    <w:rsid w:val="00CB4AE1"/>
    <w:rsid w:val="00CB5877"/>
    <w:rsid w:val="00CB5CB3"/>
    <w:rsid w:val="00CB6BBF"/>
    <w:rsid w:val="00CB76C0"/>
    <w:rsid w:val="00CB7D93"/>
    <w:rsid w:val="00CD1714"/>
    <w:rsid w:val="00CD30AE"/>
    <w:rsid w:val="00CD4FB4"/>
    <w:rsid w:val="00CD6023"/>
    <w:rsid w:val="00CE14CC"/>
    <w:rsid w:val="00CE15FB"/>
    <w:rsid w:val="00CE1637"/>
    <w:rsid w:val="00CE3732"/>
    <w:rsid w:val="00CE3B9E"/>
    <w:rsid w:val="00CE56C5"/>
    <w:rsid w:val="00CE6AA7"/>
    <w:rsid w:val="00CE7352"/>
    <w:rsid w:val="00CF13D4"/>
    <w:rsid w:val="00CF3FD2"/>
    <w:rsid w:val="00CF4A2F"/>
    <w:rsid w:val="00CF4F91"/>
    <w:rsid w:val="00CF6283"/>
    <w:rsid w:val="00CF6434"/>
    <w:rsid w:val="00CF6728"/>
    <w:rsid w:val="00CF6EDC"/>
    <w:rsid w:val="00D03CB6"/>
    <w:rsid w:val="00D05D24"/>
    <w:rsid w:val="00D072FC"/>
    <w:rsid w:val="00D149E9"/>
    <w:rsid w:val="00D22D6B"/>
    <w:rsid w:val="00D22E07"/>
    <w:rsid w:val="00D24A7F"/>
    <w:rsid w:val="00D33BFE"/>
    <w:rsid w:val="00D343BA"/>
    <w:rsid w:val="00D34EAD"/>
    <w:rsid w:val="00D3502F"/>
    <w:rsid w:val="00D36BD1"/>
    <w:rsid w:val="00D37751"/>
    <w:rsid w:val="00D42162"/>
    <w:rsid w:val="00D43B2F"/>
    <w:rsid w:val="00D51EEB"/>
    <w:rsid w:val="00D52DFA"/>
    <w:rsid w:val="00D5558D"/>
    <w:rsid w:val="00D55CCD"/>
    <w:rsid w:val="00D56A86"/>
    <w:rsid w:val="00D57978"/>
    <w:rsid w:val="00D6497E"/>
    <w:rsid w:val="00D673E9"/>
    <w:rsid w:val="00D677A9"/>
    <w:rsid w:val="00D6780F"/>
    <w:rsid w:val="00D70FC2"/>
    <w:rsid w:val="00D716FF"/>
    <w:rsid w:val="00D723B6"/>
    <w:rsid w:val="00D74E21"/>
    <w:rsid w:val="00D74FB8"/>
    <w:rsid w:val="00D821C8"/>
    <w:rsid w:val="00D824E7"/>
    <w:rsid w:val="00D84964"/>
    <w:rsid w:val="00D8527E"/>
    <w:rsid w:val="00D85964"/>
    <w:rsid w:val="00D86A29"/>
    <w:rsid w:val="00D874F2"/>
    <w:rsid w:val="00D87565"/>
    <w:rsid w:val="00D913D9"/>
    <w:rsid w:val="00D92A65"/>
    <w:rsid w:val="00D94A2D"/>
    <w:rsid w:val="00D9632A"/>
    <w:rsid w:val="00DA218A"/>
    <w:rsid w:val="00DA3AA2"/>
    <w:rsid w:val="00DA6E1F"/>
    <w:rsid w:val="00DA78AA"/>
    <w:rsid w:val="00DB06A4"/>
    <w:rsid w:val="00DB2145"/>
    <w:rsid w:val="00DB2EF6"/>
    <w:rsid w:val="00DB4777"/>
    <w:rsid w:val="00DB4F94"/>
    <w:rsid w:val="00DB6F0B"/>
    <w:rsid w:val="00DC388D"/>
    <w:rsid w:val="00DC3C84"/>
    <w:rsid w:val="00DC6198"/>
    <w:rsid w:val="00DC62D7"/>
    <w:rsid w:val="00DD105A"/>
    <w:rsid w:val="00DD2BD2"/>
    <w:rsid w:val="00DD2CED"/>
    <w:rsid w:val="00DD7DCF"/>
    <w:rsid w:val="00DD7E26"/>
    <w:rsid w:val="00DE0227"/>
    <w:rsid w:val="00DE328C"/>
    <w:rsid w:val="00DF0883"/>
    <w:rsid w:val="00DF2774"/>
    <w:rsid w:val="00DF38B5"/>
    <w:rsid w:val="00E01430"/>
    <w:rsid w:val="00E06871"/>
    <w:rsid w:val="00E06A26"/>
    <w:rsid w:val="00E11441"/>
    <w:rsid w:val="00E13AB9"/>
    <w:rsid w:val="00E158CC"/>
    <w:rsid w:val="00E176F3"/>
    <w:rsid w:val="00E2754F"/>
    <w:rsid w:val="00E3031F"/>
    <w:rsid w:val="00E32760"/>
    <w:rsid w:val="00E35CC1"/>
    <w:rsid w:val="00E37358"/>
    <w:rsid w:val="00E437C5"/>
    <w:rsid w:val="00E43AA5"/>
    <w:rsid w:val="00E44345"/>
    <w:rsid w:val="00E44C32"/>
    <w:rsid w:val="00E47764"/>
    <w:rsid w:val="00E47902"/>
    <w:rsid w:val="00E56022"/>
    <w:rsid w:val="00E56CF2"/>
    <w:rsid w:val="00E56E47"/>
    <w:rsid w:val="00E60A2F"/>
    <w:rsid w:val="00E60DBA"/>
    <w:rsid w:val="00E63A4A"/>
    <w:rsid w:val="00E67159"/>
    <w:rsid w:val="00E721D2"/>
    <w:rsid w:val="00E722E9"/>
    <w:rsid w:val="00E72D21"/>
    <w:rsid w:val="00E75F59"/>
    <w:rsid w:val="00E76322"/>
    <w:rsid w:val="00E770BC"/>
    <w:rsid w:val="00E81A31"/>
    <w:rsid w:val="00E8247D"/>
    <w:rsid w:val="00E83AC1"/>
    <w:rsid w:val="00E83FC6"/>
    <w:rsid w:val="00E84E89"/>
    <w:rsid w:val="00E87A56"/>
    <w:rsid w:val="00E90989"/>
    <w:rsid w:val="00E920C6"/>
    <w:rsid w:val="00E927D6"/>
    <w:rsid w:val="00E95B52"/>
    <w:rsid w:val="00E95E25"/>
    <w:rsid w:val="00EA1C2E"/>
    <w:rsid w:val="00EA35B7"/>
    <w:rsid w:val="00EA3627"/>
    <w:rsid w:val="00EA4750"/>
    <w:rsid w:val="00EA58E0"/>
    <w:rsid w:val="00EA75EC"/>
    <w:rsid w:val="00EA7BC2"/>
    <w:rsid w:val="00EB1009"/>
    <w:rsid w:val="00EB1101"/>
    <w:rsid w:val="00EB123E"/>
    <w:rsid w:val="00EB3AC7"/>
    <w:rsid w:val="00EB4050"/>
    <w:rsid w:val="00EB6D47"/>
    <w:rsid w:val="00EC0632"/>
    <w:rsid w:val="00EC0AD4"/>
    <w:rsid w:val="00EC3451"/>
    <w:rsid w:val="00EC4A02"/>
    <w:rsid w:val="00EC5A6C"/>
    <w:rsid w:val="00EC6675"/>
    <w:rsid w:val="00EC6918"/>
    <w:rsid w:val="00ED0364"/>
    <w:rsid w:val="00ED3CC6"/>
    <w:rsid w:val="00ED3DAB"/>
    <w:rsid w:val="00ED70A3"/>
    <w:rsid w:val="00ED78F9"/>
    <w:rsid w:val="00EE03FB"/>
    <w:rsid w:val="00EE1D9D"/>
    <w:rsid w:val="00EF0A64"/>
    <w:rsid w:val="00EF191B"/>
    <w:rsid w:val="00EF4258"/>
    <w:rsid w:val="00EF69C5"/>
    <w:rsid w:val="00EF6F7D"/>
    <w:rsid w:val="00F00929"/>
    <w:rsid w:val="00F00E88"/>
    <w:rsid w:val="00F01395"/>
    <w:rsid w:val="00F02265"/>
    <w:rsid w:val="00F028B3"/>
    <w:rsid w:val="00F04946"/>
    <w:rsid w:val="00F0583D"/>
    <w:rsid w:val="00F067D6"/>
    <w:rsid w:val="00F0730B"/>
    <w:rsid w:val="00F07643"/>
    <w:rsid w:val="00F10073"/>
    <w:rsid w:val="00F1412D"/>
    <w:rsid w:val="00F16219"/>
    <w:rsid w:val="00F278FC"/>
    <w:rsid w:val="00F30B8B"/>
    <w:rsid w:val="00F312FD"/>
    <w:rsid w:val="00F32187"/>
    <w:rsid w:val="00F344E7"/>
    <w:rsid w:val="00F35542"/>
    <w:rsid w:val="00F35F88"/>
    <w:rsid w:val="00F36435"/>
    <w:rsid w:val="00F37DA8"/>
    <w:rsid w:val="00F37DBA"/>
    <w:rsid w:val="00F40F46"/>
    <w:rsid w:val="00F428A4"/>
    <w:rsid w:val="00F47768"/>
    <w:rsid w:val="00F525A2"/>
    <w:rsid w:val="00F560C9"/>
    <w:rsid w:val="00F62C8E"/>
    <w:rsid w:val="00F661E5"/>
    <w:rsid w:val="00F700CF"/>
    <w:rsid w:val="00F73389"/>
    <w:rsid w:val="00F73DF4"/>
    <w:rsid w:val="00F74239"/>
    <w:rsid w:val="00F75A5A"/>
    <w:rsid w:val="00F82E5D"/>
    <w:rsid w:val="00F8594E"/>
    <w:rsid w:val="00F85B34"/>
    <w:rsid w:val="00F90431"/>
    <w:rsid w:val="00F91EDA"/>
    <w:rsid w:val="00F921FD"/>
    <w:rsid w:val="00F941B8"/>
    <w:rsid w:val="00F95DF8"/>
    <w:rsid w:val="00FA0DB7"/>
    <w:rsid w:val="00FA202F"/>
    <w:rsid w:val="00FA2352"/>
    <w:rsid w:val="00FA66DE"/>
    <w:rsid w:val="00FA6774"/>
    <w:rsid w:val="00FB15AD"/>
    <w:rsid w:val="00FB4B6D"/>
    <w:rsid w:val="00FB7055"/>
    <w:rsid w:val="00FB7313"/>
    <w:rsid w:val="00FB7800"/>
    <w:rsid w:val="00FB7F63"/>
    <w:rsid w:val="00FC054A"/>
    <w:rsid w:val="00FC13BD"/>
    <w:rsid w:val="00FC18BB"/>
    <w:rsid w:val="00FC5AA2"/>
    <w:rsid w:val="00FC5BBF"/>
    <w:rsid w:val="00FC7B01"/>
    <w:rsid w:val="00FD003F"/>
    <w:rsid w:val="00FD2AD0"/>
    <w:rsid w:val="00FD3111"/>
    <w:rsid w:val="00FD44CF"/>
    <w:rsid w:val="00FE1B13"/>
    <w:rsid w:val="00FE449C"/>
    <w:rsid w:val="00FE6C2D"/>
    <w:rsid w:val="00FF3279"/>
    <w:rsid w:val="00FF49FA"/>
    <w:rsid w:val="00FF4F47"/>
    <w:rsid w:val="00FF5437"/>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9BA7FA3"/>
  <w15:chartTrackingRefBased/>
  <w15:docId w15:val="{CD21C779-BA32-4C12-AC0A-36ECC9A6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20"/>
    <w:rPr>
      <w:lang w:val="en-US" w:eastAsia="en-US"/>
    </w:rPr>
  </w:style>
  <w:style w:type="paragraph" w:styleId="Heading3">
    <w:name w:val="heading 3"/>
    <w:basedOn w:val="Normal"/>
    <w:link w:val="Heading3Char"/>
    <w:uiPriority w:val="9"/>
    <w:qFormat/>
    <w:rsid w:val="000B5270"/>
    <w:pPr>
      <w:spacing w:before="100" w:beforeAutospacing="1"/>
      <w:outlineLvl w:val="2"/>
    </w:pPr>
    <w:rPr>
      <w:rFonts w:ascii="Helvetica" w:eastAsia="Times New Roman" w:hAnsi="Helvetica"/>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B5270"/>
    <w:rPr>
      <w:rFonts w:ascii="Helvetica" w:eastAsia="Times New Roman" w:hAnsi="Helvetica"/>
      <w:b/>
      <w:bCs/>
      <w:sz w:val="27"/>
      <w:szCs w:val="27"/>
    </w:rPr>
  </w:style>
  <w:style w:type="paragraph" w:customStyle="1" w:styleId="BaseText">
    <w:name w:val="Base_Text"/>
    <w:link w:val="BaseTextChar"/>
    <w:rsid w:val="009A3899"/>
    <w:pPr>
      <w:spacing w:before="120"/>
    </w:pPr>
    <w:rPr>
      <w:rFonts w:eastAsia="Times New Roman"/>
      <w:sz w:val="24"/>
      <w:szCs w:val="24"/>
      <w:lang w:val="en-US" w:eastAsia="en-US"/>
    </w:rPr>
  </w:style>
  <w:style w:type="character" w:customStyle="1" w:styleId="BaseTextChar">
    <w:name w:val="Base_Text Char"/>
    <w:link w:val="BaseText"/>
    <w:rsid w:val="00C51CC2"/>
    <w:rPr>
      <w:rFonts w:eastAsia="Times New Roman"/>
      <w:sz w:val="24"/>
      <w:szCs w:val="24"/>
      <w:lang w:val="en-US" w:eastAsia="en-US" w:bidi="ar-SA"/>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lang w:val="en-US" w:eastAsia="en-US"/>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lang w:val="x-none" w:eastAsia="x-none"/>
    </w:rPr>
  </w:style>
  <w:style w:type="character" w:customStyle="1" w:styleId="BalloonTextChar">
    <w:name w:val="Balloon Text Char"/>
    <w:link w:val="BalloonText"/>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link w:val="ParagraphChar"/>
    <w:rsid w:val="009A3899"/>
    <w:pPr>
      <w:ind w:firstLine="720"/>
    </w:pPr>
  </w:style>
  <w:style w:type="character" w:customStyle="1" w:styleId="ParagraphChar">
    <w:name w:val="Paragraph Char"/>
    <w:basedOn w:val="BaseTextChar"/>
    <w:link w:val="Paragraph"/>
    <w:rsid w:val="00C51CC2"/>
    <w:rPr>
      <w:rFonts w:eastAsia="Times New Roman"/>
      <w:sz w:val="24"/>
      <w:szCs w:val="24"/>
      <w:lang w:val="en-US" w:eastAsia="en-US" w:bidi="ar-SA"/>
    </w:r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rsid w:val="009A3899"/>
    <w:rPr>
      <w:sz w:val="18"/>
      <w:szCs w:val="18"/>
    </w:rPr>
  </w:style>
  <w:style w:type="paragraph" w:styleId="CommentText">
    <w:name w:val="annotation text"/>
    <w:basedOn w:val="Normal"/>
    <w:link w:val="CommentTextChar"/>
    <w:semiHidden/>
    <w:rsid w:val="009A3899"/>
    <w:rPr>
      <w:rFonts w:eastAsia="Times New Roman"/>
      <w:lang w:val="x-none" w:eastAsia="x-none"/>
    </w:rPr>
  </w:style>
  <w:style w:type="character" w:customStyle="1" w:styleId="CommentTextChar">
    <w:name w:val="Comment Text Char"/>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lang w:val="x-none" w:eastAsia="x-none"/>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uiPriority w:val="99"/>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lang w:val="x-none" w:eastAsia="x-none"/>
    </w:rPr>
  </w:style>
  <w:style w:type="character" w:customStyle="1" w:styleId="FooterChar">
    <w:name w:val="Footer Char"/>
    <w:link w:val="Footer"/>
    <w:uiPriority w:val="99"/>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lang w:val="x-none" w:eastAsia="x-none"/>
    </w:rPr>
  </w:style>
  <w:style w:type="character" w:customStyle="1" w:styleId="HeaderChar">
    <w:name w:val="Header Char"/>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lang w:val="x-none" w:eastAsia="x-none"/>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paragraph" w:customStyle="1" w:styleId="ColorfulShading-Accent11">
    <w:name w:val="Colorful Shading - Accent 11"/>
    <w:hidden/>
    <w:uiPriority w:val="99"/>
    <w:semiHidden/>
    <w:rsid w:val="001B3B1A"/>
    <w:rPr>
      <w:lang w:val="en-US" w:eastAsia="en-US"/>
    </w:rPr>
  </w:style>
  <w:style w:type="table" w:styleId="TableGrid">
    <w:name w:val="Table Grid"/>
    <w:basedOn w:val="TableNormal"/>
    <w:rsid w:val="00B547A9"/>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51CC2"/>
    <w:pPr>
      <w:jc w:val="center"/>
    </w:pPr>
    <w:rPr>
      <w:noProof/>
      <w:sz w:val="24"/>
    </w:rPr>
  </w:style>
  <w:style w:type="character" w:customStyle="1" w:styleId="EndNoteBibliographyTitleChar">
    <w:name w:val="EndNote Bibliography Title Char"/>
    <w:link w:val="EndNoteBibliographyTitle"/>
    <w:rsid w:val="00C51CC2"/>
    <w:rPr>
      <w:noProof/>
      <w:sz w:val="24"/>
      <w:lang w:val="en-US" w:eastAsia="en-US"/>
    </w:rPr>
  </w:style>
  <w:style w:type="paragraph" w:customStyle="1" w:styleId="EndNoteBibliography">
    <w:name w:val="EndNote Bibliography"/>
    <w:basedOn w:val="Normal"/>
    <w:link w:val="EndNoteBibliographyChar"/>
    <w:rsid w:val="00C51CC2"/>
    <w:rPr>
      <w:noProof/>
      <w:sz w:val="24"/>
    </w:rPr>
  </w:style>
  <w:style w:type="character" w:customStyle="1" w:styleId="EndNoteBibliographyChar">
    <w:name w:val="EndNote Bibliography Char"/>
    <w:link w:val="EndNoteBibliography"/>
    <w:rsid w:val="00C51CC2"/>
    <w:rPr>
      <w:noProof/>
      <w:sz w:val="24"/>
      <w:lang w:val="en-US" w:eastAsia="en-US"/>
    </w:rPr>
  </w:style>
  <w:style w:type="paragraph" w:styleId="ListParagraph">
    <w:name w:val="List Paragraph"/>
    <w:basedOn w:val="Normal"/>
    <w:uiPriority w:val="34"/>
    <w:qFormat/>
    <w:rsid w:val="000C05E5"/>
    <w:pPr>
      <w:ind w:left="720"/>
    </w:pPr>
  </w:style>
  <w:style w:type="paragraph" w:customStyle="1" w:styleId="highwire-cite-authors">
    <w:name w:val="highwire-cite-authors"/>
    <w:basedOn w:val="Normal"/>
    <w:rsid w:val="000B5270"/>
    <w:pPr>
      <w:spacing w:before="225" w:after="225"/>
    </w:pPr>
    <w:rPr>
      <w:rFonts w:eastAsia="Times New Roman"/>
      <w:sz w:val="24"/>
      <w:szCs w:val="24"/>
      <w:lang w:val="en-GB" w:eastAsia="en-GB"/>
    </w:rPr>
  </w:style>
  <w:style w:type="character" w:customStyle="1" w:styleId="highwire-citation-authors">
    <w:name w:val="highwire-citation-authors"/>
    <w:rsid w:val="000B5270"/>
  </w:style>
  <w:style w:type="character" w:customStyle="1" w:styleId="highwire-citation-author2">
    <w:name w:val="highwire-citation-author2"/>
    <w:rsid w:val="000B5270"/>
  </w:style>
  <w:style w:type="paragraph" w:customStyle="1" w:styleId="highwire-cite-metadata">
    <w:name w:val="highwire-cite-metadata"/>
    <w:basedOn w:val="Normal"/>
    <w:rsid w:val="000B5270"/>
    <w:pPr>
      <w:spacing w:before="225" w:after="225"/>
    </w:pPr>
    <w:rPr>
      <w:rFonts w:eastAsia="Times New Roman"/>
      <w:sz w:val="24"/>
      <w:szCs w:val="24"/>
      <w:lang w:val="en-GB" w:eastAsia="en-GB"/>
    </w:rPr>
  </w:style>
  <w:style w:type="paragraph" w:styleId="Revision">
    <w:name w:val="Revision"/>
    <w:hidden/>
    <w:uiPriority w:val="99"/>
    <w:semiHidden/>
    <w:rsid w:val="00C466F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41316">
      <w:bodyDiv w:val="1"/>
      <w:marLeft w:val="0"/>
      <w:marRight w:val="0"/>
      <w:marTop w:val="0"/>
      <w:marBottom w:val="0"/>
      <w:divBdr>
        <w:top w:val="none" w:sz="0" w:space="0" w:color="auto"/>
        <w:left w:val="none" w:sz="0" w:space="0" w:color="auto"/>
        <w:bottom w:val="none" w:sz="0" w:space="0" w:color="auto"/>
        <w:right w:val="none" w:sz="0" w:space="0" w:color="auto"/>
      </w:divBdr>
    </w:div>
    <w:div w:id="510027640">
      <w:bodyDiv w:val="1"/>
      <w:marLeft w:val="0"/>
      <w:marRight w:val="0"/>
      <w:marTop w:val="0"/>
      <w:marBottom w:val="0"/>
      <w:divBdr>
        <w:top w:val="none" w:sz="0" w:space="0" w:color="auto"/>
        <w:left w:val="none" w:sz="0" w:space="0" w:color="auto"/>
        <w:bottom w:val="none" w:sz="0" w:space="0" w:color="auto"/>
        <w:right w:val="none" w:sz="0" w:space="0" w:color="auto"/>
      </w:divBdr>
    </w:div>
    <w:div w:id="525140290">
      <w:bodyDiv w:val="1"/>
      <w:marLeft w:val="0"/>
      <w:marRight w:val="0"/>
      <w:marTop w:val="0"/>
      <w:marBottom w:val="0"/>
      <w:divBdr>
        <w:top w:val="none" w:sz="0" w:space="0" w:color="auto"/>
        <w:left w:val="none" w:sz="0" w:space="0" w:color="auto"/>
        <w:bottom w:val="none" w:sz="0" w:space="0" w:color="auto"/>
        <w:right w:val="none" w:sz="0" w:space="0" w:color="auto"/>
      </w:divBdr>
    </w:div>
    <w:div w:id="926965175">
      <w:bodyDiv w:val="1"/>
      <w:marLeft w:val="0"/>
      <w:marRight w:val="0"/>
      <w:marTop w:val="0"/>
      <w:marBottom w:val="0"/>
      <w:divBdr>
        <w:top w:val="none" w:sz="0" w:space="0" w:color="auto"/>
        <w:left w:val="none" w:sz="0" w:space="0" w:color="auto"/>
        <w:bottom w:val="none" w:sz="0" w:space="0" w:color="auto"/>
        <w:right w:val="none" w:sz="0" w:space="0" w:color="auto"/>
      </w:divBdr>
    </w:div>
    <w:div w:id="1582985091">
      <w:bodyDiv w:val="1"/>
      <w:marLeft w:val="0"/>
      <w:marRight w:val="0"/>
      <w:marTop w:val="0"/>
      <w:marBottom w:val="0"/>
      <w:divBdr>
        <w:top w:val="none" w:sz="0" w:space="0" w:color="auto"/>
        <w:left w:val="none" w:sz="0" w:space="0" w:color="auto"/>
        <w:bottom w:val="none" w:sz="0" w:space="0" w:color="auto"/>
        <w:right w:val="none" w:sz="0" w:space="0" w:color="auto"/>
      </w:divBdr>
    </w:div>
    <w:div w:id="1683822625">
      <w:bodyDiv w:val="1"/>
      <w:marLeft w:val="0"/>
      <w:marRight w:val="0"/>
      <w:marTop w:val="0"/>
      <w:marBottom w:val="0"/>
      <w:divBdr>
        <w:top w:val="none" w:sz="0" w:space="0" w:color="auto"/>
        <w:left w:val="none" w:sz="0" w:space="0" w:color="auto"/>
        <w:bottom w:val="none" w:sz="0" w:space="0" w:color="auto"/>
        <w:right w:val="none" w:sz="0" w:space="0" w:color="auto"/>
      </w:divBdr>
      <w:divsChild>
        <w:div w:id="447819221">
          <w:marLeft w:val="0"/>
          <w:marRight w:val="0"/>
          <w:marTop w:val="0"/>
          <w:marBottom w:val="0"/>
          <w:divBdr>
            <w:top w:val="single" w:sz="6" w:space="0" w:color="222222"/>
            <w:left w:val="single" w:sz="6" w:space="0" w:color="222222"/>
            <w:bottom w:val="single" w:sz="6" w:space="0" w:color="222222"/>
            <w:right w:val="single" w:sz="6" w:space="0" w:color="222222"/>
          </w:divBdr>
          <w:divsChild>
            <w:div w:id="1272398923">
              <w:marLeft w:val="0"/>
              <w:marRight w:val="0"/>
              <w:marTop w:val="0"/>
              <w:marBottom w:val="0"/>
              <w:divBdr>
                <w:top w:val="none" w:sz="0" w:space="0" w:color="auto"/>
                <w:left w:val="none" w:sz="0" w:space="0" w:color="auto"/>
                <w:bottom w:val="none" w:sz="0" w:space="0" w:color="auto"/>
                <w:right w:val="none" w:sz="0" w:space="0" w:color="auto"/>
              </w:divBdr>
              <w:divsChild>
                <w:div w:id="1001011423">
                  <w:marLeft w:val="0"/>
                  <w:marRight w:val="0"/>
                  <w:marTop w:val="0"/>
                  <w:marBottom w:val="0"/>
                  <w:divBdr>
                    <w:top w:val="none" w:sz="0" w:space="0" w:color="auto"/>
                    <w:left w:val="none" w:sz="0" w:space="0" w:color="auto"/>
                    <w:bottom w:val="none" w:sz="0" w:space="0" w:color="auto"/>
                    <w:right w:val="none" w:sz="0" w:space="0" w:color="auto"/>
                  </w:divBdr>
                  <w:divsChild>
                    <w:div w:id="452526355">
                      <w:marLeft w:val="0"/>
                      <w:marRight w:val="0"/>
                      <w:marTop w:val="0"/>
                      <w:marBottom w:val="0"/>
                      <w:divBdr>
                        <w:top w:val="none" w:sz="0" w:space="0" w:color="auto"/>
                        <w:left w:val="none" w:sz="0" w:space="0" w:color="auto"/>
                        <w:bottom w:val="none" w:sz="0" w:space="0" w:color="auto"/>
                        <w:right w:val="none" w:sz="0" w:space="0" w:color="auto"/>
                      </w:divBdr>
                      <w:divsChild>
                        <w:div w:id="642735441">
                          <w:marLeft w:val="0"/>
                          <w:marRight w:val="0"/>
                          <w:marTop w:val="0"/>
                          <w:marBottom w:val="0"/>
                          <w:divBdr>
                            <w:top w:val="none" w:sz="0" w:space="0" w:color="auto"/>
                            <w:left w:val="none" w:sz="0" w:space="0" w:color="auto"/>
                            <w:bottom w:val="none" w:sz="0" w:space="0" w:color="auto"/>
                            <w:right w:val="none" w:sz="0" w:space="0" w:color="auto"/>
                          </w:divBdr>
                          <w:divsChild>
                            <w:div w:id="168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527985">
      <w:bodyDiv w:val="1"/>
      <w:marLeft w:val="0"/>
      <w:marRight w:val="0"/>
      <w:marTop w:val="0"/>
      <w:marBottom w:val="0"/>
      <w:divBdr>
        <w:top w:val="none" w:sz="0" w:space="0" w:color="auto"/>
        <w:left w:val="none" w:sz="0" w:space="0" w:color="auto"/>
        <w:bottom w:val="none" w:sz="0" w:space="0" w:color="auto"/>
        <w:right w:val="none" w:sz="0" w:space="0" w:color="auto"/>
      </w:divBdr>
    </w:div>
    <w:div w:id="1817330861">
      <w:bodyDiv w:val="1"/>
      <w:marLeft w:val="0"/>
      <w:marRight w:val="0"/>
      <w:marTop w:val="0"/>
      <w:marBottom w:val="0"/>
      <w:divBdr>
        <w:top w:val="none" w:sz="0" w:space="0" w:color="auto"/>
        <w:left w:val="none" w:sz="0" w:space="0" w:color="auto"/>
        <w:bottom w:val="none" w:sz="0" w:space="0" w:color="auto"/>
        <w:right w:val="none" w:sz="0" w:space="0" w:color="auto"/>
      </w:divBdr>
      <w:divsChild>
        <w:div w:id="970481156">
          <w:marLeft w:val="0"/>
          <w:marRight w:val="0"/>
          <w:marTop w:val="0"/>
          <w:marBottom w:val="0"/>
          <w:divBdr>
            <w:top w:val="none" w:sz="0" w:space="0" w:color="auto"/>
            <w:left w:val="none" w:sz="0" w:space="0" w:color="auto"/>
            <w:bottom w:val="none" w:sz="0" w:space="0" w:color="auto"/>
            <w:right w:val="none" w:sz="0" w:space="0" w:color="auto"/>
          </w:divBdr>
          <w:divsChild>
            <w:div w:id="960956521">
              <w:marLeft w:val="0"/>
              <w:marRight w:val="0"/>
              <w:marTop w:val="0"/>
              <w:marBottom w:val="0"/>
              <w:divBdr>
                <w:top w:val="none" w:sz="0" w:space="0" w:color="auto"/>
                <w:left w:val="none" w:sz="0" w:space="0" w:color="auto"/>
                <w:bottom w:val="none" w:sz="0" w:space="0" w:color="auto"/>
                <w:right w:val="none" w:sz="0" w:space="0" w:color="auto"/>
              </w:divBdr>
              <w:divsChild>
                <w:div w:id="1713846391">
                  <w:marLeft w:val="0"/>
                  <w:marRight w:val="0"/>
                  <w:marTop w:val="0"/>
                  <w:marBottom w:val="0"/>
                  <w:divBdr>
                    <w:top w:val="none" w:sz="0" w:space="0" w:color="auto"/>
                    <w:left w:val="none" w:sz="0" w:space="0" w:color="auto"/>
                    <w:bottom w:val="none" w:sz="0" w:space="0" w:color="auto"/>
                    <w:right w:val="none" w:sz="0" w:space="0" w:color="auto"/>
                  </w:divBdr>
                  <w:divsChild>
                    <w:div w:id="540674348">
                      <w:marLeft w:val="0"/>
                      <w:marRight w:val="0"/>
                      <w:marTop w:val="0"/>
                      <w:marBottom w:val="0"/>
                      <w:divBdr>
                        <w:top w:val="none" w:sz="0" w:space="0" w:color="auto"/>
                        <w:left w:val="none" w:sz="0" w:space="0" w:color="auto"/>
                        <w:bottom w:val="none" w:sz="0" w:space="0" w:color="auto"/>
                        <w:right w:val="none" w:sz="0" w:space="0" w:color="auto"/>
                      </w:divBdr>
                      <w:divsChild>
                        <w:div w:id="727647577">
                          <w:marLeft w:val="0"/>
                          <w:marRight w:val="0"/>
                          <w:marTop w:val="0"/>
                          <w:marBottom w:val="0"/>
                          <w:divBdr>
                            <w:top w:val="none" w:sz="0" w:space="0" w:color="auto"/>
                            <w:left w:val="none" w:sz="0" w:space="0" w:color="auto"/>
                            <w:bottom w:val="none" w:sz="0" w:space="0" w:color="auto"/>
                            <w:right w:val="none" w:sz="0" w:space="0" w:color="auto"/>
                          </w:divBdr>
                          <w:divsChild>
                            <w:div w:id="221410390">
                              <w:marLeft w:val="0"/>
                              <w:marRight w:val="0"/>
                              <w:marTop w:val="0"/>
                              <w:marBottom w:val="0"/>
                              <w:divBdr>
                                <w:top w:val="none" w:sz="0" w:space="0" w:color="auto"/>
                                <w:left w:val="none" w:sz="0" w:space="0" w:color="auto"/>
                                <w:bottom w:val="none" w:sz="0" w:space="0" w:color="auto"/>
                                <w:right w:val="none" w:sz="0" w:space="0" w:color="auto"/>
                              </w:divBdr>
                              <w:divsChild>
                                <w:div w:id="782917682">
                                  <w:marLeft w:val="0"/>
                                  <w:marRight w:val="0"/>
                                  <w:marTop w:val="0"/>
                                  <w:marBottom w:val="0"/>
                                  <w:divBdr>
                                    <w:top w:val="none" w:sz="0" w:space="0" w:color="auto"/>
                                    <w:left w:val="none" w:sz="0" w:space="0" w:color="auto"/>
                                    <w:bottom w:val="none" w:sz="0" w:space="0" w:color="auto"/>
                                    <w:right w:val="none" w:sz="0" w:space="0" w:color="auto"/>
                                  </w:divBdr>
                                  <w:divsChild>
                                    <w:div w:id="1229151850">
                                      <w:marLeft w:val="0"/>
                                      <w:marRight w:val="0"/>
                                      <w:marTop w:val="0"/>
                                      <w:marBottom w:val="0"/>
                                      <w:divBdr>
                                        <w:top w:val="none" w:sz="0" w:space="0" w:color="auto"/>
                                        <w:left w:val="none" w:sz="0" w:space="0" w:color="auto"/>
                                        <w:bottom w:val="none" w:sz="0" w:space="0" w:color="auto"/>
                                        <w:right w:val="none" w:sz="0" w:space="0" w:color="auto"/>
                                      </w:divBdr>
                                      <w:divsChild>
                                        <w:div w:id="16464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114706">
      <w:bodyDiv w:val="1"/>
      <w:marLeft w:val="0"/>
      <w:marRight w:val="0"/>
      <w:marTop w:val="0"/>
      <w:marBottom w:val="0"/>
      <w:divBdr>
        <w:top w:val="none" w:sz="0" w:space="0" w:color="auto"/>
        <w:left w:val="none" w:sz="0" w:space="0" w:color="auto"/>
        <w:bottom w:val="none" w:sz="0" w:space="0" w:color="auto"/>
        <w:right w:val="none" w:sz="0" w:space="0" w:color="auto"/>
      </w:divBdr>
    </w:div>
    <w:div w:id="1994597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729E2F-4CCA-4AF0-9836-A861B1EC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2106</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Science Manuscript Template</vt:lpstr>
    </vt:vector>
  </TitlesOfParts>
  <Company>Microsoft</Company>
  <LinksUpToDate>false</LinksUpToDate>
  <CharactersWithSpaces>12997</CharactersWithSpaces>
  <SharedDoc>false</SharedDoc>
  <HLinks>
    <vt:vector size="18" baseType="variant">
      <vt:variant>
        <vt:i4>4522050</vt:i4>
      </vt:variant>
      <vt:variant>
        <vt:i4>153</vt:i4>
      </vt:variant>
      <vt:variant>
        <vt:i4>0</vt:i4>
      </vt:variant>
      <vt:variant>
        <vt:i4>5</vt:i4>
      </vt:variant>
      <vt:variant>
        <vt:lpwstr>http://statistics.defra.gov.uk/esg/quick/agri.asp</vt:lpwstr>
      </vt:variant>
      <vt:variant>
        <vt:lpwstr/>
      </vt:variant>
      <vt:variant>
        <vt:i4>3276910</vt:i4>
      </vt:variant>
      <vt:variant>
        <vt:i4>150</vt:i4>
      </vt:variant>
      <vt:variant>
        <vt:i4>0</vt:i4>
      </vt:variant>
      <vt:variant>
        <vt:i4>5</vt:i4>
      </vt:variant>
      <vt:variant>
        <vt:lpwstr>http://ec.europa.eu/food/plant/pesticides/eu-pesticides-database/public/?event=pesticide.residue.selection&amp;language=EN</vt:lpwstr>
      </vt:variant>
      <vt:variant>
        <vt:lpwstr/>
      </vt:variant>
      <vt:variant>
        <vt:i4>327780</vt:i4>
      </vt:variant>
      <vt:variant>
        <vt:i4>0</vt:i4>
      </vt:variant>
      <vt:variant>
        <vt:i4>0</vt:i4>
      </vt:variant>
      <vt:variant>
        <vt:i4>5</vt:i4>
      </vt:variant>
      <vt:variant>
        <vt:lpwstr>mailto:bawood@ceh.ac.uk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subject/>
  <dc:creator>bhanson</dc:creator>
  <cp:keywords/>
  <cp:lastModifiedBy>Woodcock, Ben</cp:lastModifiedBy>
  <cp:revision>16</cp:revision>
  <cp:lastPrinted>2017-09-21T09:07:00Z</cp:lastPrinted>
  <dcterms:created xsi:type="dcterms:W3CDTF">2017-09-25T15:23:00Z</dcterms:created>
  <dcterms:modified xsi:type="dcterms:W3CDTF">2017-12-07T16:47:00Z</dcterms:modified>
</cp:coreProperties>
</file>