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0C" w:rsidRPr="0037564A" w:rsidRDefault="006D620C" w:rsidP="006D620C">
      <w:pPr>
        <w:spacing w:after="0" w:line="240" w:lineRule="auto"/>
        <w:rPr>
          <w:rFonts w:ascii="Times New Roman" w:hAnsi="Times New Roman" w:cs="Times New Roman"/>
          <w:bCs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Table S1</w:t>
      </w:r>
      <w:r w:rsidRPr="0037564A">
        <w:rPr>
          <w:rFonts w:ascii="Times New Roman" w:hAnsi="Times New Roman" w:cs="Times New Roman"/>
          <w:b/>
          <w:sz w:val="20"/>
          <w:szCs w:val="18"/>
        </w:rPr>
        <w:t xml:space="preserve">: </w:t>
      </w:r>
      <w:r w:rsidRPr="0037564A">
        <w:rPr>
          <w:rFonts w:ascii="Times New Roman" w:hAnsi="Times New Roman" w:cs="Times New Roman"/>
          <w:sz w:val="20"/>
          <w:szCs w:val="18"/>
        </w:rPr>
        <w:t>Summary</w:t>
      </w:r>
      <w:r w:rsidRPr="0037564A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37564A">
        <w:rPr>
          <w:rFonts w:ascii="Times New Roman" w:hAnsi="Times New Roman" w:cs="Times New Roman"/>
          <w:sz w:val="20"/>
          <w:szCs w:val="18"/>
        </w:rPr>
        <w:t xml:space="preserve">findings of the meta-analyses </w:t>
      </w:r>
      <w:r>
        <w:rPr>
          <w:rFonts w:ascii="Times New Roman" w:hAnsi="Times New Roman" w:cs="Times New Roman"/>
          <w:sz w:val="20"/>
          <w:szCs w:val="18"/>
        </w:rPr>
        <w:t>for the</w:t>
      </w:r>
      <w:r w:rsidRPr="0037564A">
        <w:rPr>
          <w:rFonts w:ascii="Times New Roman" w:hAnsi="Times New Roman" w:cs="Times New Roman"/>
          <w:sz w:val="20"/>
          <w:szCs w:val="18"/>
        </w:rPr>
        <w:t xml:space="preserve"> sensitivity analyses</w:t>
      </w:r>
      <w:r>
        <w:rPr>
          <w:rFonts w:ascii="Times New Roman" w:hAnsi="Times New Roman" w:cs="Times New Roman"/>
          <w:sz w:val="20"/>
          <w:szCs w:val="18"/>
        </w:rPr>
        <w:t xml:space="preserve"> of</w:t>
      </w:r>
      <w:r w:rsidRPr="0037564A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 xml:space="preserve">the </w:t>
      </w:r>
      <w:r w:rsidRPr="0037564A">
        <w:rPr>
          <w:rFonts w:ascii="Times New Roman" w:hAnsi="Times New Roman" w:cs="Times New Roman"/>
          <w:sz w:val="20"/>
          <w:szCs w:val="18"/>
        </w:rPr>
        <w:t>association between DM and active TB</w:t>
      </w:r>
      <w:r>
        <w:rPr>
          <w:rFonts w:ascii="Times New Roman" w:hAnsi="Times New Roman" w:cs="Times New Roman"/>
          <w:sz w:val="20"/>
          <w:szCs w:val="18"/>
        </w:rPr>
        <w:t xml:space="preserve"> in 44 studies,</w:t>
      </w:r>
      <w:r w:rsidRPr="0037564A">
        <w:rPr>
          <w:rFonts w:ascii="Times New Roman" w:hAnsi="Times New Roman" w:cs="Times New Roman"/>
          <w:sz w:val="20"/>
          <w:szCs w:val="18"/>
        </w:rPr>
        <w:t xml:space="preserve"> according to study design</w:t>
      </w:r>
      <w:r>
        <w:rPr>
          <w:rFonts w:ascii="Times New Roman" w:hAnsi="Times New Roman" w:cs="Times New Roman"/>
          <w:sz w:val="20"/>
          <w:szCs w:val="18"/>
        </w:rPr>
        <w:t xml:space="preserve"> and overall</w:t>
      </w:r>
      <w:r w:rsidRPr="0037564A">
        <w:rPr>
          <w:rFonts w:ascii="Times New Roman" w:hAnsi="Times New Roman" w:cs="Times New Roman"/>
          <w:sz w:val="20"/>
          <w:szCs w:val="18"/>
        </w:rPr>
        <w:t xml:space="preserve"> </w:t>
      </w:r>
    </w:p>
    <w:tbl>
      <w:tblPr>
        <w:tblStyle w:val="TableGrid"/>
        <w:tblpPr w:leftFromText="187" w:rightFromText="187" w:vertAnchor="text" w:horzAnchor="margin" w:tblpY="1"/>
        <w:tblOverlap w:val="never"/>
        <w:tblW w:w="1296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810"/>
        <w:gridCol w:w="1710"/>
        <w:gridCol w:w="1620"/>
        <w:gridCol w:w="1024"/>
        <w:gridCol w:w="236"/>
        <w:gridCol w:w="1980"/>
        <w:gridCol w:w="1200"/>
        <w:gridCol w:w="1590"/>
      </w:tblGrid>
      <w:tr w:rsidR="006D620C" w:rsidRPr="00E01FD2" w:rsidTr="009A5F77">
        <w:trPr>
          <w:trHeight w:val="237"/>
        </w:trPr>
        <w:tc>
          <w:tcPr>
            <w:tcW w:w="2790" w:type="dxa"/>
            <w:vMerge w:val="restart"/>
            <w:tcBorders>
              <w:top w:val="single" w:sz="12" w:space="0" w:color="auto"/>
              <w:bottom w:val="nil"/>
            </w:tcBorders>
          </w:tcPr>
          <w:p w:rsidR="006D620C" w:rsidRPr="00E01FD2" w:rsidRDefault="006D620C" w:rsidP="006D62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b/>
                <w:sz w:val="16"/>
                <w:szCs w:val="16"/>
              </w:rPr>
              <w:t>Studies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72" w:right="-1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Range of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E01FD2">
              <w:rPr>
                <w:rFonts w:ascii="Times New Roman" w:hAnsi="Times New Roman" w:cs="Times New Roman"/>
                <w:b/>
                <w:sz w:val="16"/>
                <w:szCs w:val="16"/>
              </w:rPr>
              <w:t>stimates</w:t>
            </w:r>
          </w:p>
        </w:tc>
        <w:tc>
          <w:tcPr>
            <w:tcW w:w="264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b/>
                <w:sz w:val="16"/>
                <w:szCs w:val="16"/>
              </w:rPr>
              <w:t>Pooled effect estimate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:rsidR="006D620C" w:rsidRPr="00E01FD2" w:rsidRDefault="006D620C" w:rsidP="006D620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70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b/>
                <w:sz w:val="16"/>
                <w:szCs w:val="16"/>
              </w:rPr>
              <w:t>Heterogeneity measures</w:t>
            </w:r>
          </w:p>
        </w:tc>
      </w:tr>
      <w:tr w:rsidR="006D620C" w:rsidRPr="00E01FD2" w:rsidTr="009A5F77">
        <w:trPr>
          <w:trHeight w:val="215"/>
        </w:trPr>
        <w:tc>
          <w:tcPr>
            <w:tcW w:w="2790" w:type="dxa"/>
            <w:vMerge/>
            <w:tcBorders>
              <w:top w:val="nil"/>
              <w:bottom w:val="single" w:sz="4" w:space="0" w:color="auto"/>
            </w:tcBorders>
          </w:tcPr>
          <w:p w:rsidR="006D620C" w:rsidRPr="00E01FD2" w:rsidRDefault="006D620C" w:rsidP="006D62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Total N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108" w:right="-9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Lowest–Highest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 w:right="-9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Summary estimate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 w:right="-9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620C" w:rsidRPr="00E01FD2" w:rsidRDefault="006D620C" w:rsidP="006D620C">
            <w:pPr>
              <w:spacing w:after="0"/>
              <w:ind w:left="-63" w:right="-9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 w:right="-9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Q (p-value)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 w:right="-9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1FD2">
              <w:rPr>
                <w:rStyle w:val="texhtml"/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τ</w:t>
            </w:r>
            <w:r w:rsidRPr="00E01FD2">
              <w:rPr>
                <w:rStyle w:val="texhtml"/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="000B4C30">
              <w:rPr>
                <w:rStyle w:val="texhtml"/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 w:right="-9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2 3</w:t>
            </w:r>
          </w:p>
        </w:tc>
      </w:tr>
      <w:tr w:rsidR="006D620C" w:rsidRPr="00E01FD2" w:rsidTr="009A5F77">
        <w:trPr>
          <w:trHeight w:val="262"/>
        </w:trPr>
        <w:tc>
          <w:tcPr>
            <w:tcW w:w="2790" w:type="dxa"/>
            <w:tcBorders>
              <w:top w:val="single" w:sz="4" w:space="0" w:color="auto"/>
              <w:bottom w:val="nil"/>
            </w:tcBorders>
            <w:vAlign w:val="center"/>
          </w:tcPr>
          <w:p w:rsidR="006D620C" w:rsidRPr="001C63D0" w:rsidRDefault="006D620C" w:rsidP="006D620C">
            <w:pPr>
              <w:pStyle w:val="NoSpacing"/>
              <w:spacing w:line="276" w:lineRule="auto"/>
              <w:ind w:left="-9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63D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Potentially, low ROB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nil"/>
            </w:tcBorders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nil"/>
              <w:right w:val="nil"/>
            </w:tcBorders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109"/>
        </w:trPr>
        <w:tc>
          <w:tcPr>
            <w:tcW w:w="2790" w:type="dxa"/>
            <w:tcBorders>
              <w:top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Prospective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620" w:type="dxa"/>
            <w:tcBorders>
              <w:top w:val="nil"/>
            </w:tcBorders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024" w:type="dxa"/>
            <w:tcBorders>
              <w:top w:val="nil"/>
            </w:tcBorders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25˗5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55 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004)</w:t>
            </w:r>
          </w:p>
        </w:tc>
        <w:tc>
          <w:tcPr>
            <w:tcW w:w="1200" w:type="dxa"/>
            <w:tcBorders>
              <w:top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1619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</w:tr>
      <w:tr w:rsidR="006D620C" w:rsidRPr="00E01FD2" w:rsidTr="009A5F77">
        <w:trPr>
          <w:trHeight w:val="190"/>
        </w:trPr>
        <w:tc>
          <w:tcPr>
            <w:tcW w:w="2790" w:type="dxa"/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Retrospective (RR, RRs, HR)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40˗1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48 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0224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6D620C" w:rsidRPr="00E01FD2" w:rsidTr="009A5F77">
        <w:trPr>
          <w:trHeight w:val="181"/>
        </w:trPr>
        <w:tc>
          <w:tcPr>
            <w:tcW w:w="2790" w:type="dxa"/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Retrospective (OR)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86˗3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25 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263)</w:t>
            </w:r>
          </w:p>
        </w:tc>
        <w:tc>
          <w:tcPr>
            <w:tcW w:w="1200" w:type="dxa"/>
            <w:tcBorders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0866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6D620C" w:rsidRPr="00E01FD2" w:rsidTr="009A5F77">
        <w:trPr>
          <w:trHeight w:val="181"/>
        </w:trPr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Case-control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61˗2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86 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0838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6D620C" w:rsidRPr="00E01FD2" w:rsidTr="009A5F77">
        <w:trPr>
          <w:trHeight w:val="172"/>
        </w:trPr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Cross-sectional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14˗8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195"/>
        </w:trPr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00–7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BF32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BF32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BF32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B82CBF" w:rsidTr="006D620C">
        <w:trPr>
          <w:trHeight w:val="142"/>
        </w:trPr>
        <w:tc>
          <w:tcPr>
            <w:tcW w:w="2790" w:type="dxa"/>
            <w:tcBorders>
              <w:top w:val="nil"/>
              <w:bottom w:val="single" w:sz="4" w:space="0" w:color="auto"/>
            </w:tcBorders>
            <w:vAlign w:val="center"/>
          </w:tcPr>
          <w:p w:rsidR="006D620C" w:rsidRPr="00B82CBF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CBF">
              <w:rPr>
                <w:rFonts w:ascii="Times New Roman" w:hAnsi="Times New Roman" w:cs="Times New Roman"/>
                <w:b/>
                <w:sz w:val="16"/>
                <w:szCs w:val="16"/>
              </w:rPr>
              <w:t>Overall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6D620C" w:rsidRPr="00B82CBF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center"/>
          </w:tcPr>
          <w:p w:rsidR="006D620C" w:rsidRPr="00B82CBF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C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B82CBF">
              <w:rPr>
                <w:rFonts w:ascii="Times New Roman" w:hAnsi="Times New Roman" w:cs="Times New Roman"/>
                <w:b/>
                <w:sz w:val="16"/>
                <w:szCs w:val="16"/>
              </w:rPr>
              <w:t>00˗ 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B82CBF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:rsidR="006D620C" w:rsidRPr="00B82CBF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2.00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  <w:vAlign w:val="center"/>
          </w:tcPr>
          <w:p w:rsidR="006D620C" w:rsidRPr="00B82CBF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C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.7</w:t>
            </w:r>
            <w:r w:rsidRPr="00B82CBF">
              <w:rPr>
                <w:rFonts w:ascii="Times New Roman" w:hAnsi="Times New Roman" w:cs="Times New Roman"/>
                <w:b/>
                <w:sz w:val="16"/>
                <w:szCs w:val="16"/>
              </w:rPr>
              <w:t>7˗2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.27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:rsidR="006D620C" w:rsidRPr="00B82CBF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6D620C" w:rsidRPr="00B82CBF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431.38</w:t>
            </w:r>
            <w:r w:rsidRPr="00B82C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B82C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r w:rsidRPr="00B82C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B82CBF">
              <w:rPr>
                <w:rFonts w:ascii="Times New Roman" w:hAnsi="Times New Roman" w:cs="Times New Roman"/>
                <w:b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D620C" w:rsidRPr="00B82CBF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0.0959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B82CBF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91.9</w:t>
            </w:r>
            <w:r w:rsidRPr="00B82CBF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6D620C" w:rsidRPr="00E01FD2" w:rsidTr="009A5F77">
        <w:trPr>
          <w:trHeight w:val="64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b/>
                <w:sz w:val="16"/>
                <w:szCs w:val="16"/>
              </w:rPr>
              <w:t>Among general population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7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Prospective (RRs, HR)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46˗7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41 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0249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6D620C" w:rsidRPr="00E01FD2" w:rsidTr="009A5F77">
        <w:trPr>
          <w:trHeight w:val="19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Retrospective (RR, RRs, HR)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40˗1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63 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0252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6D620C" w:rsidRPr="00E01FD2" w:rsidTr="009A5F77">
        <w:trPr>
          <w:trHeight w:val="17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Retrospective (OR)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37˗2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9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Case-control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69˗2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15 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1126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</w:tr>
      <w:tr w:rsidR="006D620C" w:rsidRPr="00E01FD2" w:rsidTr="009A5F77">
        <w:trPr>
          <w:trHeight w:val="17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Cross-sectional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28˗2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81 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245)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0184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</w:tr>
      <w:tr w:rsidR="006D620C" w:rsidRPr="00E01FD2" w:rsidTr="009A5F77">
        <w:trPr>
          <w:trHeight w:val="195"/>
        </w:trPr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00–7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BF32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BF32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BF32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267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396D91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D91">
              <w:rPr>
                <w:rFonts w:ascii="Times New Roman" w:hAnsi="Times New Roman" w:cs="Times New Roman"/>
                <w:b/>
                <w:sz w:val="16"/>
                <w:szCs w:val="16"/>
              </w:rPr>
              <w:t>Overall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396D91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D91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396D91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D9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96D91">
              <w:rPr>
                <w:rFonts w:ascii="Times New Roman" w:hAnsi="Times New Roman" w:cs="Times New Roman"/>
                <w:b/>
                <w:sz w:val="16"/>
                <w:szCs w:val="16"/>
              </w:rPr>
              <w:t>00˗7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96D91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396D91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D9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96D9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396D91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D9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96D91">
              <w:rPr>
                <w:rFonts w:ascii="Times New Roman" w:hAnsi="Times New Roman" w:cs="Times New Roman"/>
                <w:b/>
                <w:sz w:val="16"/>
                <w:szCs w:val="16"/>
              </w:rPr>
              <w:t>82˗2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96D91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396D91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396D91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D91">
              <w:rPr>
                <w:rFonts w:ascii="Times New Roman" w:hAnsi="Times New Roman" w:cs="Times New Roman"/>
                <w:b/>
                <w:sz w:val="16"/>
                <w:szCs w:val="16"/>
              </w:rPr>
              <w:t>367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96D91">
              <w:rPr>
                <w:rFonts w:ascii="Times New Roman" w:hAnsi="Times New Roman" w:cs="Times New Roman"/>
                <w:b/>
                <w:sz w:val="16"/>
                <w:szCs w:val="16"/>
              </w:rPr>
              <w:t>97 (</w:t>
            </w:r>
            <w:r w:rsidRPr="00396D9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r w:rsidRPr="00396D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96D91">
              <w:rPr>
                <w:rFonts w:ascii="Times New Roman" w:hAnsi="Times New Roman" w:cs="Times New Roman"/>
                <w:b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396D91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D9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96D91">
              <w:rPr>
                <w:rFonts w:ascii="Times New Roman" w:hAnsi="Times New Roman" w:cs="Times New Roman"/>
                <w:b/>
                <w:sz w:val="16"/>
                <w:szCs w:val="16"/>
              </w:rPr>
              <w:t>1224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396D91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D91">
              <w:rPr>
                <w:rFonts w:ascii="Times New Roman" w:hAnsi="Times New Roman" w:cs="Times New Roman"/>
                <w:b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96D91">
              <w:rPr>
                <w:rFonts w:ascii="Times New Roman" w:hAnsi="Times New Roman" w:cs="Times New Roman"/>
                <w:b/>
                <w:sz w:val="16"/>
                <w:szCs w:val="16"/>
              </w:rPr>
              <w:t>1%</w:t>
            </w:r>
          </w:p>
        </w:tc>
      </w:tr>
      <w:tr w:rsidR="006D620C" w:rsidRPr="00E01FD2" w:rsidTr="009A5F77">
        <w:trPr>
          <w:trHeight w:val="172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20C" w:rsidRPr="00231C5F" w:rsidRDefault="006D620C" w:rsidP="006D620C">
            <w:pPr>
              <w:autoSpaceDE w:val="0"/>
              <w:autoSpaceDN w:val="0"/>
              <w:adjustRightInd w:val="0"/>
              <w:spacing w:after="0"/>
              <w:ind w:left="-90"/>
              <w:rPr>
                <w:rFonts w:ascii="AdvPSMy-R" w:hAnsi="AdvPSMy-R" w:cs="AdvPSMy-R"/>
                <w:sz w:val="14"/>
                <w:szCs w:val="14"/>
              </w:rPr>
            </w:pPr>
            <w:r w:rsidRPr="00231C5F">
              <w:rPr>
                <w:rFonts w:ascii="Times New Roman" w:hAnsi="Times New Roman" w:cs="Times New Roman"/>
                <w:b/>
                <w:sz w:val="16"/>
                <w:szCs w:val="16"/>
              </w:rPr>
              <w:t>Potential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ly</w:t>
            </w:r>
            <w:r w:rsidRPr="00231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duplicate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data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17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231C5F" w:rsidRDefault="006D620C" w:rsidP="006D62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Retrospective (RR, RRs, HR)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17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02503A" w:rsidRDefault="006D620C" w:rsidP="006D620C">
            <w:pPr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02503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02503A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250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02503A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250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2503A">
              <w:rPr>
                <w:rFonts w:ascii="Times New Roman" w:hAnsi="Times New Roman" w:cs="Times New Roman"/>
                <w:sz w:val="16"/>
                <w:szCs w:val="16"/>
              </w:rPr>
              <w:t>00˗3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2503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02503A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0250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2503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02503A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0250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2503A">
              <w:rPr>
                <w:rFonts w:ascii="Times New Roman" w:hAnsi="Times New Roman" w:cs="Times New Roman"/>
                <w:sz w:val="16"/>
                <w:szCs w:val="16"/>
              </w:rPr>
              <w:t>41˗1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2503A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02503A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02503A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02503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2503A">
              <w:rPr>
                <w:rFonts w:ascii="Times New Roman" w:hAnsi="Times New Roman" w:cs="Times New Roman"/>
                <w:sz w:val="16"/>
                <w:szCs w:val="16"/>
              </w:rPr>
              <w:t>16 (</w:t>
            </w:r>
            <w:r w:rsidRPr="000250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 </w:t>
            </w:r>
            <w:r w:rsidRPr="0002503A">
              <w:rPr>
                <w:rFonts w:ascii="Times New Roman" w:hAnsi="Times New Roman" w:cs="Times New Roman"/>
                <w:sz w:val="16"/>
                <w:szCs w:val="16"/>
              </w:rPr>
              <w:t>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2503A">
              <w:rPr>
                <w:rFonts w:ascii="Times New Roman" w:hAnsi="Times New Roman" w:cs="Times New Roman"/>
                <w:sz w:val="16"/>
                <w:szCs w:val="16"/>
              </w:rPr>
              <w:t>006)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02503A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0250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2503A">
              <w:rPr>
                <w:rFonts w:ascii="Times New Roman" w:hAnsi="Times New Roman" w:cs="Times New Roman"/>
                <w:sz w:val="16"/>
                <w:szCs w:val="16"/>
              </w:rPr>
              <w:t>0157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02503A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2503A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6D620C" w:rsidRPr="00E01FD2" w:rsidTr="009A5F77">
        <w:trPr>
          <w:trHeight w:val="17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192025" w:rsidRDefault="006D620C" w:rsidP="006D620C">
            <w:pPr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192025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21.49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0.0308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76.7%</w:t>
            </w:r>
          </w:p>
        </w:tc>
      </w:tr>
      <w:tr w:rsidR="006D620C" w:rsidRPr="00E01FD2" w:rsidTr="009A5F77">
        <w:trPr>
          <w:trHeight w:val="17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231C5F" w:rsidRDefault="006D620C" w:rsidP="006D62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Retrospective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17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192025" w:rsidRDefault="006D620C" w:rsidP="006D620C">
            <w:pPr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19202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1.81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0.70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.402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</w:tr>
      <w:tr w:rsidR="006D620C" w:rsidRPr="00E01FD2" w:rsidTr="009A5F77">
        <w:trPr>
          <w:trHeight w:val="17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192025" w:rsidRDefault="006D620C" w:rsidP="006D620C">
            <w:pPr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192025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17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26574F" w:rsidRDefault="006D620C" w:rsidP="006D62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Overall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26574F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26574F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26574F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17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26574F" w:rsidRDefault="006D620C" w:rsidP="006D620C">
            <w:pPr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No</w:t>
            </w:r>
            <w:r w:rsidR="000B4C3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00˗3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45˗1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26574F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48 (</w:t>
            </w:r>
            <w:r w:rsidRPr="0026574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 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=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006)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26574F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0157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26574F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3%</w:t>
            </w:r>
          </w:p>
        </w:tc>
      </w:tr>
      <w:tr w:rsidR="006D620C" w:rsidRPr="00E01FD2" w:rsidTr="009A5F77">
        <w:trPr>
          <w:trHeight w:val="222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26574F" w:rsidRDefault="006D620C" w:rsidP="006D620C">
            <w:pPr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25˗4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26˗1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26574F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59 (</w:t>
            </w:r>
            <w:r w:rsidRPr="0026574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=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001)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26574F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0271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26574F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</w:p>
        </w:tc>
      </w:tr>
      <w:tr w:rsidR="006D620C" w:rsidRPr="00E01FD2" w:rsidTr="009A5F77">
        <w:trPr>
          <w:trHeight w:val="266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b/>
                <w:sz w:val="16"/>
                <w:szCs w:val="16"/>
              </w:rPr>
              <w:t>Country income level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12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9D64AC" w:rsidRDefault="006D620C" w:rsidP="006D62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64AC">
              <w:rPr>
                <w:rFonts w:ascii="Times New Roman" w:hAnsi="Times New Roman" w:cs="Times New Roman"/>
                <w:sz w:val="16"/>
                <w:szCs w:val="16"/>
              </w:rPr>
              <w:t>Low- &amp; middle-income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21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Prospective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38 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540)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6D620C" w:rsidRPr="00E01FD2" w:rsidTr="009A5F77">
        <w:trPr>
          <w:trHeight w:val="18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Retrospective (RR, RRs, HR)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17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Retrospective (OR)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16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Cross-sectional (OR)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16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BF32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BF32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BF32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24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Case-control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87 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088)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0733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</w:tr>
      <w:tr w:rsidR="006D620C" w:rsidRPr="00E01FD2" w:rsidTr="009A5F77">
        <w:trPr>
          <w:trHeight w:val="13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Overall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13˗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3.16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43.20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96D9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96D9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r w:rsidRPr="00396D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96D91">
              <w:rPr>
                <w:rFonts w:ascii="Times New Roman" w:hAnsi="Times New Roman" w:cs="Times New Roman"/>
                <w:b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.2066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26574F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81.5</w:t>
            </w:r>
            <w:r w:rsidRPr="0026574F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6D620C" w:rsidRPr="00E01FD2" w:rsidTr="009A5F77">
        <w:trPr>
          <w:trHeight w:val="22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9D64AC" w:rsidRDefault="006D620C" w:rsidP="006D62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64AC">
              <w:rPr>
                <w:rFonts w:ascii="Times New Roman" w:hAnsi="Times New Roman" w:cs="Times New Roman"/>
                <w:sz w:val="16"/>
                <w:szCs w:val="16"/>
              </w:rPr>
              <w:t>High-income countries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19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Prospective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97˗7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88˗6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70 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404)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6D620C" w:rsidRPr="00E01FD2" w:rsidTr="009A5F77">
        <w:trPr>
          <w:trHeight w:val="18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Retrospective (RR, RRs, HR)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00˗4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39˗1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70 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0327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</w:tr>
      <w:tr w:rsidR="006D620C" w:rsidRPr="00E01FD2" w:rsidTr="009A5F77">
        <w:trPr>
          <w:trHeight w:val="17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Retrospective (OR)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81˗1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33˗2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99 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320)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D620C" w:rsidRPr="00E01FD2" w:rsidTr="009A5F77">
        <w:trPr>
          <w:trHeight w:val="17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Cross-sectional (OR)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99˗1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17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Case-control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16˗7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54˗2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98 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0685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</w:tr>
      <w:tr w:rsidR="006D620C" w:rsidRPr="00E01FD2" w:rsidTr="009A5F77">
        <w:trPr>
          <w:trHeight w:val="172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20C" w:rsidRPr="00CA184D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84D">
              <w:rPr>
                <w:rFonts w:ascii="Times New Roman" w:hAnsi="Times New Roman" w:cs="Times New Roman"/>
                <w:b/>
                <w:sz w:val="16"/>
                <w:szCs w:val="16"/>
              </w:rPr>
              <w:t>Overall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20C" w:rsidRPr="00CA184D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84D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20C" w:rsidRPr="00CA184D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84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A184D">
              <w:rPr>
                <w:rFonts w:ascii="Times New Roman" w:hAnsi="Times New Roman" w:cs="Times New Roman"/>
                <w:b/>
                <w:sz w:val="16"/>
                <w:szCs w:val="16"/>
              </w:rPr>
              <w:t>00˗1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A184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20C" w:rsidRPr="00CA184D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84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A184D"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20C" w:rsidRPr="00CA184D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84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A184D">
              <w:rPr>
                <w:rFonts w:ascii="Times New Roman" w:hAnsi="Times New Roman" w:cs="Times New Roman"/>
                <w:b/>
                <w:sz w:val="16"/>
                <w:szCs w:val="16"/>
              </w:rPr>
              <w:t>58–2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A184D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20C" w:rsidRPr="00CA184D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20C" w:rsidRPr="00CA184D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84D">
              <w:rPr>
                <w:rFonts w:ascii="Times New Roman" w:hAnsi="Times New Roman" w:cs="Times New Roman"/>
                <w:b/>
                <w:sz w:val="16"/>
                <w:szCs w:val="16"/>
              </w:rPr>
              <w:t>188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A184D">
              <w:rPr>
                <w:rFonts w:ascii="Times New Roman" w:hAnsi="Times New Roman" w:cs="Times New Roman"/>
                <w:b/>
                <w:sz w:val="16"/>
                <w:szCs w:val="16"/>
              </w:rPr>
              <w:t>85 (</w:t>
            </w:r>
            <w:r w:rsidRPr="00CA184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r w:rsidRPr="00CA18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A184D">
              <w:rPr>
                <w:rFonts w:ascii="Times New Roman" w:hAnsi="Times New Roman" w:cs="Times New Roman"/>
                <w:b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20C" w:rsidRPr="00CA184D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84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A184D">
              <w:rPr>
                <w:rFonts w:ascii="Times New Roman" w:hAnsi="Times New Roman" w:cs="Times New Roman"/>
                <w:b/>
                <w:sz w:val="16"/>
                <w:szCs w:val="16"/>
              </w:rPr>
              <w:t>0390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20C" w:rsidRPr="00CA184D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84D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A184D"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</w:tr>
      <w:tr w:rsidR="006D620C" w:rsidRPr="00792A54" w:rsidTr="009A5F77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b/>
                <w:sz w:val="16"/>
                <w:szCs w:val="16"/>
              </w:rPr>
              <w:t>Background TB incidence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792A54" w:rsidTr="009A5F77">
        <w:trPr>
          <w:trHeight w:val="6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4A68E4" w:rsidRDefault="006D620C" w:rsidP="006D62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8E4">
              <w:rPr>
                <w:rFonts w:ascii="Times New Roman" w:hAnsi="Times New Roman" w:cs="Times New Roman"/>
                <w:sz w:val="16"/>
                <w:szCs w:val="16"/>
              </w:rPr>
              <w:t>Prospective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792A54" w:rsidTr="009A5F77">
        <w:trPr>
          <w:trHeight w:val="15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≤50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94˗19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792A54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792A54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792A54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792A54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&gt;50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24˗4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95˗5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98 (</w:t>
            </w:r>
            <w:r w:rsidRPr="00792A54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004)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1508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</w:tr>
      <w:tr w:rsidR="006D620C" w:rsidRPr="00792A54" w:rsidTr="009A5F77">
        <w:trPr>
          <w:trHeight w:val="21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4A68E4" w:rsidRDefault="006D620C" w:rsidP="006D62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8E4">
              <w:rPr>
                <w:rFonts w:ascii="Times New Roman" w:hAnsi="Times New Roman" w:cs="Times New Roman"/>
                <w:sz w:val="16"/>
                <w:szCs w:val="16"/>
              </w:rPr>
              <w:t>Retrospective (RR, RRs, HR)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792A54" w:rsidTr="009A5F77">
        <w:trPr>
          <w:trHeight w:val="10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≤50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00˗2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30˗1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06 (</w:t>
            </w:r>
            <w:r w:rsidRPr="00792A54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003)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03888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</w:tr>
      <w:tr w:rsidR="006D620C" w:rsidRPr="00792A54" w:rsidTr="009A5F77">
        <w:trPr>
          <w:trHeight w:val="9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&gt;50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25˗4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33˗1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25 (</w:t>
            </w:r>
            <w:r w:rsidRPr="00792A54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0196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6D620C" w:rsidRPr="00792A54" w:rsidTr="009A5F77">
        <w:trPr>
          <w:trHeight w:val="20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4A68E4" w:rsidRDefault="006D620C" w:rsidP="006D62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8E4">
              <w:rPr>
                <w:rFonts w:ascii="Times New Roman" w:hAnsi="Times New Roman" w:cs="Times New Roman"/>
                <w:sz w:val="16"/>
                <w:szCs w:val="16"/>
              </w:rPr>
              <w:t>Retrospective (OR)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792A54" w:rsidTr="009A5F77">
        <w:trPr>
          <w:trHeight w:val="16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≤50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37˗2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792A54" w:rsidTr="009A5F77">
        <w:trPr>
          <w:trHeight w:val="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&gt;50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42˗3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86˗3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25 (</w:t>
            </w:r>
            <w:r w:rsidRPr="00792A54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263)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0866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</w:tr>
      <w:tr w:rsidR="006D620C" w:rsidRPr="00792A54" w:rsidTr="009A5F77">
        <w:trPr>
          <w:trHeight w:val="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Cross-sectional (OR)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792A54" w:rsidTr="009A5F77">
        <w:trPr>
          <w:trHeight w:val="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≤50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792A54" w:rsidTr="009A5F77">
        <w:trPr>
          <w:trHeight w:val="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&gt;50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792A54" w:rsidTr="009A5F77">
        <w:trPr>
          <w:trHeight w:val="18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4A68E4" w:rsidRDefault="006D620C" w:rsidP="006D62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8E4">
              <w:rPr>
                <w:rFonts w:ascii="Times New Roman" w:hAnsi="Times New Roman" w:cs="Times New Roman"/>
                <w:sz w:val="16"/>
                <w:szCs w:val="16"/>
              </w:rPr>
              <w:t>Case-control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792A54" w:rsidTr="009A5F77">
        <w:trPr>
          <w:trHeight w:val="5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≤50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16˗3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39˗2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42 (</w:t>
            </w:r>
            <w:r w:rsidRPr="00792A54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002)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0826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</w:tr>
      <w:tr w:rsidR="006D620C" w:rsidRPr="00792A54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&gt;50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46˗7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81˗4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44 (</w:t>
            </w:r>
            <w:r w:rsidRPr="00792A5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 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2626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</w:tr>
      <w:tr w:rsidR="006D620C" w:rsidRPr="00792A54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792A54" w:rsidTr="009A5F77">
        <w:trPr>
          <w:trHeight w:val="24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≤50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5724C0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92A54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620C" w:rsidRPr="00BF32B0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BF32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D620C" w:rsidRPr="00BF32B0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BF32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6D620C" w:rsidRPr="00BF32B0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BF32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792A54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Overall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D620C" w:rsidRPr="00792A54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≤50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00˗7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.3</w:t>
            </w: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6˗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51 (</w:t>
            </w:r>
            <w:r w:rsidRPr="00DB40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0507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1%</w:t>
            </w:r>
          </w:p>
        </w:tc>
      </w:tr>
      <w:tr w:rsidR="006D620C" w:rsidRPr="00792A54" w:rsidTr="009A5F77">
        <w:trPr>
          <w:trHeight w:val="243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&gt;50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25˗7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80˗2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233.75</w:t>
            </w: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DB40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 </w:t>
            </w: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.2446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DB4063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91.9</w:t>
            </w: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b/>
                <w:sz w:val="16"/>
                <w:szCs w:val="16"/>
              </w:rPr>
              <w:t>Geographical region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8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E61FA">
              <w:rPr>
                <w:rFonts w:ascii="Times New Roman" w:hAnsi="Times New Roman" w:cs="Times New Roman"/>
                <w:sz w:val="16"/>
                <w:szCs w:val="16"/>
              </w:rPr>
              <w:t>Prospective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7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Asia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24˗4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95˗5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98 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1508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USA or Canada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94˗19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18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00CD" w:rsidRDefault="006D620C" w:rsidP="006D62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00CD">
              <w:rPr>
                <w:rFonts w:ascii="Times New Roman" w:hAnsi="Times New Roman" w:cs="Times New Roman"/>
                <w:sz w:val="16"/>
                <w:szCs w:val="16"/>
              </w:rPr>
              <w:t xml:space="preserve">Retrospective (RR, RRs, HR)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00CD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00CD">
              <w:rPr>
                <w:rFonts w:ascii="Times New Roman" w:hAnsi="Times New Roman" w:cs="Times New Roman"/>
                <w:sz w:val="16"/>
                <w:szCs w:val="16"/>
              </w:rPr>
              <w:t>Asia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25˗4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33˗1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25 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0196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6D620C" w:rsidRPr="00E01FD2" w:rsidTr="009A5F77">
        <w:trPr>
          <w:trHeight w:val="13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00CD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00CD">
              <w:rPr>
                <w:rFonts w:ascii="Times New Roman" w:hAnsi="Times New Roman" w:cs="Times New Roman"/>
                <w:sz w:val="16"/>
                <w:szCs w:val="16"/>
              </w:rPr>
              <w:t>Europe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30˗2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29˗1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09 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130)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0138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</w:tr>
      <w:tr w:rsidR="006D620C" w:rsidRPr="00E01FD2" w:rsidTr="009A5F77">
        <w:trPr>
          <w:trHeight w:val="11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00CD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00CD">
              <w:rPr>
                <w:rFonts w:ascii="Times New Roman" w:hAnsi="Times New Roman" w:cs="Times New Roman"/>
                <w:sz w:val="16"/>
                <w:szCs w:val="16"/>
              </w:rPr>
              <w:t>USA or Canada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00˗1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82˗2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37 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2347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00CD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00CD">
              <w:rPr>
                <w:rFonts w:ascii="Times New Roman" w:hAnsi="Times New Roman" w:cs="Times New Roman"/>
                <w:sz w:val="16"/>
                <w:szCs w:val="16"/>
              </w:rPr>
              <w:t>Australia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05˗2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20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00CD" w:rsidRDefault="006D620C" w:rsidP="006D62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00CD">
              <w:rPr>
                <w:rFonts w:ascii="Times New Roman" w:hAnsi="Times New Roman" w:cs="Times New Roman"/>
                <w:sz w:val="16"/>
                <w:szCs w:val="16"/>
              </w:rPr>
              <w:t>Retrospective (OR)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00CD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00CD">
              <w:rPr>
                <w:rFonts w:ascii="Times New Roman" w:hAnsi="Times New Roman" w:cs="Times New Roman"/>
                <w:sz w:val="16"/>
                <w:szCs w:val="16"/>
              </w:rPr>
              <w:t>Asia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42˗3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86˗3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25 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263)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0866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</w:tr>
      <w:tr w:rsidR="006D620C" w:rsidRPr="00E01FD2" w:rsidTr="009A5F77">
        <w:trPr>
          <w:trHeight w:val="8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00CD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00CD">
              <w:rPr>
                <w:rFonts w:ascii="Times New Roman" w:hAnsi="Times New Roman" w:cs="Times New Roman"/>
                <w:sz w:val="16"/>
                <w:szCs w:val="16"/>
              </w:rPr>
              <w:t>USA or Canada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37˗2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8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00CD" w:rsidRDefault="006D620C" w:rsidP="006D62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00CD">
              <w:rPr>
                <w:rFonts w:ascii="Times New Roman" w:hAnsi="Times New Roman" w:cs="Times New Roman"/>
                <w:sz w:val="16"/>
                <w:szCs w:val="16"/>
              </w:rPr>
              <w:t>Cross-sectional (OR)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7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00CD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00CD">
              <w:rPr>
                <w:rFonts w:ascii="Times New Roman" w:hAnsi="Times New Roman" w:cs="Times New Roman"/>
                <w:sz w:val="16"/>
                <w:szCs w:val="16"/>
              </w:rPr>
              <w:t>Asia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40˗8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00CD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00CD">
              <w:rPr>
                <w:rFonts w:ascii="Times New Roman" w:hAnsi="Times New Roman" w:cs="Times New Roman"/>
                <w:sz w:val="16"/>
                <w:szCs w:val="16"/>
              </w:rPr>
              <w:t>USA or Canada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99˗1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00CD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00CD">
              <w:rPr>
                <w:rFonts w:ascii="Times New Roman" w:hAnsi="Times New Roman" w:cs="Times New Roman"/>
                <w:sz w:val="16"/>
                <w:szCs w:val="16"/>
              </w:rPr>
              <w:t>Multicenter (43 countries)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37˗2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1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A40E2" w:rsidRDefault="006D620C" w:rsidP="006D62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40E2">
              <w:rPr>
                <w:rFonts w:ascii="Times New Roman" w:hAnsi="Times New Roman" w:cs="Times New Roman"/>
                <w:sz w:val="16"/>
                <w:szCs w:val="16"/>
              </w:rPr>
              <w:t>Case-control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6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00CD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00CD">
              <w:rPr>
                <w:rFonts w:ascii="Times New Roman" w:hAnsi="Times New Roman" w:cs="Times New Roman"/>
                <w:sz w:val="16"/>
                <w:szCs w:val="16"/>
              </w:rPr>
              <w:t>Asia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46˗4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29˗4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75 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3582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</w:tr>
      <w:tr w:rsidR="006D620C" w:rsidRPr="00E01FD2" w:rsidTr="009A5F77">
        <w:trPr>
          <w:trHeight w:val="6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00CD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00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Europe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18˗3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91˗5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24 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4941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00CD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00CD">
              <w:rPr>
                <w:rFonts w:ascii="Times New Roman" w:hAnsi="Times New Roman" w:cs="Times New Roman"/>
                <w:sz w:val="16"/>
                <w:szCs w:val="16"/>
              </w:rPr>
              <w:t>USA or Canada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16˗5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41˗1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73 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455)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00CD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00CD">
              <w:rPr>
                <w:rFonts w:ascii="Times New Roman" w:hAnsi="Times New Roman" w:cs="Times New Roman"/>
                <w:sz w:val="16"/>
                <w:szCs w:val="16"/>
              </w:rPr>
              <w:t>Russia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37˗25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00CD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00CD">
              <w:rPr>
                <w:rFonts w:ascii="Times New Roman" w:hAnsi="Times New Roman" w:cs="Times New Roman"/>
                <w:sz w:val="16"/>
                <w:szCs w:val="16"/>
              </w:rPr>
              <w:t>Africa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37˗3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00CD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00CD">
              <w:rPr>
                <w:rFonts w:ascii="Times New Roman" w:hAnsi="Times New Roman" w:cs="Times New Roman"/>
                <w:sz w:val="16"/>
                <w:szCs w:val="16"/>
              </w:rPr>
              <w:t>Latin America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96˗4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00CD" w:rsidRDefault="006D620C" w:rsidP="006D620C">
            <w:pPr>
              <w:pStyle w:val="NoSpacing"/>
              <w:spacing w:line="276" w:lineRule="auto"/>
              <w:ind w:left="-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26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00CD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00CD">
              <w:rPr>
                <w:rFonts w:ascii="Times New Roman" w:hAnsi="Times New Roman" w:cs="Times New Roman"/>
                <w:sz w:val="16"/>
                <w:szCs w:val="16"/>
              </w:rPr>
              <w:t>Latin America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BF32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BF32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BF32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pStyle w:val="NoSpacing"/>
              <w:spacing w:line="276" w:lineRule="auto"/>
              <w:ind w:left="-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Overall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spacing w:after="0"/>
              <w:ind w:left="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Asia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46˗4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04˗3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107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84 (</w:t>
            </w:r>
            <w:r w:rsidRPr="008B7A7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0648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8%</w:t>
            </w: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Europe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18˗3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33˗2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85 (</w:t>
            </w:r>
            <w:r w:rsidRPr="008B7A7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0659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8B7A77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79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9%</w:t>
            </w: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8B7A77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USA or Canada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8B7A77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8B7A77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00˗7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8B7A77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8B7A77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43˗2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8B7A77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8B7A77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68 (</w:t>
            </w:r>
            <w:r w:rsidRPr="008B7A7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=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002)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8B7A77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0613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8B7A77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B7A77">
              <w:rPr>
                <w:rFonts w:ascii="Times New Roman" w:hAnsi="Times New Roman" w:cs="Times New Roman"/>
                <w:b/>
                <w:sz w:val="16"/>
                <w:szCs w:val="16"/>
              </w:rPr>
              <w:t>9%</w:t>
            </w:r>
          </w:p>
        </w:tc>
      </w:tr>
      <w:tr w:rsidR="006D620C" w:rsidRPr="00E01FD2" w:rsidTr="009A5F77">
        <w:trPr>
          <w:trHeight w:val="81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9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TB ascertainment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16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F73754" w:rsidRDefault="006D620C" w:rsidP="006D620C">
            <w:pPr>
              <w:pStyle w:val="NoSpacing"/>
              <w:spacing w:line="276" w:lineRule="auto"/>
              <w:ind w:left="-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754">
              <w:rPr>
                <w:rFonts w:ascii="Times New Roman" w:hAnsi="Times New Roman" w:cs="Times New Roman"/>
                <w:sz w:val="16"/>
                <w:szCs w:val="16"/>
              </w:rPr>
              <w:t>Microbiologically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7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Prospective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2.69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2.01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7.40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.007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0.1629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86.5%</w:t>
            </w:r>
          </w:p>
        </w:tc>
      </w:tr>
      <w:tr w:rsidR="006D620C" w:rsidRPr="00E01FD2" w:rsidTr="009A5F77">
        <w:trPr>
          <w:trHeight w:val="6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Retrospective (RR, RRs, HR)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1.76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0.50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.779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</w:tr>
      <w:tr w:rsidR="006D620C" w:rsidRPr="00E01FD2" w:rsidTr="009A5F77">
        <w:trPr>
          <w:trHeight w:val="14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Retrospective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17.35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14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Case-control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20.18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.010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0.1499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60.4%</w:t>
            </w:r>
          </w:p>
        </w:tc>
      </w:tr>
      <w:tr w:rsidR="006D620C" w:rsidRPr="00E01FD2" w:rsidTr="009A5F77">
        <w:trPr>
          <w:trHeight w:val="8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Cross-sectional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8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BF32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BF32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BF32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26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F55A57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A57">
              <w:rPr>
                <w:rFonts w:ascii="Times New Roman" w:hAnsi="Times New Roman" w:cs="Times New Roman"/>
                <w:b/>
                <w:sz w:val="16"/>
                <w:szCs w:val="16"/>
              </w:rPr>
              <w:t>Overall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F55A57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F55A57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A5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55A57">
              <w:rPr>
                <w:rFonts w:ascii="Times New Roman" w:hAnsi="Times New Roman" w:cs="Times New Roman"/>
                <w:b/>
                <w:sz w:val="16"/>
                <w:szCs w:val="16"/>
              </w:rPr>
              <w:t>16˗7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55A57"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F55A57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F55A57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A5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.31</w:t>
            </w:r>
            <w:r w:rsidRPr="00F55A57">
              <w:rPr>
                <w:rFonts w:ascii="Times New Roman" w:hAnsi="Times New Roman" w:cs="Times New Roman"/>
                <w:b/>
                <w:sz w:val="16"/>
                <w:szCs w:val="16"/>
              </w:rPr>
              <w:t>˗3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F55A57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F55A57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63.</w:t>
            </w:r>
            <w:r w:rsidRPr="00F55A5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F55A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DB40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 </w:t>
            </w: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B4063">
              <w:rPr>
                <w:rFonts w:ascii="Times New Roman" w:hAnsi="Times New Roman" w:cs="Times New Roman"/>
                <w:b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F55A57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A5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55A57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F55A57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75.0</w:t>
            </w:r>
            <w:r w:rsidRPr="00F55A57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6D620C" w:rsidRPr="00E01FD2" w:rsidTr="009A5F77">
        <w:trPr>
          <w:trHeight w:val="13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F73754" w:rsidRDefault="006D620C" w:rsidP="006D620C">
            <w:pPr>
              <w:pStyle w:val="NoSpacing"/>
              <w:spacing w:line="276" w:lineRule="auto"/>
              <w:ind w:left="-90"/>
              <w:rPr>
                <w:rFonts w:ascii="Times New Roman" w:hAnsi="Times New Roman" w:cs="Times New Roman"/>
                <w:sz w:val="16"/>
                <w:szCs w:val="16"/>
              </w:rPr>
            </w:pPr>
            <w:r w:rsidRPr="00F73754">
              <w:rPr>
                <w:rFonts w:ascii="Times New Roman" w:hAnsi="Times New Roman" w:cs="Times New Roman"/>
                <w:sz w:val="16"/>
                <w:szCs w:val="16"/>
              </w:rPr>
              <w:t>Medical records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12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Prospective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2.24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5.05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.025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0.5958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80.2%</w:t>
            </w:r>
          </w:p>
        </w:tc>
      </w:tr>
      <w:tr w:rsidR="006D620C" w:rsidRPr="00E01FD2" w:rsidTr="009A5F77">
        <w:trPr>
          <w:trHeight w:val="12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Retrospective (RR, RRs, HR)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1.38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62.48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0.0220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80.8%</w:t>
            </w:r>
          </w:p>
        </w:tc>
      </w:tr>
      <w:tr w:rsidR="006D620C" w:rsidRPr="00E01FD2" w:rsidTr="009A5F77">
        <w:trPr>
          <w:trHeight w:val="12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Retrospective (OR)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1.33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0.99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.320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</w:tr>
      <w:tr w:rsidR="006D620C" w:rsidRPr="00E01FD2" w:rsidTr="009A5F77">
        <w:trPr>
          <w:trHeight w:val="11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Case-control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1.34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21.21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 0.002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0.0352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71.7%</w:t>
            </w:r>
          </w:p>
        </w:tc>
      </w:tr>
      <w:tr w:rsidR="006D620C" w:rsidRPr="00E01FD2" w:rsidTr="009A5F77">
        <w:trPr>
          <w:trHeight w:val="24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92265C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Overall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92265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92265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00˗7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92265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92265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46˗1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92265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92265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26 (</w:t>
            </w:r>
            <w:r w:rsidRPr="009226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92265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92265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1%</w:t>
            </w:r>
          </w:p>
        </w:tc>
      </w:tr>
      <w:tr w:rsidR="006D620C" w:rsidRPr="00E01FD2" w:rsidTr="009A5F77">
        <w:trPr>
          <w:trHeight w:val="19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F73754" w:rsidRDefault="006D620C" w:rsidP="006D620C">
            <w:pPr>
              <w:pStyle w:val="NoSpacing"/>
              <w:spacing w:line="276" w:lineRule="auto"/>
              <w:ind w:left="-90"/>
              <w:rPr>
                <w:rFonts w:ascii="Times New Roman" w:hAnsi="Times New Roman" w:cs="Times New Roman"/>
                <w:sz w:val="16"/>
                <w:szCs w:val="16"/>
              </w:rPr>
            </w:pPr>
            <w:r w:rsidRPr="00F73754">
              <w:rPr>
                <w:rFonts w:ascii="Times New Roman" w:hAnsi="Times New Roman" w:cs="Times New Roman"/>
                <w:sz w:val="16"/>
                <w:szCs w:val="16"/>
              </w:rPr>
              <w:t>Self-reported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9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Cross-sectional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1.28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.257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0.0073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22.1%</w:t>
            </w:r>
          </w:p>
        </w:tc>
      </w:tr>
      <w:tr w:rsidR="006D620C" w:rsidRPr="00E01FD2" w:rsidTr="009A5F77">
        <w:trPr>
          <w:trHeight w:val="8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Case-control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1.36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252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92265C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Overall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92265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92265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40˗2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92265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92265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36˗2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92265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92265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67 (</w:t>
            </w:r>
            <w:r w:rsidRPr="009226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 </w:t>
            </w: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=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263)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92265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0118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20C" w:rsidRPr="0092265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1%</w:t>
            </w: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DM status ascertainment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4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F73754" w:rsidRDefault="006D620C" w:rsidP="006D620C">
            <w:pPr>
              <w:pStyle w:val="NoSpacing"/>
              <w:spacing w:line="276" w:lineRule="auto"/>
              <w:ind w:left="-90"/>
              <w:rPr>
                <w:rFonts w:ascii="Times New Roman" w:hAnsi="Times New Roman" w:cs="Times New Roman"/>
                <w:sz w:val="16"/>
                <w:szCs w:val="16"/>
              </w:rPr>
            </w:pPr>
            <w:r w:rsidRPr="00F73754">
              <w:rPr>
                <w:rFonts w:ascii="Times New Roman" w:hAnsi="Times New Roman" w:cs="Times New Roman"/>
                <w:sz w:val="16"/>
                <w:szCs w:val="16"/>
              </w:rPr>
              <w:t>Blood testing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9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Prospective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2.24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1.95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10.98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.004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0.1508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81.8%</w:t>
            </w:r>
          </w:p>
        </w:tc>
      </w:tr>
      <w:tr w:rsidR="006D620C" w:rsidRPr="00E01FD2" w:rsidTr="009A5F77">
        <w:trPr>
          <w:trHeight w:val="8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Retrospective (RR, RRs, HR)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Case-control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2.13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5.51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.138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45.6%</w:t>
            </w: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Cross-sectional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792A54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724C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BF32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BF32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6D620C" w:rsidRPr="00E01FD2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BF32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21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C5448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448">
              <w:rPr>
                <w:rFonts w:ascii="Times New Roman" w:hAnsi="Times New Roman" w:cs="Times New Roman"/>
                <w:b/>
                <w:sz w:val="16"/>
                <w:szCs w:val="16"/>
              </w:rPr>
              <w:t>Overall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C5448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44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C5448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44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C5448">
              <w:rPr>
                <w:rFonts w:ascii="Times New Roman" w:hAnsi="Times New Roman" w:cs="Times New Roman"/>
                <w:b/>
                <w:sz w:val="16"/>
                <w:szCs w:val="16"/>
              </w:rPr>
              <w:t>30˗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C5448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C5448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2.0</w:t>
            </w:r>
            <w:r w:rsidRPr="007C5448">
              <w:rPr>
                <w:rFonts w:ascii="Times New Roman" w:hAnsi="Times New Roman" w:cs="Times New Roman"/>
                <w:b/>
                <w:sz w:val="16"/>
                <w:szCs w:val="16"/>
              </w:rPr>
              <w:t>2˗4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C5448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C5448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119.98</w:t>
            </w:r>
            <w:r w:rsidRPr="007C54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9226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2265C">
              <w:rPr>
                <w:rFonts w:ascii="Times New Roman" w:hAnsi="Times New Roman" w:cs="Times New Roman"/>
                <w:b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C5448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44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.3</w:t>
            </w:r>
            <w:r w:rsidRPr="007C544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7C5448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92.5</w:t>
            </w:r>
            <w:r w:rsidRPr="007C5448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6D620C" w:rsidRPr="00E01FD2" w:rsidTr="009A5F77">
        <w:trPr>
          <w:trHeight w:val="6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F73754" w:rsidRDefault="006D620C" w:rsidP="006D620C">
            <w:pPr>
              <w:pStyle w:val="NoSpacing"/>
              <w:spacing w:line="276" w:lineRule="auto"/>
              <w:ind w:left="-90"/>
              <w:rPr>
                <w:rFonts w:ascii="Times New Roman" w:hAnsi="Times New Roman" w:cs="Times New Roman"/>
                <w:sz w:val="16"/>
                <w:szCs w:val="16"/>
              </w:rPr>
            </w:pPr>
            <w:r w:rsidRPr="00F73754">
              <w:rPr>
                <w:rFonts w:ascii="Times New Roman" w:hAnsi="Times New Roman" w:cs="Times New Roman"/>
                <w:sz w:val="16"/>
                <w:szCs w:val="16"/>
              </w:rPr>
              <w:t>Medical records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Retrospective (RR, RRs, HR)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63.65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0.0229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79.6%</w:t>
            </w:r>
          </w:p>
        </w:tc>
      </w:tr>
      <w:tr w:rsidR="006D620C" w:rsidRPr="00E01FD2" w:rsidTr="009A5F77">
        <w:trPr>
          <w:trHeight w:val="5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Retrospective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(O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1.35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1.88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.391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</w:tr>
      <w:tr w:rsidR="006D620C" w:rsidRPr="00E01FD2" w:rsidTr="009A5F77">
        <w:trPr>
          <w:trHeight w:val="5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Case-control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33.22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0.0584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78.9%</w:t>
            </w:r>
          </w:p>
        </w:tc>
      </w:tr>
      <w:tr w:rsidR="006D620C" w:rsidRPr="00E01FD2" w:rsidTr="009A5F77">
        <w:trPr>
          <w:trHeight w:val="25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5E2EEA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Overall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5E2EEA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5E2EEA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00˗4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5E2EEA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5E2EEA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18˗2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5E2EEA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5E2EEA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23 (</w:t>
            </w:r>
            <w:r w:rsidRPr="005E2E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0001)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5E2EEA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0202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5E2EEA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1%</w:t>
            </w: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F73754" w:rsidRDefault="006D620C" w:rsidP="006D620C">
            <w:pPr>
              <w:pStyle w:val="NoSpacing"/>
              <w:spacing w:line="276" w:lineRule="auto"/>
              <w:ind w:left="-90"/>
              <w:rPr>
                <w:rFonts w:ascii="Times New Roman" w:hAnsi="Times New Roman" w:cs="Times New Roman"/>
                <w:sz w:val="16"/>
                <w:szCs w:val="16"/>
              </w:rPr>
            </w:pPr>
            <w:r w:rsidRPr="00F737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Self-reported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Prospective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7.58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2.94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Retrospective (RR, RRs, HR)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Case-control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1.32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2.81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 xml:space="preserve"> &lt;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.422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Cross-sectional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|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E01FD2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1.28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F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 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=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.257</w:t>
            </w:r>
            <w:r w:rsidRPr="00E01F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0.0073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22.1%</w:t>
            </w:r>
          </w:p>
        </w:tc>
      </w:tr>
      <w:tr w:rsidR="006D620C" w:rsidRPr="00E01FD2" w:rsidTr="009A5F77">
        <w:trPr>
          <w:trHeight w:val="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5E2EEA" w:rsidRDefault="006D620C" w:rsidP="006D620C">
            <w:pPr>
              <w:pStyle w:val="NoSpacing"/>
              <w:spacing w:line="276" w:lineRule="auto"/>
              <w:ind w:left="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Overall</w:t>
            </w:r>
            <w:r w:rsidR="000B4C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5E2EEA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5E2EEA" w:rsidRDefault="006D620C" w:rsidP="006D620C">
            <w:pPr>
              <w:pStyle w:val="NoSpacing"/>
              <w:spacing w:line="276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16˗7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5E2EEA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5E2EEA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90˗4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5E2EEA" w:rsidRDefault="006D620C" w:rsidP="006D620C">
            <w:pPr>
              <w:pStyle w:val="NoSpacing"/>
              <w:spacing w:line="276" w:lineRule="auto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5E2EEA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06 (</w:t>
            </w:r>
            <w:r w:rsidRPr="005E2E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 </w:t>
            </w: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=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050)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5E2EEA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0785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0C" w:rsidRPr="005E2EEA" w:rsidRDefault="006D620C" w:rsidP="006D620C">
            <w:pPr>
              <w:spacing w:after="0"/>
              <w:ind w:left="-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E2EEA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</w:p>
        </w:tc>
      </w:tr>
      <w:tr w:rsidR="006D620C" w:rsidRPr="00E01FD2" w:rsidTr="009A5F77">
        <w:trPr>
          <w:trHeight w:val="986"/>
        </w:trPr>
        <w:tc>
          <w:tcPr>
            <w:tcW w:w="12960" w:type="dxa"/>
            <w:gridSpan w:val="9"/>
            <w:tcBorders>
              <w:top w:val="single" w:sz="4" w:space="0" w:color="auto"/>
            </w:tcBorders>
          </w:tcPr>
          <w:p w:rsidR="006D620C" w:rsidRPr="00B34710" w:rsidRDefault="000B4C30" w:rsidP="006D62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 xml:space="preserve"> Q: Cochran Q statistic is a measure assessing the existence of heterogeneity in estimates of association between TB and DM.</w:t>
            </w:r>
          </w:p>
          <w:p w:rsidR="006D620C" w:rsidRPr="00B34710" w:rsidRDefault="000B4C30" w:rsidP="006D62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6D620C" w:rsidRPr="00B34710">
              <w:rPr>
                <w:rStyle w:val="texhtml"/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τ</w:t>
            </w:r>
            <w:r w:rsidR="006D620C" w:rsidRPr="00B34710">
              <w:rPr>
                <w:rStyle w:val="texhtml"/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 xml:space="preserve">: the estimated between-study variance in the true TB and DM association estimates. The </w:t>
            </w:r>
            <w:r w:rsidR="006D620C" w:rsidRPr="00B34710">
              <w:rPr>
                <w:rStyle w:val="texhtml"/>
                <w:rFonts w:ascii="Times New Roman" w:hAnsi="Times New Roman" w:cs="Times New Roman"/>
                <w:i/>
                <w:color w:val="252525"/>
                <w:sz w:val="16"/>
                <w:szCs w:val="16"/>
                <w:shd w:val="clear" w:color="auto" w:fill="FFFFFF"/>
              </w:rPr>
              <w:t>τ</w:t>
            </w:r>
            <w:r w:rsidR="006D620C" w:rsidRPr="00B34710">
              <w:rPr>
                <w:rStyle w:val="texhtml"/>
                <w:rFonts w:ascii="Times New Roman" w:hAnsi="Times New Roman" w:cs="Times New Roman"/>
                <w:i/>
                <w:color w:val="252525"/>
                <w:sz w:val="16"/>
                <w:szCs w:val="16"/>
                <w:shd w:val="clear" w:color="auto" w:fill="FFFFFF"/>
                <w:vertAlign w:val="superscript"/>
              </w:rPr>
              <w:t xml:space="preserve">2 </w:t>
            </w:r>
            <w:r w:rsidR="006D620C" w:rsidRPr="00B3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is for the variance of </w:t>
            </w:r>
            <w:r w:rsidR="006D620C" w:rsidRPr="00B34710">
              <w:rPr>
                <w:rStyle w:val="Emphasis"/>
                <w:rFonts w:ascii="Times New Roman" w:hAnsi="Times New Roman" w:cs="Times New Roman"/>
                <w:color w:val="000000"/>
                <w:sz w:val="16"/>
                <w:szCs w:val="16"/>
              </w:rPr>
              <w:t>beta</w:t>
            </w:r>
            <w:r w:rsidR="006D620C" w:rsidRPr="00B3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not for the back-transformed estimate.</w:t>
            </w:r>
          </w:p>
          <w:p w:rsidR="006D620C" w:rsidRPr="00B34710" w:rsidRDefault="000B4C30" w:rsidP="006D62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20C" w:rsidRPr="00B34710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 xml:space="preserve">: a measure assessing the magnitude of between-study variation that is due to differences in TB and DM association estimates across studies rather than chance. </w:t>
            </w:r>
          </w:p>
          <w:p w:rsidR="006D620C" w:rsidRDefault="000B4C30" w:rsidP="006D62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>Only one study fell in this category. Summary estimate represents the study reported estimate.</w:t>
            </w:r>
          </w:p>
          <w:p w:rsidR="006D620C" w:rsidRDefault="000B4C30" w:rsidP="007C66A7">
            <w:pPr>
              <w:spacing w:after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 xml:space="preserve"> Overall estimate </w:t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t>including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 xml:space="preserve"> risk ratio</w:t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>, rate ratio</w:t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>, hazard ratio</w:t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t xml:space="preserve"> and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 xml:space="preserve"> odds ratio</w:t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t xml:space="preserve">that is 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 xml:space="preserve">regardless of the </w:t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t xml:space="preserve">measure of association and 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>study design</w:t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t>. B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>ackground incidence rate of TB did not exceed 2 per 100 person-year in studies estimat</w:t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t>ing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 xml:space="preserve"> an OR, </w:t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t xml:space="preserve">therefore it is reasonable to 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>assume</w:t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t xml:space="preserve"> that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 xml:space="preserve"> TB </w:t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t>is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 xml:space="preserve"> sufficiently rare </w:t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t xml:space="preserve">so 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>that the ORs would estimate the risk ratios</w:t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7C66A7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&lt;EndNote&gt;&lt;Cite&gt;&lt;Author&gt;Greenland&lt;/Author&gt;&lt;Year&gt;1982&lt;/Year&gt;&lt;RecNum&gt;135&lt;/RecNum&gt;&lt;DisplayText&gt;[1]&lt;/DisplayText&gt;&lt;record&gt;&lt;rec-number&gt;135&lt;/rec-number&gt;&lt;foreign-keys&gt;&lt;key app="EN" db-id="5zde0xv0hst2zkez5vpxx9s359ftrstfdx5t" timestamp="0"&gt;135&lt;/key&gt;&lt;/foreign-keys&gt;&lt;ref-type name="Journal Article"&gt;17&lt;/ref-type&gt;&lt;contributors&gt;&lt;authors&gt;&lt;author&gt;Greenland, S.&lt;/author&gt;&lt;author&gt;Thomas, D. C.&lt;/author&gt;&lt;/authors&gt;&lt;/contributors&gt;&lt;auth-address&gt;Mcgill Univ,Dept Epidemiol &amp;amp; Hlth,Montreal H3a 2b4,Quebec,Canada&lt;/auth-address&gt;&lt;titles&gt;&lt;title&gt;On the Need for the Rare Disease Assumption in Case-Control Studies&lt;/title&gt;&lt;secondary-title&gt;American Journal of Epidemiology&lt;/secondary-title&gt;&lt;alt-title&gt;Am J Epidemiol&lt;/alt-title&gt;&lt;/titles&gt;&lt;pages&gt;547-553&lt;/pages&gt;&lt;volume&gt;116&lt;/volume&gt;&lt;number&gt;3&lt;/number&gt;&lt;dates&gt;&lt;year&gt;1982&lt;/year&gt;&lt;/dates&gt;&lt;isbn&gt;0002-9262&lt;/isbn&gt;&lt;accession-num&gt;WOS:A1982PH07800015&lt;/accession-num&gt;&lt;urls&gt;&lt;related-urls&gt;&lt;url&gt;&amp;lt;Go to ISI&amp;gt;://WOS:A1982PH07800015&lt;/url&gt;&lt;/related-urls&gt;&lt;/urls&gt;&lt;language&gt;English&lt;/language&gt;&lt;/record&gt;&lt;/Cite&gt;&lt;/EndNote&gt;</w:instrText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C66A7">
              <w:rPr>
                <w:rFonts w:ascii="Times New Roman" w:hAnsi="Times New Roman" w:cs="Times New Roman"/>
                <w:noProof/>
                <w:sz w:val="16"/>
                <w:szCs w:val="16"/>
              </w:rPr>
              <w:t>[1]</w:t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20C" w:rsidRPr="00BE6BA9">
              <w:rPr>
                <w:rFonts w:ascii="Times New Roman" w:hAnsi="Times New Roman" w:cs="Times New Roman"/>
                <w:sz w:val="16"/>
                <w:szCs w:val="16"/>
              </w:rPr>
              <w:t xml:space="preserve"> Pooled estimate was implemented using a random-effects model.</w:t>
            </w:r>
          </w:p>
          <w:p w:rsidR="006D620C" w:rsidRDefault="000B4C30" w:rsidP="006D62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>Excluding studies among specific clinical populations such as renal dialysis and kidney transplant recipients.</w:t>
            </w:r>
          </w:p>
          <w:p w:rsidR="006D620C" w:rsidRPr="00B42E30" w:rsidRDefault="000B4C30" w:rsidP="007C66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="006D62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t>Excluding 6 potentially duplicate studies in Taiwan while including only the most recent potentially duplicate study with the largest number of study subjects.</w:t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PEVuZE5vdGU+PENpdGU+PEF1dGhvcj5DaHVuZzwvQXV0aG9yPjxZZWFyPjIwMTQ8L1llYXI+PFJl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</w:fldData>
              </w:fldChar>
            </w:r>
            <w:r w:rsidR="007C66A7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="007C66A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PEVuZE5vdGU+PENpdGU+PEF1dGhvcj5DaHVuZzwvQXV0aG9yPjxZZWFyPjIwMTQ8L1llYXI+PFJl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</w:fldData>
              </w:fldChar>
            </w:r>
            <w:r w:rsidR="007C66A7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="007C66A7">
              <w:rPr>
                <w:rFonts w:ascii="Times New Roman" w:hAnsi="Times New Roman" w:cs="Times New Roman"/>
                <w:sz w:val="16"/>
                <w:szCs w:val="16"/>
              </w:rPr>
            </w:r>
            <w:r w:rsidR="007C66A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C66A7">
              <w:rPr>
                <w:rFonts w:ascii="Times New Roman" w:hAnsi="Times New Roman" w:cs="Times New Roman"/>
                <w:noProof/>
                <w:sz w:val="16"/>
                <w:szCs w:val="16"/>
              </w:rPr>
              <w:t>[2]</w:t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6D620C" w:rsidRPr="00B34710" w:rsidRDefault="000B4C30" w:rsidP="00C97F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>Meta-</w:t>
            </w:r>
            <w:proofErr w:type="gramStart"/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>analysis</w:t>
            </w:r>
            <w:proofErr w:type="gramEnd"/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 xml:space="preserve"> was not conduced given the </w:t>
            </w:r>
            <w:r w:rsidR="00C97F24">
              <w:rPr>
                <w:rFonts w:ascii="Times New Roman" w:hAnsi="Times New Roman" w:cs="Times New Roman"/>
                <w:sz w:val="16"/>
                <w:szCs w:val="16"/>
              </w:rPr>
              <w:t>insufficient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 xml:space="preserve"> number of studies</w:t>
            </w:r>
            <w:r w:rsidR="006D620C">
              <w:rPr>
                <w:rFonts w:ascii="Times New Roman" w:hAnsi="Times New Roman" w:cs="Times New Roman"/>
                <w:sz w:val="16"/>
                <w:szCs w:val="16"/>
              </w:rPr>
              <w:t xml:space="preserve"> (one study)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D620C" w:rsidRPr="00B34710" w:rsidRDefault="000B4C30" w:rsidP="007C66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 w:rsidR="006D62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>Based on the classification provided by the World Bank.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7C66A7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&lt;EndNote&gt;&lt;Cite&gt;&lt;Author&gt;Bank&lt;/Author&gt;&lt;Year&gt;2016&lt;/Year&gt;&lt;RecNum&gt;121&lt;/RecNum&gt;&lt;DisplayText&gt;[3]&lt;/DisplayText&gt;&lt;record&gt;&lt;rec-number&gt;121&lt;/rec-number&gt;&lt;foreign-keys&gt;&lt;key app="EN" db-id="xztprtprorafeqezdzlvt0zxwxarw5rwtsed" timestamp="0"&gt;121&lt;/key&gt;&lt;/foreign-keys&gt;&lt;ref-type name="Journal Article"&gt;17&lt;/ref-type&gt;&lt;contributors&gt;&lt;authors&gt;&lt;author&gt;World Bank&lt;/author&gt;&lt;/authors&gt;&lt;/contributors&gt;&lt;titles&gt;&lt;title&gt;Country Income Groups. Available: http://chartsbin.com/view/2438. Accessed on October 11 2016&lt;/title&gt;&lt;/titles&gt;&lt;dates&gt;&lt;year&gt;2016&lt;/year&gt;&lt;/dates&gt;&lt;urls&gt;&lt;related-urls&gt;&lt;url&gt;http://chartsbin.com/view/2438&lt;/url&gt;&lt;/related-urls&gt;&lt;/urls&gt;&lt;/record&gt;&lt;/Cite&gt;&lt;/EndNote&gt;</w:instrTex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C66A7">
              <w:rPr>
                <w:rFonts w:ascii="Times New Roman" w:hAnsi="Times New Roman" w:cs="Times New Roman"/>
                <w:noProof/>
                <w:sz w:val="16"/>
                <w:szCs w:val="16"/>
              </w:rPr>
              <w:t>[3]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6D620C" w:rsidRDefault="00F8601B" w:rsidP="00F860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  <w:r w:rsidR="006D62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="006D620C" w:rsidRPr="00B34710">
              <w:rPr>
                <w:rFonts w:ascii="Times New Roman" w:hAnsi="Times New Roman" w:cs="Times New Roman"/>
                <w:sz w:val="16"/>
                <w:szCs w:val="16"/>
              </w:rPr>
              <w:t>TB incidence in the background population per 100,000 person-year.</w:t>
            </w:r>
          </w:p>
          <w:p w:rsidR="006D620C" w:rsidRPr="00B34710" w:rsidRDefault="006D620C" w:rsidP="006D62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710">
              <w:rPr>
                <w:rFonts w:ascii="Times New Roman" w:hAnsi="Times New Roman" w:cs="Times New Roman"/>
                <w:sz w:val="16"/>
                <w:szCs w:val="16"/>
              </w:rPr>
              <w:t>RRs: relative risk; RR: rate ratio; 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odds ratio; HR: hazard ratio; </w:t>
            </w:r>
            <w:r w:rsidRPr="00B34710">
              <w:rPr>
                <w:rFonts w:ascii="Times New Roman" w:hAnsi="Times New Roman" w:cs="Times New Roman"/>
                <w:sz w:val="16"/>
                <w:szCs w:val="16"/>
              </w:rPr>
              <w:t>CI: confidence interval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ROB: risk of bias</w:t>
            </w:r>
          </w:p>
        </w:tc>
      </w:tr>
    </w:tbl>
    <w:p w:rsidR="007C66A7" w:rsidRDefault="007C66A7" w:rsidP="006D620C"/>
    <w:p w:rsidR="007C66A7" w:rsidRDefault="007C66A7" w:rsidP="006D620C"/>
    <w:p w:rsidR="007C66A7" w:rsidRPr="00D770B0" w:rsidRDefault="007C66A7" w:rsidP="006D620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770B0">
        <w:rPr>
          <w:rFonts w:asciiTheme="majorBidi" w:hAnsiTheme="majorBidi" w:cstheme="majorBidi"/>
          <w:b/>
          <w:bCs/>
          <w:sz w:val="32"/>
          <w:szCs w:val="32"/>
        </w:rPr>
        <w:t>References</w:t>
      </w:r>
    </w:p>
    <w:p w:rsidR="00DA668B" w:rsidRPr="00E5596D" w:rsidRDefault="007C66A7" w:rsidP="00E5596D">
      <w:pPr>
        <w:pStyle w:val="EndNoteBibliography"/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r w:rsidRPr="00E5596D">
        <w:rPr>
          <w:rFonts w:asciiTheme="majorBidi" w:hAnsiTheme="majorBidi" w:cstheme="majorBidi"/>
          <w:sz w:val="24"/>
          <w:szCs w:val="24"/>
        </w:rPr>
        <w:fldChar w:fldCharType="begin"/>
      </w:r>
      <w:r w:rsidRPr="00E5596D">
        <w:rPr>
          <w:rFonts w:asciiTheme="majorBidi" w:hAnsiTheme="majorBidi" w:cstheme="majorBidi"/>
          <w:sz w:val="24"/>
          <w:szCs w:val="24"/>
        </w:rPr>
        <w:instrText xml:space="preserve"> ADDIN EN.REFLIST </w:instrText>
      </w:r>
      <w:r w:rsidRPr="00E5596D">
        <w:rPr>
          <w:rFonts w:asciiTheme="majorBidi" w:hAnsiTheme="majorBidi" w:cstheme="majorBidi"/>
          <w:sz w:val="24"/>
          <w:szCs w:val="24"/>
        </w:rPr>
        <w:fldChar w:fldCharType="separate"/>
      </w:r>
      <w:r w:rsidR="00DA668B" w:rsidRPr="00E5596D">
        <w:rPr>
          <w:rFonts w:asciiTheme="majorBidi" w:hAnsiTheme="majorBidi" w:cstheme="majorBidi"/>
          <w:sz w:val="24"/>
          <w:szCs w:val="24"/>
        </w:rPr>
        <w:t>1.</w:t>
      </w:r>
      <w:r w:rsidR="00DA668B" w:rsidRPr="00E5596D">
        <w:rPr>
          <w:rFonts w:asciiTheme="majorBidi" w:hAnsiTheme="majorBidi" w:cstheme="majorBidi"/>
          <w:sz w:val="24"/>
          <w:szCs w:val="24"/>
        </w:rPr>
        <w:tab/>
        <w:t>Greenland S, Thomas DC. On the Need for the Rare Disease Assumption in Case-Control Studies. American Journal of Epidemiology. 1982;116(3):547-53. PubMed PMID: WOS:A1982PH07800015.</w:t>
      </w:r>
    </w:p>
    <w:p w:rsidR="00DA668B" w:rsidRPr="00E5596D" w:rsidRDefault="00DA668B" w:rsidP="00E5596D">
      <w:pPr>
        <w:pStyle w:val="EndNoteBibliography"/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r w:rsidRPr="00E5596D">
        <w:rPr>
          <w:rFonts w:asciiTheme="majorBidi" w:hAnsiTheme="majorBidi" w:cstheme="majorBidi"/>
          <w:sz w:val="24"/>
          <w:szCs w:val="24"/>
        </w:rPr>
        <w:t>2.</w:t>
      </w:r>
      <w:r w:rsidRPr="00E5596D">
        <w:rPr>
          <w:rFonts w:asciiTheme="majorBidi" w:hAnsiTheme="majorBidi" w:cstheme="majorBidi"/>
          <w:sz w:val="24"/>
          <w:szCs w:val="24"/>
        </w:rPr>
        <w:tab/>
        <w:t>Chung WS, Lin CL, Hung CT, Chu YH, Sung FC, Kao CH, et al. Tuberculosis increases the subsequent risk of acute coronary syndrome: a nationwide population-based cohort study. International Journal of Tuberculosis and Lung Disease. 2014;18(1):79-83. doi: 10.5588/ijtld.13.0288. PubMed PMID: WOS:000329483000016.</w:t>
      </w:r>
    </w:p>
    <w:p w:rsidR="00DA668B" w:rsidRPr="00E5596D" w:rsidRDefault="00DA668B" w:rsidP="00E5596D">
      <w:pPr>
        <w:pStyle w:val="EndNoteBibliography"/>
        <w:ind w:left="426" w:hanging="426"/>
        <w:rPr>
          <w:rFonts w:asciiTheme="majorBidi" w:hAnsiTheme="majorBidi" w:cstheme="majorBidi"/>
          <w:sz w:val="24"/>
          <w:szCs w:val="24"/>
        </w:rPr>
      </w:pPr>
      <w:r w:rsidRPr="00E5596D">
        <w:rPr>
          <w:rFonts w:asciiTheme="majorBidi" w:hAnsiTheme="majorBidi" w:cstheme="majorBidi"/>
          <w:sz w:val="24"/>
          <w:szCs w:val="24"/>
        </w:rPr>
        <w:t>3.</w:t>
      </w:r>
      <w:r w:rsidRPr="00E5596D">
        <w:rPr>
          <w:rFonts w:asciiTheme="majorBidi" w:hAnsiTheme="majorBidi" w:cstheme="majorBidi"/>
          <w:sz w:val="24"/>
          <w:szCs w:val="24"/>
        </w:rPr>
        <w:tab/>
        <w:t xml:space="preserve">Bank W. Country Income Groups. Available: </w:t>
      </w:r>
      <w:hyperlink r:id="rId5" w:history="1">
        <w:r w:rsidRPr="00E5596D">
          <w:rPr>
            <w:rStyle w:val="Hyperlink"/>
            <w:rFonts w:asciiTheme="majorBidi" w:hAnsiTheme="majorBidi" w:cstheme="majorBidi"/>
            <w:sz w:val="24"/>
            <w:szCs w:val="24"/>
          </w:rPr>
          <w:t>http://chartsbin.com/view/2438</w:t>
        </w:r>
      </w:hyperlink>
      <w:r w:rsidRPr="00E5596D">
        <w:rPr>
          <w:rFonts w:asciiTheme="majorBidi" w:hAnsiTheme="majorBidi" w:cstheme="majorBidi"/>
          <w:sz w:val="24"/>
          <w:szCs w:val="24"/>
        </w:rPr>
        <w:t>. Accessed on October 11 2016. 2016.</w:t>
      </w:r>
    </w:p>
    <w:p w:rsidR="00AA6528" w:rsidRPr="006D620C" w:rsidRDefault="007C66A7" w:rsidP="00E5596D">
      <w:pPr>
        <w:ind w:left="426" w:hanging="426"/>
      </w:pPr>
      <w:r w:rsidRPr="00E5596D">
        <w:rPr>
          <w:rFonts w:asciiTheme="majorBidi" w:hAnsiTheme="majorBidi" w:cstheme="majorBidi"/>
          <w:sz w:val="24"/>
          <w:szCs w:val="24"/>
        </w:rPr>
        <w:fldChar w:fldCharType="end"/>
      </w:r>
      <w:bookmarkStart w:id="0" w:name="_GoBack"/>
      <w:bookmarkEnd w:id="0"/>
    </w:p>
    <w:sectPr w:rsidR="00AA6528" w:rsidRPr="006D620C" w:rsidSect="006D620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PSMy-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D49"/>
    <w:multiLevelType w:val="hybridMultilevel"/>
    <w:tmpl w:val="3DE00B8C"/>
    <w:lvl w:ilvl="0" w:tplc="7262A2A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DC5F2C"/>
    <w:multiLevelType w:val="hybridMultilevel"/>
    <w:tmpl w:val="CDF2360E"/>
    <w:lvl w:ilvl="0" w:tplc="93DCED38">
      <w:start w:val="1"/>
      <w:numFmt w:val="decimal"/>
      <w:lvlText w:val="%1"/>
      <w:lvlJc w:val="left"/>
      <w:pPr>
        <w:ind w:left="717" w:hanging="360"/>
      </w:pPr>
      <w:rPr>
        <w:rFonts w:ascii="Calibri" w:eastAsia="Times New Roman" w:hAnsi="Calibri" w:cs="Times New Roman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4450A5B"/>
    <w:multiLevelType w:val="hybridMultilevel"/>
    <w:tmpl w:val="A8461FDC"/>
    <w:lvl w:ilvl="0" w:tplc="BA306044"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5FD7877"/>
    <w:multiLevelType w:val="hybridMultilevel"/>
    <w:tmpl w:val="4F86174E"/>
    <w:lvl w:ilvl="0" w:tplc="D6121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26533"/>
    <w:multiLevelType w:val="hybridMultilevel"/>
    <w:tmpl w:val="71A2B826"/>
    <w:lvl w:ilvl="0" w:tplc="24CC0518">
      <w:start w:val="1"/>
      <w:numFmt w:val="decimal"/>
      <w:lvlText w:val="%1"/>
      <w:lvlJc w:val="left"/>
      <w:pPr>
        <w:ind w:left="35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0AA05561"/>
    <w:multiLevelType w:val="hybridMultilevel"/>
    <w:tmpl w:val="45509278"/>
    <w:lvl w:ilvl="0" w:tplc="93DCED38">
      <w:start w:val="1"/>
      <w:numFmt w:val="decimal"/>
      <w:lvlText w:val="%1"/>
      <w:lvlJc w:val="left"/>
      <w:pPr>
        <w:ind w:left="717" w:hanging="360"/>
      </w:pPr>
      <w:rPr>
        <w:rFonts w:ascii="Calibri" w:eastAsia="Times New Roman" w:hAnsi="Calibri" w:cs="Times New Roman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B48023E"/>
    <w:multiLevelType w:val="hybridMultilevel"/>
    <w:tmpl w:val="157C985E"/>
    <w:lvl w:ilvl="0" w:tplc="C2DAD89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E6E5F"/>
    <w:multiLevelType w:val="hybridMultilevel"/>
    <w:tmpl w:val="0F9AE1FA"/>
    <w:lvl w:ilvl="0" w:tplc="AF2A7938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E35D3"/>
    <w:multiLevelType w:val="hybridMultilevel"/>
    <w:tmpl w:val="35404904"/>
    <w:lvl w:ilvl="0" w:tplc="8F7E7DC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316E64"/>
    <w:multiLevelType w:val="hybridMultilevel"/>
    <w:tmpl w:val="831EBFCE"/>
    <w:lvl w:ilvl="0" w:tplc="93DCED38">
      <w:start w:val="1"/>
      <w:numFmt w:val="decimal"/>
      <w:lvlText w:val="%1"/>
      <w:lvlJc w:val="left"/>
      <w:pPr>
        <w:ind w:left="717" w:hanging="360"/>
      </w:pPr>
      <w:rPr>
        <w:rFonts w:ascii="Calibri" w:eastAsia="Times New Roman" w:hAnsi="Calibri" w:cs="Times New Roman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E374EF6"/>
    <w:multiLevelType w:val="hybridMultilevel"/>
    <w:tmpl w:val="E256BE9C"/>
    <w:lvl w:ilvl="0" w:tplc="93DCED38">
      <w:start w:val="1"/>
      <w:numFmt w:val="decimal"/>
      <w:lvlText w:val="%1"/>
      <w:lvlJc w:val="left"/>
      <w:pPr>
        <w:ind w:left="717" w:hanging="360"/>
      </w:pPr>
      <w:rPr>
        <w:rFonts w:ascii="Calibri" w:eastAsia="Times New Roman" w:hAnsi="Calibri" w:cs="Times New Roman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B44000A"/>
    <w:multiLevelType w:val="hybridMultilevel"/>
    <w:tmpl w:val="61BE1726"/>
    <w:lvl w:ilvl="0" w:tplc="2C8C51B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E261B7E"/>
    <w:multiLevelType w:val="hybridMultilevel"/>
    <w:tmpl w:val="D362D304"/>
    <w:lvl w:ilvl="0" w:tplc="AF2A7938">
      <w:start w:val="1"/>
      <w:numFmt w:val="decimal"/>
      <w:lvlText w:val="%1"/>
      <w:lvlJc w:val="left"/>
      <w:pPr>
        <w:ind w:left="717" w:hanging="360"/>
      </w:pPr>
      <w:rPr>
        <w:rFonts w:ascii="Calibri" w:eastAsia="Times New Roman" w:hAnsi="Calibri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ECE4F96"/>
    <w:multiLevelType w:val="hybridMultilevel"/>
    <w:tmpl w:val="FF66B628"/>
    <w:lvl w:ilvl="0" w:tplc="93DCED38">
      <w:start w:val="1"/>
      <w:numFmt w:val="decimal"/>
      <w:lvlText w:val="%1"/>
      <w:lvlJc w:val="left"/>
      <w:pPr>
        <w:ind w:left="990" w:hanging="360"/>
      </w:pPr>
      <w:rPr>
        <w:rFonts w:ascii="Calibri" w:eastAsia="Times New Roman" w:hAnsi="Calibri" w:cs="Times New Roman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1EB5159"/>
    <w:multiLevelType w:val="hybridMultilevel"/>
    <w:tmpl w:val="1E7CE842"/>
    <w:lvl w:ilvl="0" w:tplc="93DCED38">
      <w:start w:val="1"/>
      <w:numFmt w:val="decimal"/>
      <w:lvlText w:val="%1"/>
      <w:lvlJc w:val="left"/>
      <w:pPr>
        <w:ind w:left="717" w:hanging="360"/>
      </w:pPr>
      <w:rPr>
        <w:rFonts w:ascii="Calibri" w:eastAsia="Times New Roman" w:hAnsi="Calibri" w:cs="Times New Roman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4C17EB5"/>
    <w:multiLevelType w:val="hybridMultilevel"/>
    <w:tmpl w:val="472252E0"/>
    <w:lvl w:ilvl="0" w:tplc="2E224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581B9C" w:tentative="1">
      <w:start w:val="1"/>
      <w:numFmt w:val="lowerLetter"/>
      <w:lvlText w:val="%2."/>
      <w:lvlJc w:val="left"/>
      <w:pPr>
        <w:ind w:left="1440" w:hanging="360"/>
      </w:pPr>
    </w:lvl>
    <w:lvl w:ilvl="2" w:tplc="8DA2EBA6" w:tentative="1">
      <w:start w:val="1"/>
      <w:numFmt w:val="lowerRoman"/>
      <w:lvlText w:val="%3."/>
      <w:lvlJc w:val="right"/>
      <w:pPr>
        <w:ind w:left="2160" w:hanging="180"/>
      </w:pPr>
    </w:lvl>
    <w:lvl w:ilvl="3" w:tplc="0562EEF2" w:tentative="1">
      <w:start w:val="1"/>
      <w:numFmt w:val="decimal"/>
      <w:lvlText w:val="%4."/>
      <w:lvlJc w:val="left"/>
      <w:pPr>
        <w:ind w:left="2880" w:hanging="360"/>
      </w:pPr>
    </w:lvl>
    <w:lvl w:ilvl="4" w:tplc="4E64C5C2" w:tentative="1">
      <w:start w:val="1"/>
      <w:numFmt w:val="lowerLetter"/>
      <w:lvlText w:val="%5."/>
      <w:lvlJc w:val="left"/>
      <w:pPr>
        <w:ind w:left="3600" w:hanging="360"/>
      </w:pPr>
    </w:lvl>
    <w:lvl w:ilvl="5" w:tplc="5A06141A" w:tentative="1">
      <w:start w:val="1"/>
      <w:numFmt w:val="lowerRoman"/>
      <w:lvlText w:val="%6."/>
      <w:lvlJc w:val="right"/>
      <w:pPr>
        <w:ind w:left="4320" w:hanging="180"/>
      </w:pPr>
    </w:lvl>
    <w:lvl w:ilvl="6" w:tplc="9F144248" w:tentative="1">
      <w:start w:val="1"/>
      <w:numFmt w:val="decimal"/>
      <w:lvlText w:val="%7."/>
      <w:lvlJc w:val="left"/>
      <w:pPr>
        <w:ind w:left="5040" w:hanging="360"/>
      </w:pPr>
    </w:lvl>
    <w:lvl w:ilvl="7" w:tplc="36302228" w:tentative="1">
      <w:start w:val="1"/>
      <w:numFmt w:val="lowerLetter"/>
      <w:lvlText w:val="%8."/>
      <w:lvlJc w:val="left"/>
      <w:pPr>
        <w:ind w:left="5760" w:hanging="360"/>
      </w:pPr>
    </w:lvl>
    <w:lvl w:ilvl="8" w:tplc="A094EE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2403C"/>
    <w:multiLevelType w:val="hybridMultilevel"/>
    <w:tmpl w:val="F4064998"/>
    <w:lvl w:ilvl="0" w:tplc="AF2A7938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A55D7"/>
    <w:multiLevelType w:val="hybridMultilevel"/>
    <w:tmpl w:val="BA306B62"/>
    <w:lvl w:ilvl="0" w:tplc="237A5DDC">
      <w:start w:val="1"/>
      <w:numFmt w:val="lowerLetter"/>
      <w:lvlText w:val="(%1)"/>
      <w:lvlJc w:val="left"/>
      <w:pPr>
        <w:ind w:left="456" w:hanging="360"/>
      </w:pPr>
      <w:rPr>
        <w:rFonts w:asciiTheme="majorBidi" w:hAnsiTheme="majorBidi" w:cstheme="majorBidi" w:hint="default"/>
        <w:b/>
        <w:bCs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8" w15:restartNumberingAfterBreak="0">
    <w:nsid w:val="3FBB3979"/>
    <w:multiLevelType w:val="hybridMultilevel"/>
    <w:tmpl w:val="058C38D4"/>
    <w:lvl w:ilvl="0" w:tplc="A50689A6">
      <w:start w:val="1"/>
      <w:numFmt w:val="lowerLetter"/>
      <w:lvlText w:val="(%1)"/>
      <w:lvlJc w:val="left"/>
      <w:pPr>
        <w:ind w:left="5040" w:hanging="4992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 w15:restartNumberingAfterBreak="0">
    <w:nsid w:val="3FF26D84"/>
    <w:multiLevelType w:val="hybridMultilevel"/>
    <w:tmpl w:val="7DB2973A"/>
    <w:lvl w:ilvl="0" w:tplc="AF2A7938">
      <w:start w:val="1"/>
      <w:numFmt w:val="decimal"/>
      <w:lvlText w:val="%1"/>
      <w:lvlJc w:val="left"/>
      <w:pPr>
        <w:ind w:left="717" w:hanging="360"/>
      </w:pPr>
      <w:rPr>
        <w:rFonts w:ascii="Calibri" w:eastAsia="Times New Roman" w:hAnsi="Calibri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4A11EDD"/>
    <w:multiLevelType w:val="hybridMultilevel"/>
    <w:tmpl w:val="627E0816"/>
    <w:lvl w:ilvl="0" w:tplc="8EEC6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C25DC"/>
    <w:multiLevelType w:val="hybridMultilevel"/>
    <w:tmpl w:val="44EC8E34"/>
    <w:lvl w:ilvl="0" w:tplc="93DCED38">
      <w:start w:val="1"/>
      <w:numFmt w:val="decimal"/>
      <w:lvlText w:val="%1"/>
      <w:lvlJc w:val="left"/>
      <w:pPr>
        <w:ind w:left="717" w:hanging="360"/>
      </w:pPr>
      <w:rPr>
        <w:rFonts w:ascii="Calibri" w:eastAsia="Times New Roman" w:hAnsi="Calibri" w:cs="Times New Roman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BEE1D0F"/>
    <w:multiLevelType w:val="hybridMultilevel"/>
    <w:tmpl w:val="11F078C8"/>
    <w:lvl w:ilvl="0" w:tplc="93DCED38">
      <w:start w:val="1"/>
      <w:numFmt w:val="decimal"/>
      <w:lvlText w:val="%1"/>
      <w:lvlJc w:val="left"/>
      <w:pPr>
        <w:ind w:left="717" w:hanging="360"/>
      </w:pPr>
      <w:rPr>
        <w:rFonts w:ascii="Calibri" w:eastAsia="Times New Roman" w:hAnsi="Calibri" w:cs="Times New Roman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67D44F8"/>
    <w:multiLevelType w:val="hybridMultilevel"/>
    <w:tmpl w:val="2368D71E"/>
    <w:lvl w:ilvl="0" w:tplc="93DCED38">
      <w:start w:val="1"/>
      <w:numFmt w:val="decimal"/>
      <w:lvlText w:val="%1"/>
      <w:lvlJc w:val="left"/>
      <w:pPr>
        <w:ind w:left="717" w:hanging="360"/>
      </w:pPr>
      <w:rPr>
        <w:rFonts w:ascii="Calibri" w:eastAsia="Times New Roman" w:hAnsi="Calibri" w:cs="Times New Roman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A357492"/>
    <w:multiLevelType w:val="hybridMultilevel"/>
    <w:tmpl w:val="B11E8222"/>
    <w:lvl w:ilvl="0" w:tplc="AF2A7938">
      <w:start w:val="1"/>
      <w:numFmt w:val="decimal"/>
      <w:lvlText w:val="%1"/>
      <w:lvlJc w:val="left"/>
      <w:pPr>
        <w:ind w:left="897" w:hanging="360"/>
      </w:pPr>
      <w:rPr>
        <w:rFonts w:ascii="Calibri" w:eastAsia="Times New Roman" w:hAnsi="Calibri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5" w15:restartNumberingAfterBreak="0">
    <w:nsid w:val="5BEA75CA"/>
    <w:multiLevelType w:val="hybridMultilevel"/>
    <w:tmpl w:val="914A64F6"/>
    <w:lvl w:ilvl="0" w:tplc="CD605118">
      <w:start w:val="1"/>
      <w:numFmt w:val="decimal"/>
      <w:lvlText w:val="(%1)"/>
      <w:lvlJc w:val="left"/>
      <w:pPr>
        <w:ind w:left="25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44F6CA9"/>
    <w:multiLevelType w:val="hybridMultilevel"/>
    <w:tmpl w:val="C3621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8973A9"/>
    <w:multiLevelType w:val="hybridMultilevel"/>
    <w:tmpl w:val="2782FDAE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D11CE"/>
    <w:multiLevelType w:val="hybridMultilevel"/>
    <w:tmpl w:val="E318AD8C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C76B2"/>
    <w:multiLevelType w:val="hybridMultilevel"/>
    <w:tmpl w:val="6E72AC46"/>
    <w:lvl w:ilvl="0" w:tplc="7734942C">
      <w:start w:val="1"/>
      <w:numFmt w:val="lowerLetter"/>
      <w:lvlText w:val="(%1)"/>
      <w:lvlJc w:val="left"/>
      <w:pPr>
        <w:ind w:left="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6F321044"/>
    <w:multiLevelType w:val="hybridMultilevel"/>
    <w:tmpl w:val="157C985E"/>
    <w:lvl w:ilvl="0" w:tplc="C2DAD89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74B05"/>
    <w:multiLevelType w:val="hybridMultilevel"/>
    <w:tmpl w:val="748202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2C413D8"/>
    <w:multiLevelType w:val="hybridMultilevel"/>
    <w:tmpl w:val="B5F030B8"/>
    <w:lvl w:ilvl="0" w:tplc="62664AD2">
      <w:numFmt w:val="decimal"/>
      <w:lvlText w:val="(%1)"/>
      <w:lvlJc w:val="left"/>
      <w:pPr>
        <w:ind w:left="243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 w15:restartNumberingAfterBreak="0">
    <w:nsid w:val="79115DF5"/>
    <w:multiLevelType w:val="hybridMultilevel"/>
    <w:tmpl w:val="ADDA34C0"/>
    <w:lvl w:ilvl="0" w:tplc="93DCED38">
      <w:start w:val="1"/>
      <w:numFmt w:val="decimal"/>
      <w:lvlText w:val="%1"/>
      <w:lvlJc w:val="left"/>
      <w:pPr>
        <w:ind w:left="717" w:hanging="360"/>
      </w:pPr>
      <w:rPr>
        <w:rFonts w:ascii="Calibri" w:eastAsia="Times New Roman" w:hAnsi="Calibri" w:cs="Times New Roman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9D11177"/>
    <w:multiLevelType w:val="hybridMultilevel"/>
    <w:tmpl w:val="ABF42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30"/>
  </w:num>
  <w:num w:numId="4">
    <w:abstractNumId w:val="8"/>
  </w:num>
  <w:num w:numId="5">
    <w:abstractNumId w:val="11"/>
  </w:num>
  <w:num w:numId="6">
    <w:abstractNumId w:val="0"/>
  </w:num>
  <w:num w:numId="7">
    <w:abstractNumId w:val="25"/>
  </w:num>
  <w:num w:numId="8">
    <w:abstractNumId w:val="20"/>
  </w:num>
  <w:num w:numId="9">
    <w:abstractNumId w:val="29"/>
  </w:num>
  <w:num w:numId="10">
    <w:abstractNumId w:val="2"/>
  </w:num>
  <w:num w:numId="11">
    <w:abstractNumId w:val="15"/>
  </w:num>
  <w:num w:numId="12">
    <w:abstractNumId w:val="28"/>
  </w:num>
  <w:num w:numId="13">
    <w:abstractNumId w:val="27"/>
  </w:num>
  <w:num w:numId="14">
    <w:abstractNumId w:val="32"/>
  </w:num>
  <w:num w:numId="15">
    <w:abstractNumId w:val="31"/>
  </w:num>
  <w:num w:numId="16">
    <w:abstractNumId w:val="18"/>
  </w:num>
  <w:num w:numId="17">
    <w:abstractNumId w:val="17"/>
  </w:num>
  <w:num w:numId="18">
    <w:abstractNumId w:val="26"/>
  </w:num>
  <w:num w:numId="19">
    <w:abstractNumId w:val="4"/>
  </w:num>
  <w:num w:numId="20">
    <w:abstractNumId w:val="16"/>
  </w:num>
  <w:num w:numId="21">
    <w:abstractNumId w:val="7"/>
  </w:num>
  <w:num w:numId="22">
    <w:abstractNumId w:val="13"/>
  </w:num>
  <w:num w:numId="23">
    <w:abstractNumId w:val="10"/>
  </w:num>
  <w:num w:numId="24">
    <w:abstractNumId w:val="14"/>
  </w:num>
  <w:num w:numId="25">
    <w:abstractNumId w:val="23"/>
  </w:num>
  <w:num w:numId="26">
    <w:abstractNumId w:val="22"/>
  </w:num>
  <w:num w:numId="27">
    <w:abstractNumId w:val="5"/>
  </w:num>
  <w:num w:numId="28">
    <w:abstractNumId w:val="33"/>
  </w:num>
  <w:num w:numId="29">
    <w:abstractNumId w:val="1"/>
  </w:num>
  <w:num w:numId="30">
    <w:abstractNumId w:val="21"/>
  </w:num>
  <w:num w:numId="31">
    <w:abstractNumId w:val="9"/>
  </w:num>
  <w:num w:numId="32">
    <w:abstractNumId w:val="12"/>
  </w:num>
  <w:num w:numId="33">
    <w:abstractNumId w:val="19"/>
  </w:num>
  <w:num w:numId="34">
    <w:abstractNumId w:val="2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D0EFD"/>
    <w:rsid w:val="000B4C30"/>
    <w:rsid w:val="006D620C"/>
    <w:rsid w:val="007C66A7"/>
    <w:rsid w:val="00AA6528"/>
    <w:rsid w:val="00C97F24"/>
    <w:rsid w:val="00D770B0"/>
    <w:rsid w:val="00DA668B"/>
    <w:rsid w:val="00DD0EFD"/>
    <w:rsid w:val="00E5596D"/>
    <w:rsid w:val="00F8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158A4-AFEA-40C1-8C3E-EC55BFAD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20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D620C"/>
    <w:pPr>
      <w:keepNext/>
      <w:spacing w:after="0" w:line="240" w:lineRule="auto"/>
      <w:outlineLvl w:val="0"/>
    </w:pPr>
    <w:rPr>
      <w:rFonts w:ascii="Times New Roman" w:eastAsia="Batang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20C"/>
    <w:rPr>
      <w:rFonts w:ascii="Times New Roman" w:eastAsia="Batang" w:hAnsi="Times New Roman" w:cs="Times New Roman"/>
      <w:b/>
      <w:bCs/>
      <w:sz w:val="24"/>
      <w:szCs w:val="24"/>
    </w:rPr>
  </w:style>
  <w:style w:type="paragraph" w:customStyle="1" w:styleId="aug">
    <w:name w:val="aug"/>
    <w:basedOn w:val="Normal"/>
    <w:rsid w:val="006D620C"/>
    <w:pPr>
      <w:spacing w:after="240" w:line="480" w:lineRule="atLeast"/>
    </w:pPr>
    <w:rPr>
      <w:szCs w:val="20"/>
      <w:lang w:val="en-GB"/>
    </w:rPr>
  </w:style>
  <w:style w:type="paragraph" w:customStyle="1" w:styleId="aff">
    <w:name w:val="aff"/>
    <w:basedOn w:val="Normal"/>
    <w:rsid w:val="006D620C"/>
    <w:pPr>
      <w:spacing w:after="240" w:line="480" w:lineRule="atLeast"/>
    </w:pPr>
    <w:rPr>
      <w:i/>
      <w:szCs w:val="20"/>
      <w:lang w:val="en-GB"/>
    </w:rPr>
  </w:style>
  <w:style w:type="paragraph" w:customStyle="1" w:styleId="Default">
    <w:name w:val="Default"/>
    <w:rsid w:val="006D62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6D620C"/>
    <w:pPr>
      <w:ind w:left="720"/>
      <w:contextualSpacing/>
    </w:pPr>
  </w:style>
  <w:style w:type="paragraph" w:styleId="NoSpacing">
    <w:name w:val="No Spacing"/>
    <w:uiPriority w:val="1"/>
    <w:qFormat/>
    <w:rsid w:val="006D620C"/>
    <w:pPr>
      <w:spacing w:after="0" w:line="240" w:lineRule="auto"/>
    </w:pPr>
  </w:style>
  <w:style w:type="character" w:customStyle="1" w:styleId="dbdate">
    <w:name w:val="dbdate"/>
    <w:basedOn w:val="DefaultParagraphFont"/>
    <w:rsid w:val="006D620C"/>
  </w:style>
  <w:style w:type="table" w:styleId="TableGrid">
    <w:name w:val="Table Grid"/>
    <w:basedOn w:val="TableNormal"/>
    <w:uiPriority w:val="59"/>
    <w:rsid w:val="006D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6D620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D620C"/>
    <w:rPr>
      <w:rFonts w:ascii="Calibri" w:hAnsi="Calibri"/>
      <w:noProof/>
    </w:rPr>
  </w:style>
  <w:style w:type="paragraph" w:styleId="Footer">
    <w:name w:val="footer"/>
    <w:basedOn w:val="Normal"/>
    <w:link w:val="FooterChar"/>
    <w:uiPriority w:val="99"/>
    <w:unhideWhenUsed/>
    <w:rsid w:val="006D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20C"/>
  </w:style>
  <w:style w:type="character" w:customStyle="1" w:styleId="texhtml">
    <w:name w:val="texhtml"/>
    <w:basedOn w:val="DefaultParagraphFont"/>
    <w:rsid w:val="006D620C"/>
  </w:style>
  <w:style w:type="paragraph" w:styleId="BalloonText">
    <w:name w:val="Balloon Text"/>
    <w:basedOn w:val="Normal"/>
    <w:link w:val="BalloonTextChar"/>
    <w:uiPriority w:val="99"/>
    <w:semiHidden/>
    <w:unhideWhenUsed/>
    <w:rsid w:val="006D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0C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6D620C"/>
    <w:pPr>
      <w:framePr w:hSpace="187" w:wrap="around" w:vAnchor="text" w:hAnchor="margin" w:y="1"/>
      <w:spacing w:after="0"/>
      <w:suppressOverlap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620C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6D62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20C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20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20C"/>
  </w:style>
  <w:style w:type="character" w:customStyle="1" w:styleId="apple-converted-space">
    <w:name w:val="apple-converted-space"/>
    <w:basedOn w:val="DefaultParagraphFont"/>
    <w:rsid w:val="006D620C"/>
  </w:style>
  <w:style w:type="character" w:styleId="Emphasis">
    <w:name w:val="Emphasis"/>
    <w:basedOn w:val="DefaultParagraphFont"/>
    <w:uiPriority w:val="20"/>
    <w:qFormat/>
    <w:rsid w:val="006D620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D620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20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62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2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uiPriority w:val="22"/>
    <w:qFormat/>
    <w:rsid w:val="006D620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artsbin.com/view/24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1698</Words>
  <Characters>9684</Characters>
  <Application>Microsoft Office Word</Application>
  <DocSecurity>0</DocSecurity>
  <Lines>80</Lines>
  <Paragraphs>22</Paragraphs>
  <ScaleCrop>false</ScaleCrop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AL Rifai</dc:creator>
  <cp:keywords/>
  <dc:description/>
  <cp:lastModifiedBy>Rami AL Rifai</cp:lastModifiedBy>
  <cp:revision>10</cp:revision>
  <dcterms:created xsi:type="dcterms:W3CDTF">2017-05-16T05:41:00Z</dcterms:created>
  <dcterms:modified xsi:type="dcterms:W3CDTF">2017-10-19T05:02:00Z</dcterms:modified>
</cp:coreProperties>
</file>