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48CE91" w14:textId="422FAE1B" w:rsidR="002D165D" w:rsidRPr="008C050F" w:rsidRDefault="008C050F" w:rsidP="002D165D">
      <w:pPr>
        <w:rPr>
          <w:rFonts w:ascii="Arial" w:hAnsi="Arial" w:cs="Arial"/>
          <w:b/>
          <w:color w:val="000000" w:themeColor="text1"/>
          <w:sz w:val="18"/>
          <w:szCs w:val="18"/>
        </w:rPr>
      </w:pPr>
      <w:r w:rsidRPr="008C050F">
        <w:rPr>
          <w:rFonts w:ascii="Arial" w:hAnsi="Arial" w:cs="Arial"/>
          <w:b/>
          <w:color w:val="000000" w:themeColor="text1"/>
          <w:sz w:val="18"/>
          <w:szCs w:val="18"/>
        </w:rPr>
        <w:t>S1</w:t>
      </w:r>
      <w:r w:rsidR="00233F1D">
        <w:rPr>
          <w:rFonts w:ascii="Arial" w:hAnsi="Arial" w:cs="Arial"/>
          <w:b/>
          <w:color w:val="000000" w:themeColor="text1"/>
          <w:sz w:val="18"/>
          <w:szCs w:val="18"/>
        </w:rPr>
        <w:t xml:space="preserve"> Table</w:t>
      </w:r>
      <w:r w:rsidRPr="008C050F">
        <w:rPr>
          <w:rFonts w:ascii="Arial" w:hAnsi="Arial" w:cs="Arial"/>
          <w:b/>
          <w:color w:val="000000" w:themeColor="text1"/>
          <w:sz w:val="18"/>
          <w:szCs w:val="18"/>
        </w:rPr>
        <w:t xml:space="preserve">: A comparison of the traditional </w:t>
      </w:r>
      <w:bookmarkStart w:id="0" w:name="_GoBack"/>
      <w:bookmarkEnd w:id="0"/>
      <w:r w:rsidRPr="008C050F">
        <w:rPr>
          <w:rFonts w:ascii="Arial" w:hAnsi="Arial" w:cs="Arial"/>
          <w:b/>
          <w:color w:val="000000" w:themeColor="text1"/>
          <w:sz w:val="18"/>
          <w:szCs w:val="18"/>
        </w:rPr>
        <w:t>weighting method versus the delivery caseload method for assessing facility preparedness</w:t>
      </w:r>
    </w:p>
    <w:p w14:paraId="2339EE44" w14:textId="77777777" w:rsidR="008C050F" w:rsidRDefault="008C050F" w:rsidP="002D165D">
      <w:pPr>
        <w:rPr>
          <w:rFonts w:ascii="Arial" w:hAnsi="Arial" w:cs="Arial"/>
          <w:color w:val="000000" w:themeColor="text1"/>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2A0" w:firstRow="1" w:lastRow="0" w:firstColumn="1" w:lastColumn="0" w:noHBand="1" w:noVBand="0"/>
      </w:tblPr>
      <w:tblGrid>
        <w:gridCol w:w="1137"/>
        <w:gridCol w:w="6403"/>
        <w:gridCol w:w="4312"/>
      </w:tblGrid>
      <w:tr w:rsidR="00EA055C" w14:paraId="20A839DC" w14:textId="77777777" w:rsidTr="00D22514">
        <w:tc>
          <w:tcPr>
            <w:tcW w:w="1137" w:type="dxa"/>
            <w:tcBorders>
              <w:bottom w:val="single" w:sz="4" w:space="0" w:color="auto"/>
            </w:tcBorders>
          </w:tcPr>
          <w:p w14:paraId="47295C5A" w14:textId="77777777" w:rsidR="00EA055C" w:rsidRPr="00AF5C31" w:rsidRDefault="00EA055C" w:rsidP="002D165D">
            <w:pPr>
              <w:rPr>
                <w:rFonts w:ascii="Arial" w:hAnsi="Arial" w:cs="Arial"/>
                <w:b/>
                <w:color w:val="000000" w:themeColor="text1"/>
                <w:sz w:val="18"/>
                <w:szCs w:val="18"/>
              </w:rPr>
            </w:pPr>
            <w:r>
              <w:rPr>
                <w:rFonts w:ascii="Arial" w:hAnsi="Arial" w:cs="Arial"/>
                <w:b/>
                <w:color w:val="000000" w:themeColor="text1"/>
                <w:sz w:val="18"/>
                <w:szCs w:val="18"/>
              </w:rPr>
              <w:t>Method</w:t>
            </w:r>
          </w:p>
        </w:tc>
        <w:tc>
          <w:tcPr>
            <w:tcW w:w="6403" w:type="dxa"/>
            <w:tcBorders>
              <w:bottom w:val="single" w:sz="4" w:space="0" w:color="auto"/>
            </w:tcBorders>
          </w:tcPr>
          <w:p w14:paraId="18C8D412" w14:textId="77777777" w:rsidR="00EA055C" w:rsidRPr="00EA055C" w:rsidRDefault="00EA055C" w:rsidP="002D165D">
            <w:pPr>
              <w:rPr>
                <w:rFonts w:ascii="Arial" w:hAnsi="Arial" w:cs="Arial"/>
                <w:b/>
                <w:color w:val="000000" w:themeColor="text1"/>
                <w:sz w:val="18"/>
                <w:szCs w:val="18"/>
              </w:rPr>
            </w:pPr>
            <w:r w:rsidRPr="00EA055C">
              <w:rPr>
                <w:rFonts w:ascii="Arial" w:hAnsi="Arial" w:cs="Arial"/>
                <w:b/>
                <w:color w:val="000000" w:themeColor="text1"/>
                <w:sz w:val="18"/>
                <w:szCs w:val="18"/>
              </w:rPr>
              <w:t>Formula</w:t>
            </w:r>
          </w:p>
        </w:tc>
        <w:tc>
          <w:tcPr>
            <w:tcW w:w="4312" w:type="dxa"/>
            <w:tcBorders>
              <w:bottom w:val="single" w:sz="4" w:space="0" w:color="auto"/>
            </w:tcBorders>
          </w:tcPr>
          <w:p w14:paraId="6B7C752D" w14:textId="77777777" w:rsidR="00EA055C" w:rsidRPr="00EA055C" w:rsidRDefault="006D3F93" w:rsidP="002D165D">
            <w:pPr>
              <w:rPr>
                <w:rFonts w:ascii="Arial" w:hAnsi="Arial" w:cs="Arial"/>
                <w:b/>
                <w:color w:val="000000" w:themeColor="text1"/>
                <w:sz w:val="18"/>
                <w:szCs w:val="18"/>
              </w:rPr>
            </w:pPr>
            <w:r>
              <w:rPr>
                <w:rFonts w:ascii="Arial" w:hAnsi="Arial" w:cs="Arial"/>
                <w:b/>
                <w:color w:val="000000" w:themeColor="text1"/>
                <w:sz w:val="18"/>
                <w:szCs w:val="18"/>
              </w:rPr>
              <w:t xml:space="preserve">Example: </w:t>
            </w:r>
            <w:r w:rsidRPr="00D22514">
              <w:rPr>
                <w:rFonts w:ascii="Arial" w:eastAsia="Calibri" w:hAnsi="Arial" w:cs="Arial"/>
                <w:color w:val="000000" w:themeColor="text1"/>
                <w:sz w:val="18"/>
                <w:szCs w:val="18"/>
              </w:rPr>
              <w:t>Health Centre in Rift Valley province with 904 deliveries in past 12 months</w:t>
            </w:r>
          </w:p>
        </w:tc>
      </w:tr>
      <w:tr w:rsidR="00EA055C" w14:paraId="53898A38" w14:textId="77777777" w:rsidTr="00D22514">
        <w:trPr>
          <w:trHeight w:val="2508"/>
        </w:trPr>
        <w:tc>
          <w:tcPr>
            <w:tcW w:w="1137" w:type="dxa"/>
            <w:tcBorders>
              <w:top w:val="single" w:sz="4" w:space="0" w:color="auto"/>
              <w:bottom w:val="single" w:sz="4" w:space="0" w:color="auto"/>
            </w:tcBorders>
          </w:tcPr>
          <w:p w14:paraId="70C05FCC" w14:textId="77777777" w:rsidR="00EA055C" w:rsidRPr="004E593D" w:rsidRDefault="00EA055C" w:rsidP="002D165D">
            <w:pPr>
              <w:rPr>
                <w:rFonts w:ascii="Arial" w:hAnsi="Arial" w:cs="Arial"/>
                <w:color w:val="000000" w:themeColor="text1"/>
                <w:sz w:val="18"/>
                <w:szCs w:val="18"/>
              </w:rPr>
            </w:pPr>
          </w:p>
          <w:p w14:paraId="1F27FBC3" w14:textId="77777777" w:rsidR="00EA055C" w:rsidRPr="004E593D" w:rsidRDefault="00EA055C" w:rsidP="002D165D">
            <w:pPr>
              <w:rPr>
                <w:rFonts w:ascii="Arial" w:hAnsi="Arial" w:cs="Arial"/>
                <w:color w:val="000000" w:themeColor="text1"/>
                <w:sz w:val="18"/>
                <w:szCs w:val="18"/>
              </w:rPr>
            </w:pPr>
            <w:r w:rsidRPr="004E593D">
              <w:rPr>
                <w:rFonts w:ascii="Arial" w:hAnsi="Arial" w:cs="Arial"/>
                <w:color w:val="000000" w:themeColor="text1"/>
                <w:sz w:val="18"/>
                <w:szCs w:val="18"/>
              </w:rPr>
              <w:t>Traditional weighting method</w:t>
            </w:r>
          </w:p>
        </w:tc>
        <w:tc>
          <w:tcPr>
            <w:tcW w:w="6403" w:type="dxa"/>
            <w:tcBorders>
              <w:top w:val="single" w:sz="4" w:space="0" w:color="auto"/>
              <w:bottom w:val="single" w:sz="4" w:space="0" w:color="auto"/>
            </w:tcBorders>
          </w:tcPr>
          <w:p w14:paraId="5BF23BFC" w14:textId="77777777" w:rsidR="00EA055C" w:rsidRDefault="00EA055C" w:rsidP="00AF5C31">
            <w:pPr>
              <w:rPr>
                <w:rFonts w:ascii="Arial" w:eastAsia="Calibri" w:hAnsi="Arial" w:cs="Arial"/>
                <w:color w:val="000000" w:themeColor="text1"/>
                <w:sz w:val="18"/>
                <w:szCs w:val="18"/>
              </w:rPr>
            </w:pPr>
          </w:p>
          <w:p w14:paraId="76F40BB5" w14:textId="77777777" w:rsidR="00EA055C" w:rsidRDefault="00EA055C" w:rsidP="00AF5C31">
            <w:pPr>
              <w:rPr>
                <w:rFonts w:ascii="Arial" w:hAnsi="Arial" w:cs="Arial"/>
                <w:color w:val="000000" w:themeColor="text1"/>
                <w:sz w:val="18"/>
                <w:szCs w:val="18"/>
              </w:rPr>
            </w:pPr>
            <w:r w:rsidRPr="00EA055C">
              <w:rPr>
                <w:rFonts w:ascii="Arial" w:hAnsi="Arial" w:cs="Arial"/>
                <w:color w:val="000000" w:themeColor="text1"/>
                <w:sz w:val="18"/>
                <w:szCs w:val="18"/>
              </w:rPr>
              <w:t>Weighted proportion of total facilities in the dataset represented by a specific facility</w:t>
            </w:r>
            <w:r w:rsidR="00D22514">
              <w:rPr>
                <w:rFonts w:ascii="Arial" w:hAnsi="Arial" w:cs="Arial"/>
                <w:color w:val="000000" w:themeColor="text1"/>
                <w:sz w:val="18"/>
                <w:szCs w:val="18"/>
              </w:rPr>
              <w:t xml:space="preserve"> (due to over- or under-sampling of each facility type within a given region)</w:t>
            </w:r>
            <w:r>
              <w:rPr>
                <w:rFonts w:ascii="Arial" w:hAnsi="Arial" w:cs="Arial"/>
                <w:color w:val="000000" w:themeColor="text1"/>
                <w:sz w:val="18"/>
                <w:szCs w:val="18"/>
              </w:rPr>
              <w:t>:</w:t>
            </w:r>
          </w:p>
          <w:p w14:paraId="0B7224CE" w14:textId="77777777" w:rsidR="004E593D" w:rsidRDefault="004E593D" w:rsidP="00260553">
            <w:pPr>
              <w:rPr>
                <w:rFonts w:ascii="Arial" w:eastAsiaTheme="minorEastAsia" w:hAnsi="Arial" w:cs="Arial"/>
                <w:i/>
                <w:color w:val="000000" w:themeColor="text1"/>
                <w:sz w:val="18"/>
                <w:szCs w:val="16"/>
              </w:rPr>
            </w:pPr>
          </w:p>
          <w:p w14:paraId="34FAA4AA" w14:textId="77777777" w:rsidR="004E593D" w:rsidRDefault="004E593D" w:rsidP="00260553">
            <w:pPr>
              <w:rPr>
                <w:rFonts w:ascii="Arial" w:eastAsiaTheme="minorEastAsia" w:hAnsi="Arial" w:cs="Arial"/>
                <w:i/>
                <w:color w:val="000000" w:themeColor="text1"/>
                <w:sz w:val="18"/>
                <w:szCs w:val="16"/>
              </w:rPr>
            </w:pPr>
          </w:p>
          <w:p w14:paraId="0E8BDF95" w14:textId="77777777" w:rsidR="004E593D" w:rsidRDefault="004E593D" w:rsidP="00260553">
            <w:pPr>
              <w:rPr>
                <w:rFonts w:ascii="Arial" w:eastAsiaTheme="minorEastAsia" w:hAnsi="Arial" w:cs="Arial"/>
                <w:i/>
                <w:color w:val="000000" w:themeColor="text1"/>
                <w:sz w:val="18"/>
                <w:szCs w:val="16"/>
              </w:rPr>
            </w:pPr>
          </w:p>
          <w:p w14:paraId="270D1818" w14:textId="77777777" w:rsidR="00EA055C" w:rsidRDefault="004E593D" w:rsidP="006D3F93">
            <w:pPr>
              <w:rPr>
                <w:rFonts w:ascii="Arial" w:hAnsi="Arial" w:cs="Arial"/>
                <w:color w:val="000000" w:themeColor="text1"/>
                <w:sz w:val="18"/>
                <w:szCs w:val="18"/>
              </w:rPr>
            </w:pPr>
            <m:oMathPara>
              <m:oMath>
                <m:r>
                  <m:rPr>
                    <m:sty m:val="p"/>
                  </m:rPr>
                  <w:rPr>
                    <w:rFonts w:ascii="Cambria Math" w:hAnsi="Cambria Math" w:cs="Cambria Math"/>
                    <w:color w:val="000000" w:themeColor="text1"/>
                    <w:sz w:val="18"/>
                    <w:szCs w:val="16"/>
                  </w:rPr>
                  <m:t>=</m:t>
                </m:r>
                <m:f>
                  <m:fPr>
                    <m:ctrlPr>
                      <w:rPr>
                        <w:rFonts w:ascii="Cambria Math" w:hAnsi="Cambria Math" w:cs="Arial"/>
                        <w:color w:val="000000" w:themeColor="text1"/>
                        <w:sz w:val="18"/>
                        <w:szCs w:val="16"/>
                      </w:rPr>
                    </m:ctrlPr>
                  </m:fPr>
                  <m:num>
                    <m:r>
                      <w:rPr>
                        <w:rFonts w:ascii="Cambria Math" w:hAnsi="Cambria Math" w:cs="Arial"/>
                        <w:color w:val="000000" w:themeColor="text1"/>
                        <w:sz w:val="18"/>
                        <w:szCs w:val="16"/>
                      </w:rPr>
                      <m:t>facility weight</m:t>
                    </m:r>
                    <m:ctrlPr>
                      <w:rPr>
                        <w:rFonts w:ascii="Cambria Math" w:hAnsi="Cambria Math" w:cs="Cambria Math"/>
                        <w:color w:val="000000" w:themeColor="text1"/>
                        <w:sz w:val="18"/>
                        <w:szCs w:val="16"/>
                      </w:rPr>
                    </m:ctrlPr>
                  </m:num>
                  <m:den>
                    <m:nary>
                      <m:naryPr>
                        <m:chr m:val="∑"/>
                        <m:limLoc m:val="undOvr"/>
                        <m:subHide m:val="1"/>
                        <m:supHide m:val="1"/>
                        <m:ctrlPr>
                          <w:rPr>
                            <w:rFonts w:ascii="Cambria Math" w:hAnsi="Cambria Math" w:cs="Arial"/>
                            <w:i/>
                            <w:color w:val="000000" w:themeColor="text1"/>
                            <w:sz w:val="18"/>
                            <w:szCs w:val="16"/>
                          </w:rPr>
                        </m:ctrlPr>
                      </m:naryPr>
                      <m:sub/>
                      <m:sup/>
                      <m:e>
                        <m:r>
                          <w:rPr>
                            <w:rFonts w:ascii="Cambria Math" w:hAnsi="Cambria Math" w:cs="Arial"/>
                            <w:color w:val="000000" w:themeColor="text1"/>
                            <w:sz w:val="18"/>
                            <w:szCs w:val="16"/>
                          </w:rPr>
                          <m:t>values of facilitiy weights</m:t>
                        </m:r>
                      </m:e>
                    </m:nary>
                  </m:den>
                </m:f>
              </m:oMath>
            </m:oMathPara>
          </w:p>
        </w:tc>
        <w:tc>
          <w:tcPr>
            <w:tcW w:w="4312" w:type="dxa"/>
            <w:tcBorders>
              <w:top w:val="single" w:sz="4" w:space="0" w:color="auto"/>
              <w:bottom w:val="single" w:sz="4" w:space="0" w:color="auto"/>
            </w:tcBorders>
          </w:tcPr>
          <w:p w14:paraId="3C6216B4" w14:textId="77777777" w:rsidR="00EA055C" w:rsidRDefault="00EA055C" w:rsidP="00260553">
            <w:pPr>
              <w:rPr>
                <w:rFonts w:ascii="Arial" w:eastAsia="Calibri" w:hAnsi="Arial" w:cs="Arial"/>
                <w:color w:val="000000" w:themeColor="text1"/>
                <w:sz w:val="18"/>
                <w:szCs w:val="18"/>
              </w:rPr>
            </w:pPr>
          </w:p>
          <w:p w14:paraId="1A0DC3E5" w14:textId="77777777" w:rsidR="00EA055C" w:rsidRPr="00D22514" w:rsidRDefault="00EA055C" w:rsidP="002D165D">
            <w:pPr>
              <w:rPr>
                <w:rFonts w:ascii="Arial" w:eastAsia="Calibri" w:hAnsi="Arial" w:cs="Arial"/>
                <w:color w:val="000000" w:themeColor="text1"/>
                <w:sz w:val="18"/>
                <w:szCs w:val="18"/>
              </w:rPr>
            </w:pPr>
            <w:r w:rsidRPr="00D22514">
              <w:rPr>
                <w:rFonts w:ascii="Arial" w:eastAsia="Calibri" w:hAnsi="Arial" w:cs="Arial"/>
                <w:color w:val="000000" w:themeColor="text1"/>
                <w:sz w:val="18"/>
                <w:szCs w:val="18"/>
              </w:rPr>
              <w:t xml:space="preserve">Traditional survey weight for a health centre in Rift Valley Province </w:t>
            </w:r>
            <w:r w:rsidR="004E593D" w:rsidRPr="00D22514">
              <w:rPr>
                <w:rFonts w:ascii="Arial" w:eastAsia="Calibri" w:hAnsi="Arial" w:cs="Arial"/>
                <w:color w:val="000000" w:themeColor="text1"/>
                <w:sz w:val="18"/>
                <w:szCs w:val="18"/>
              </w:rPr>
              <w:t xml:space="preserve">is </w:t>
            </w:r>
            <w:r w:rsidRPr="00D22514">
              <w:rPr>
                <w:rFonts w:ascii="Arial" w:eastAsia="Calibri" w:hAnsi="Arial" w:cs="Arial"/>
                <w:color w:val="000000" w:themeColor="text1"/>
                <w:sz w:val="18"/>
                <w:szCs w:val="18"/>
              </w:rPr>
              <w:t>1.652</w:t>
            </w:r>
          </w:p>
          <w:p w14:paraId="1D20ED21" w14:textId="77777777" w:rsidR="004E593D" w:rsidRDefault="004E593D" w:rsidP="004E593D">
            <w:pPr>
              <w:rPr>
                <w:rFonts w:ascii="Arial" w:eastAsia="Calibri" w:hAnsi="Arial" w:cs="Arial"/>
                <w:color w:val="000000" w:themeColor="text1"/>
                <w:sz w:val="18"/>
                <w:szCs w:val="18"/>
              </w:rPr>
            </w:pPr>
          </w:p>
          <w:p w14:paraId="1335C2AA" w14:textId="77777777" w:rsidR="004E593D" w:rsidRDefault="004E593D" w:rsidP="004E593D">
            <w:pPr>
              <w:rPr>
                <w:rFonts w:ascii="Arial" w:eastAsia="Calibri" w:hAnsi="Arial" w:cs="Arial"/>
                <w:color w:val="000000" w:themeColor="text1"/>
                <w:sz w:val="18"/>
                <w:szCs w:val="18"/>
              </w:rPr>
            </w:pPr>
            <w:r>
              <w:rPr>
                <w:rFonts w:ascii="Arial" w:eastAsia="Calibri" w:hAnsi="Arial" w:cs="Arial"/>
                <w:color w:val="000000" w:themeColor="text1"/>
                <w:sz w:val="18"/>
                <w:szCs w:val="18"/>
              </w:rPr>
              <w:t>T</w:t>
            </w:r>
            <w:r w:rsidRPr="00C420B4">
              <w:rPr>
                <w:rFonts w:ascii="Arial" w:eastAsia="Calibri" w:hAnsi="Arial" w:cs="Arial"/>
                <w:color w:val="000000" w:themeColor="text1"/>
                <w:sz w:val="18"/>
                <w:szCs w:val="18"/>
              </w:rPr>
              <w:t xml:space="preserve">he </w:t>
            </w:r>
            <w:r w:rsidRPr="00320F10">
              <w:rPr>
                <w:rFonts w:ascii="Arial" w:eastAsia="Calibri" w:hAnsi="Arial" w:cs="Arial"/>
                <w:color w:val="000000" w:themeColor="text1"/>
                <w:sz w:val="18"/>
                <w:szCs w:val="18"/>
              </w:rPr>
              <w:t xml:space="preserve">weighted proportion of </w:t>
            </w:r>
            <w:r w:rsidR="006D3F93" w:rsidRPr="00320F10">
              <w:rPr>
                <w:rFonts w:ascii="Arial" w:eastAsia="Calibri" w:hAnsi="Arial" w:cs="Arial"/>
                <w:color w:val="000000" w:themeColor="text1"/>
                <w:sz w:val="18"/>
                <w:szCs w:val="18"/>
              </w:rPr>
              <w:t>all</w:t>
            </w:r>
            <w:r w:rsidRPr="00320F10">
              <w:rPr>
                <w:rFonts w:ascii="Arial" w:eastAsia="Calibri" w:hAnsi="Arial" w:cs="Arial"/>
                <w:color w:val="000000" w:themeColor="text1"/>
                <w:sz w:val="18"/>
                <w:szCs w:val="18"/>
              </w:rPr>
              <w:t xml:space="preserve"> facilities</w:t>
            </w:r>
            <w:r>
              <w:rPr>
                <w:rFonts w:ascii="Arial" w:eastAsia="Calibri" w:hAnsi="Arial" w:cs="Arial"/>
                <w:color w:val="000000" w:themeColor="text1"/>
                <w:sz w:val="18"/>
                <w:szCs w:val="18"/>
              </w:rPr>
              <w:t xml:space="preserve"> in the dataset represented by this facility is:</w:t>
            </w:r>
          </w:p>
          <w:p w14:paraId="1079A5AA" w14:textId="77777777" w:rsidR="00EA055C" w:rsidRDefault="00EA055C" w:rsidP="002D165D">
            <w:pPr>
              <w:rPr>
                <w:rFonts w:ascii="Arial" w:eastAsia="Calibri" w:hAnsi="Arial" w:cs="Arial"/>
                <w:i/>
                <w:color w:val="000000" w:themeColor="text1"/>
                <w:sz w:val="18"/>
                <w:szCs w:val="18"/>
              </w:rPr>
            </w:pPr>
          </w:p>
          <w:p w14:paraId="25D51D30" w14:textId="77777777" w:rsidR="00EA055C" w:rsidRDefault="00EA055C" w:rsidP="00525FCA">
            <w:pPr>
              <w:rPr>
                <w:rFonts w:ascii="Arial" w:eastAsia="Calibri" w:hAnsi="Arial" w:cs="Arial"/>
                <w:color w:val="000000" w:themeColor="text1"/>
                <w:sz w:val="22"/>
                <w:szCs w:val="22"/>
              </w:rPr>
            </w:pPr>
            <w:r>
              <w:rPr>
                <w:rFonts w:ascii="Arial" w:eastAsia="Calibri" w:hAnsi="Arial" w:cs="Arial"/>
                <w:color w:val="000000" w:themeColor="text1"/>
                <w:sz w:val="18"/>
                <w:szCs w:val="18"/>
              </w:rPr>
              <w:t xml:space="preserve">= </w:t>
            </w:r>
            <m:oMath>
              <m:f>
                <m:fPr>
                  <m:ctrlPr>
                    <w:rPr>
                      <w:rFonts w:ascii="Cambria Math" w:hAnsi="Cambria Math" w:cs="Arial"/>
                      <w:color w:val="000000" w:themeColor="text1"/>
                      <w:sz w:val="22"/>
                      <w:szCs w:val="22"/>
                    </w:rPr>
                  </m:ctrlPr>
                </m:fPr>
                <m:num>
                  <m:r>
                    <w:rPr>
                      <w:rFonts w:ascii="Cambria Math" w:hAnsi="Cambria Math" w:cs="Arial"/>
                      <w:color w:val="000000" w:themeColor="text1"/>
                      <w:sz w:val="22"/>
                      <w:szCs w:val="22"/>
                    </w:rPr>
                    <m:t>1.652</m:t>
                  </m:r>
                  <m:ctrlPr>
                    <w:rPr>
                      <w:rFonts w:ascii="Cambria Math" w:hAnsi="Cambria Math" w:cs="Cambria Math"/>
                      <w:color w:val="000000" w:themeColor="text1"/>
                      <w:sz w:val="22"/>
                      <w:szCs w:val="22"/>
                    </w:rPr>
                  </m:ctrlPr>
                </m:num>
                <m:den>
                  <m:r>
                    <w:rPr>
                      <w:rFonts w:ascii="Cambria Math" w:hAnsi="Cambria Math" w:cs="Arial"/>
                      <w:color w:val="000000" w:themeColor="text1"/>
                      <w:sz w:val="22"/>
                      <w:szCs w:val="22"/>
                    </w:rPr>
                    <m:t>207.33 total weighted facilities#</m:t>
                  </m:r>
                </m:den>
              </m:f>
            </m:oMath>
            <w:r>
              <w:rPr>
                <w:rFonts w:ascii="Arial" w:eastAsia="Calibri" w:hAnsi="Arial" w:cs="Arial"/>
                <w:color w:val="000000" w:themeColor="text1"/>
                <w:sz w:val="22"/>
                <w:szCs w:val="22"/>
              </w:rPr>
              <w:t xml:space="preserve"> </w:t>
            </w:r>
          </w:p>
          <w:p w14:paraId="7BCD7747" w14:textId="77777777" w:rsidR="00EA055C" w:rsidRDefault="00EA055C" w:rsidP="00525FCA">
            <w:pPr>
              <w:rPr>
                <w:rFonts w:ascii="Arial" w:eastAsia="Calibri" w:hAnsi="Arial" w:cs="Arial"/>
                <w:color w:val="000000" w:themeColor="text1"/>
                <w:sz w:val="22"/>
                <w:szCs w:val="22"/>
              </w:rPr>
            </w:pPr>
          </w:p>
          <w:p w14:paraId="1465CB84" w14:textId="77777777" w:rsidR="004E593D" w:rsidRDefault="00EA055C" w:rsidP="00525FCA">
            <w:pPr>
              <w:rPr>
                <w:rFonts w:ascii="Arial" w:eastAsia="Calibri" w:hAnsi="Arial" w:cs="Arial"/>
                <w:color w:val="000000" w:themeColor="text1"/>
                <w:sz w:val="18"/>
                <w:szCs w:val="18"/>
              </w:rPr>
            </w:pPr>
            <w:r>
              <w:rPr>
                <w:rFonts w:ascii="Arial" w:eastAsia="Calibri" w:hAnsi="Arial" w:cs="Arial"/>
                <w:color w:val="000000" w:themeColor="text1"/>
                <w:sz w:val="22"/>
                <w:szCs w:val="22"/>
              </w:rPr>
              <w:t xml:space="preserve">= </w:t>
            </w:r>
            <w:r w:rsidRPr="00C420B4">
              <w:rPr>
                <w:rFonts w:ascii="Arial" w:eastAsia="Calibri" w:hAnsi="Arial" w:cs="Arial"/>
                <w:color w:val="000000" w:themeColor="text1"/>
                <w:sz w:val="18"/>
                <w:szCs w:val="18"/>
              </w:rPr>
              <w:t>0.007</w:t>
            </w:r>
          </w:p>
          <w:p w14:paraId="203D5003" w14:textId="77777777" w:rsidR="00EA055C" w:rsidRDefault="00EA055C" w:rsidP="00525FCA">
            <w:pPr>
              <w:rPr>
                <w:rFonts w:ascii="Arial" w:eastAsia="Calibri" w:hAnsi="Arial" w:cs="Arial"/>
                <w:color w:val="000000" w:themeColor="text1"/>
                <w:sz w:val="18"/>
                <w:szCs w:val="18"/>
              </w:rPr>
            </w:pPr>
          </w:p>
          <w:p w14:paraId="6B333A62" w14:textId="77777777" w:rsidR="00EA055C" w:rsidRDefault="00EA055C" w:rsidP="00525FCA">
            <w:pPr>
              <w:rPr>
                <w:rFonts w:ascii="Arial" w:eastAsia="Calibri" w:hAnsi="Arial" w:cs="Arial"/>
                <w:color w:val="000000" w:themeColor="text1"/>
                <w:sz w:val="18"/>
                <w:szCs w:val="18"/>
              </w:rPr>
            </w:pPr>
            <w:r>
              <w:rPr>
                <w:rFonts w:ascii="Arial" w:eastAsia="Calibri" w:hAnsi="Arial" w:cs="Arial"/>
                <w:color w:val="000000" w:themeColor="text1"/>
                <w:sz w:val="18"/>
                <w:szCs w:val="18"/>
              </w:rPr>
              <w:t xml:space="preserve">Each health </w:t>
            </w:r>
            <w:proofErr w:type="spellStart"/>
            <w:r>
              <w:rPr>
                <w:rFonts w:ascii="Arial" w:eastAsia="Calibri" w:hAnsi="Arial" w:cs="Arial"/>
                <w:color w:val="000000" w:themeColor="text1"/>
                <w:sz w:val="18"/>
                <w:szCs w:val="18"/>
              </w:rPr>
              <w:t>centre</w:t>
            </w:r>
            <w:proofErr w:type="spellEnd"/>
            <w:r>
              <w:rPr>
                <w:rFonts w:ascii="Arial" w:eastAsia="Calibri" w:hAnsi="Arial" w:cs="Arial"/>
                <w:color w:val="000000" w:themeColor="text1"/>
                <w:sz w:val="18"/>
                <w:szCs w:val="18"/>
              </w:rPr>
              <w:t xml:space="preserve"> in Rift Valley province that was included in the survey has the same facility weight (1.652) even though the number of delivery clients in the past 12 months ranged from 16 to 904.</w:t>
            </w:r>
          </w:p>
          <w:p w14:paraId="2753C3C1" w14:textId="77777777" w:rsidR="00EA055C" w:rsidRDefault="00EA055C" w:rsidP="00525FCA">
            <w:pPr>
              <w:rPr>
                <w:rFonts w:ascii="Arial" w:hAnsi="Arial" w:cs="Arial"/>
                <w:color w:val="000000" w:themeColor="text1"/>
                <w:sz w:val="18"/>
                <w:szCs w:val="18"/>
              </w:rPr>
            </w:pPr>
          </w:p>
        </w:tc>
      </w:tr>
      <w:tr w:rsidR="00EA055C" w:rsidRPr="00A9112C" w14:paraId="3CC907F7" w14:textId="77777777" w:rsidTr="00D22514">
        <w:tc>
          <w:tcPr>
            <w:tcW w:w="1137" w:type="dxa"/>
            <w:tcBorders>
              <w:top w:val="single" w:sz="4" w:space="0" w:color="auto"/>
              <w:bottom w:val="single" w:sz="4" w:space="0" w:color="auto"/>
            </w:tcBorders>
          </w:tcPr>
          <w:p w14:paraId="5E886EA4" w14:textId="77777777" w:rsidR="00D22514" w:rsidRPr="00D22514" w:rsidRDefault="00D22514" w:rsidP="00D22514">
            <w:pPr>
              <w:rPr>
                <w:rFonts w:ascii="Arial" w:hAnsi="Arial" w:cs="Arial"/>
                <w:color w:val="000000" w:themeColor="text1"/>
                <w:sz w:val="20"/>
                <w:szCs w:val="18"/>
              </w:rPr>
            </w:pPr>
          </w:p>
          <w:p w14:paraId="330983CA" w14:textId="77777777" w:rsidR="00EA055C" w:rsidRPr="004E593D" w:rsidRDefault="00EA055C" w:rsidP="00D22514">
            <w:pPr>
              <w:rPr>
                <w:rFonts w:ascii="Arial" w:hAnsi="Arial" w:cs="Arial"/>
                <w:color w:val="000000" w:themeColor="text1"/>
                <w:sz w:val="18"/>
                <w:szCs w:val="18"/>
              </w:rPr>
            </w:pPr>
            <w:r w:rsidRPr="004E593D">
              <w:rPr>
                <w:rFonts w:ascii="Arial" w:hAnsi="Arial" w:cs="Arial"/>
                <w:color w:val="000000" w:themeColor="text1"/>
                <w:sz w:val="18"/>
                <w:szCs w:val="18"/>
              </w:rPr>
              <w:t>New delivery caseload weights method</w:t>
            </w:r>
          </w:p>
        </w:tc>
        <w:tc>
          <w:tcPr>
            <w:tcW w:w="6403" w:type="dxa"/>
            <w:tcBorders>
              <w:top w:val="single" w:sz="4" w:space="0" w:color="auto"/>
              <w:bottom w:val="single" w:sz="4" w:space="0" w:color="auto"/>
            </w:tcBorders>
          </w:tcPr>
          <w:p w14:paraId="0F1199AD" w14:textId="77777777" w:rsidR="00EA055C" w:rsidRPr="00D22514" w:rsidRDefault="00EA055C" w:rsidP="00AF5C31">
            <w:pPr>
              <w:rPr>
                <w:rFonts w:ascii="Arial" w:hAnsi="Arial" w:cs="Arial"/>
                <w:color w:val="000000" w:themeColor="text1"/>
                <w:sz w:val="20"/>
                <w:szCs w:val="18"/>
              </w:rPr>
            </w:pPr>
          </w:p>
          <w:p w14:paraId="31414BA7" w14:textId="77777777" w:rsidR="00EA055C" w:rsidRPr="00EA055C" w:rsidRDefault="00EA055C" w:rsidP="00AF5C31">
            <w:pPr>
              <w:rPr>
                <w:rFonts w:ascii="Arial" w:hAnsi="Arial" w:cs="Arial"/>
                <w:color w:val="000000" w:themeColor="text1"/>
                <w:sz w:val="18"/>
                <w:szCs w:val="18"/>
              </w:rPr>
            </w:pPr>
            <w:r w:rsidRPr="00EA055C">
              <w:rPr>
                <w:rFonts w:ascii="Arial" w:hAnsi="Arial" w:cs="Arial"/>
                <w:color w:val="000000" w:themeColor="text1"/>
                <w:sz w:val="18"/>
                <w:szCs w:val="18"/>
              </w:rPr>
              <w:t>New weight variable for a specific facility</w:t>
            </w:r>
            <w:r>
              <w:rPr>
                <w:rFonts w:ascii="Arial" w:hAnsi="Arial" w:cs="Arial"/>
                <w:color w:val="000000" w:themeColor="text1"/>
                <w:sz w:val="18"/>
                <w:szCs w:val="18"/>
              </w:rPr>
              <w:t>:</w:t>
            </w:r>
          </w:p>
          <w:p w14:paraId="31001C49" w14:textId="77777777" w:rsidR="00EA055C" w:rsidRPr="00EA055C" w:rsidRDefault="00EA055C" w:rsidP="00AF5C31">
            <w:pPr>
              <w:rPr>
                <w:rFonts w:ascii="Arial" w:eastAsiaTheme="minorEastAsia" w:hAnsi="Arial" w:cs="Arial"/>
                <w:color w:val="000000" w:themeColor="text1"/>
                <w:sz w:val="16"/>
                <w:szCs w:val="16"/>
              </w:rPr>
            </w:pPr>
          </w:p>
          <w:p w14:paraId="6C49F575" w14:textId="77777777" w:rsidR="00D22514" w:rsidRPr="00D22514" w:rsidRDefault="00D22514" w:rsidP="00AF5C31">
            <w:pPr>
              <w:rPr>
                <w:rFonts w:ascii="Arial" w:eastAsiaTheme="minorEastAsia" w:hAnsi="Arial" w:cs="Arial"/>
                <w:color w:val="000000" w:themeColor="text1"/>
                <w:sz w:val="18"/>
                <w:szCs w:val="16"/>
              </w:rPr>
            </w:pPr>
          </w:p>
          <w:p w14:paraId="6C5A7AA5" w14:textId="77777777" w:rsidR="00EA055C" w:rsidRPr="00EA055C" w:rsidRDefault="004E593D" w:rsidP="00AF5C31">
            <w:pPr>
              <w:rPr>
                <w:rFonts w:ascii="Arial" w:hAnsi="Arial" w:cs="Arial"/>
                <w:color w:val="000000" w:themeColor="text1"/>
                <w:sz w:val="18"/>
                <w:szCs w:val="16"/>
              </w:rPr>
            </w:pPr>
            <m:oMathPara>
              <m:oMath>
                <m:r>
                  <m:rPr>
                    <m:sty m:val="p"/>
                  </m:rPr>
                  <w:rPr>
                    <w:rFonts w:ascii="Cambria Math" w:hAnsi="Cambria Math" w:cs="Cambria Math"/>
                    <w:color w:val="000000" w:themeColor="text1"/>
                    <w:sz w:val="18"/>
                    <w:szCs w:val="16"/>
                  </w:rPr>
                  <m:t>=</m:t>
                </m:r>
                <m:f>
                  <m:fPr>
                    <m:ctrlPr>
                      <w:rPr>
                        <w:rFonts w:ascii="Cambria Math" w:hAnsi="Cambria Math" w:cs="Arial"/>
                        <w:color w:val="000000" w:themeColor="text1"/>
                        <w:sz w:val="18"/>
                        <w:szCs w:val="16"/>
                      </w:rPr>
                    </m:ctrlPr>
                  </m:fPr>
                  <m:num>
                    <m:d>
                      <m:dPr>
                        <m:ctrlPr>
                          <w:rPr>
                            <w:rFonts w:ascii="Cambria Math" w:hAnsi="Cambria Math" w:cs="Arial"/>
                            <w:i/>
                            <w:color w:val="000000" w:themeColor="text1"/>
                            <w:sz w:val="18"/>
                            <w:szCs w:val="16"/>
                          </w:rPr>
                        </m:ctrlPr>
                      </m:dPr>
                      <m:e>
                        <m:r>
                          <w:rPr>
                            <w:rFonts w:ascii="Cambria Math" w:hAnsi="Cambria Math" w:cs="Arial"/>
                            <w:color w:val="000000" w:themeColor="text1"/>
                            <w:sz w:val="18"/>
                            <w:szCs w:val="16"/>
                          </w:rPr>
                          <m:t xml:space="preserve">facility weight </m:t>
                        </m:r>
                      </m:e>
                    </m:d>
                    <m:r>
                      <w:rPr>
                        <w:rFonts w:ascii="Cambria Math" w:hAnsi="Cambria Math" w:cs="Arial"/>
                        <w:color w:val="000000" w:themeColor="text1"/>
                        <w:sz w:val="18"/>
                        <w:szCs w:val="16"/>
                      </w:rPr>
                      <m:t xml:space="preserve"> × </m:t>
                    </m:r>
                    <m:d>
                      <m:dPr>
                        <m:ctrlPr>
                          <w:rPr>
                            <w:rFonts w:ascii="Cambria Math" w:hAnsi="Cambria Math" w:cs="Arial"/>
                            <w:i/>
                            <w:color w:val="000000" w:themeColor="text1"/>
                            <w:sz w:val="18"/>
                            <w:szCs w:val="16"/>
                          </w:rPr>
                        </m:ctrlPr>
                      </m:dPr>
                      <m:e>
                        <m:r>
                          <w:rPr>
                            <w:rFonts w:ascii="Cambria Math" w:hAnsi="Cambria Math" w:cs="Arial"/>
                            <w:color w:val="000000" w:themeColor="text1"/>
                            <w:sz w:val="18"/>
                            <w:szCs w:val="16"/>
                          </w:rPr>
                          <m:t>no.  of delivieres in facility in past 12 months</m:t>
                        </m:r>
                      </m:e>
                    </m:d>
                    <m:ctrlPr>
                      <w:rPr>
                        <w:rFonts w:ascii="Cambria Math" w:hAnsi="Cambria Math" w:cs="Cambria Math"/>
                        <w:color w:val="000000" w:themeColor="text1"/>
                        <w:sz w:val="18"/>
                        <w:szCs w:val="16"/>
                      </w:rPr>
                    </m:ctrlPr>
                  </m:num>
                  <m:den>
                    <m:nary>
                      <m:naryPr>
                        <m:chr m:val="∑"/>
                        <m:limLoc m:val="undOvr"/>
                        <m:subHide m:val="1"/>
                        <m:supHide m:val="1"/>
                        <m:ctrlPr>
                          <w:rPr>
                            <w:rFonts w:ascii="Cambria Math" w:hAnsi="Cambria Math" w:cs="Arial"/>
                            <w:i/>
                            <w:color w:val="000000" w:themeColor="text1"/>
                            <w:sz w:val="18"/>
                            <w:szCs w:val="16"/>
                          </w:rPr>
                        </m:ctrlPr>
                      </m:naryPr>
                      <m:sub/>
                      <m:sup/>
                      <m:e>
                        <m:r>
                          <w:rPr>
                            <w:rFonts w:ascii="Cambria Math" w:hAnsi="Cambria Math" w:cs="Arial"/>
                            <w:color w:val="000000" w:themeColor="text1"/>
                            <w:sz w:val="18"/>
                            <w:szCs w:val="16"/>
                          </w:rPr>
                          <m:t>total no. of delivieres</m:t>
                        </m:r>
                      </m:e>
                    </m:nary>
                  </m:den>
                </m:f>
              </m:oMath>
            </m:oMathPara>
          </w:p>
          <w:p w14:paraId="661FF091" w14:textId="77777777" w:rsidR="00EA055C" w:rsidRDefault="00EA055C" w:rsidP="002D165D">
            <w:pPr>
              <w:rPr>
                <w:rFonts w:ascii="Arial" w:hAnsi="Arial" w:cs="Arial"/>
                <w:color w:val="000000" w:themeColor="text1"/>
                <w:sz w:val="18"/>
                <w:szCs w:val="18"/>
              </w:rPr>
            </w:pPr>
          </w:p>
        </w:tc>
        <w:tc>
          <w:tcPr>
            <w:tcW w:w="4312" w:type="dxa"/>
            <w:tcBorders>
              <w:top w:val="single" w:sz="4" w:space="0" w:color="auto"/>
              <w:bottom w:val="single" w:sz="4" w:space="0" w:color="auto"/>
            </w:tcBorders>
          </w:tcPr>
          <w:p w14:paraId="725CE8C7" w14:textId="77777777" w:rsidR="00EA055C" w:rsidRPr="00EA055C" w:rsidRDefault="00EA055C" w:rsidP="002D165D">
            <w:pPr>
              <w:rPr>
                <w:rFonts w:ascii="Arial" w:hAnsi="Arial" w:cs="Arial"/>
                <w:color w:val="000000" w:themeColor="text1"/>
                <w:sz w:val="20"/>
                <w:szCs w:val="22"/>
              </w:rPr>
            </w:pPr>
          </w:p>
          <w:p w14:paraId="715B0F07" w14:textId="77777777" w:rsidR="00EA055C" w:rsidRPr="00D22514" w:rsidRDefault="006D3F93" w:rsidP="002D165D">
            <w:pPr>
              <w:rPr>
                <w:rFonts w:ascii="Arial" w:eastAsia="Calibri" w:hAnsi="Arial" w:cs="Arial"/>
                <w:color w:val="000000" w:themeColor="text1"/>
                <w:sz w:val="18"/>
                <w:szCs w:val="18"/>
              </w:rPr>
            </w:pPr>
            <w:r>
              <w:rPr>
                <w:rFonts w:ascii="Arial" w:hAnsi="Arial" w:cs="Arial"/>
                <w:color w:val="000000" w:themeColor="text1"/>
                <w:sz w:val="18"/>
                <w:szCs w:val="18"/>
              </w:rPr>
              <w:t>Caseload weight</w:t>
            </w:r>
            <w:r w:rsidR="00D22514" w:rsidRPr="00D22514">
              <w:rPr>
                <w:rFonts w:ascii="Arial" w:eastAsia="Calibri" w:hAnsi="Arial" w:cs="Arial"/>
                <w:color w:val="000000" w:themeColor="text1"/>
                <w:sz w:val="18"/>
                <w:szCs w:val="18"/>
              </w:rPr>
              <w:t>:</w:t>
            </w:r>
          </w:p>
          <w:p w14:paraId="4D5C7FBF" w14:textId="77777777" w:rsidR="00EA055C" w:rsidRPr="00EA055C" w:rsidRDefault="00EA055C" w:rsidP="002D165D">
            <w:pPr>
              <w:rPr>
                <w:rFonts w:ascii="Arial" w:hAnsi="Arial" w:cs="Arial"/>
                <w:color w:val="000000" w:themeColor="text1"/>
                <w:sz w:val="20"/>
                <w:szCs w:val="22"/>
              </w:rPr>
            </w:pPr>
          </w:p>
          <w:p w14:paraId="709D9421" w14:textId="77777777" w:rsidR="00EA055C" w:rsidRPr="00A9112C" w:rsidRDefault="00EA055C" w:rsidP="002D165D">
            <w:pPr>
              <w:rPr>
                <w:rFonts w:ascii="Arial" w:eastAsiaTheme="minorEastAsia" w:hAnsi="Arial" w:cs="Arial"/>
                <w:color w:val="000000" w:themeColor="text1"/>
                <w:sz w:val="22"/>
                <w:szCs w:val="22"/>
              </w:rPr>
            </w:pPr>
            <w:r w:rsidRPr="00A9112C">
              <w:rPr>
                <w:rFonts w:ascii="Arial" w:hAnsi="Arial" w:cs="Arial"/>
                <w:color w:val="000000" w:themeColor="text1"/>
                <w:sz w:val="22"/>
                <w:szCs w:val="22"/>
              </w:rPr>
              <w:t>=</w:t>
            </w:r>
            <m:oMath>
              <m:f>
                <m:fPr>
                  <m:ctrlPr>
                    <w:rPr>
                      <w:rFonts w:ascii="Cambria Math" w:hAnsi="Cambria Math" w:cs="Arial"/>
                      <w:color w:val="000000" w:themeColor="text1"/>
                      <w:sz w:val="20"/>
                      <w:szCs w:val="20"/>
                    </w:rPr>
                  </m:ctrlPr>
                </m:fPr>
                <m:num>
                  <m:d>
                    <m:dPr>
                      <m:ctrlPr>
                        <w:rPr>
                          <w:rFonts w:ascii="Cambria Math" w:hAnsi="Cambria Math" w:cs="Arial"/>
                          <w:i/>
                          <w:color w:val="000000" w:themeColor="text1"/>
                          <w:sz w:val="20"/>
                          <w:szCs w:val="20"/>
                        </w:rPr>
                      </m:ctrlPr>
                    </m:dPr>
                    <m:e>
                      <m:r>
                        <w:rPr>
                          <w:rFonts w:ascii="Cambria Math" w:hAnsi="Cambria Math" w:cs="Arial"/>
                          <w:color w:val="000000" w:themeColor="text1"/>
                          <w:sz w:val="20"/>
                          <w:szCs w:val="20"/>
                        </w:rPr>
                        <m:t>1.652</m:t>
                      </m:r>
                    </m:e>
                  </m:d>
                  <m:r>
                    <w:rPr>
                      <w:rFonts w:ascii="Cambria Math" w:hAnsi="Cambria Math" w:cs="Arial"/>
                      <w:color w:val="000000" w:themeColor="text1"/>
                      <w:sz w:val="20"/>
                      <w:szCs w:val="20"/>
                    </w:rPr>
                    <m:t>*</m:t>
                  </m:r>
                  <m:d>
                    <m:dPr>
                      <m:ctrlPr>
                        <w:rPr>
                          <w:rFonts w:ascii="Cambria Math" w:hAnsi="Cambria Math" w:cs="Arial"/>
                          <w:i/>
                          <w:color w:val="000000" w:themeColor="text1"/>
                          <w:sz w:val="20"/>
                          <w:szCs w:val="20"/>
                        </w:rPr>
                      </m:ctrlPr>
                    </m:dPr>
                    <m:e>
                      <m:r>
                        <w:rPr>
                          <w:rFonts w:ascii="Cambria Math" w:hAnsi="Cambria Math" w:cs="Arial"/>
                          <w:color w:val="000000" w:themeColor="text1"/>
                          <w:sz w:val="20"/>
                          <w:szCs w:val="20"/>
                        </w:rPr>
                        <m:t>904 deliveries</m:t>
                      </m:r>
                    </m:e>
                  </m:d>
                  <m:ctrlPr>
                    <w:rPr>
                      <w:rFonts w:ascii="Cambria Math" w:hAnsi="Cambria Math" w:cs="Cambria Math"/>
                      <w:color w:val="000000" w:themeColor="text1"/>
                      <w:sz w:val="20"/>
                      <w:szCs w:val="20"/>
                    </w:rPr>
                  </m:ctrlPr>
                </m:num>
                <m:den>
                  <m:r>
                    <w:rPr>
                      <w:rFonts w:ascii="Cambria Math" w:hAnsi="Cambria Math" w:cs="Arial"/>
                      <w:color w:val="000000" w:themeColor="text1"/>
                      <w:sz w:val="20"/>
                      <w:szCs w:val="20"/>
                    </w:rPr>
                    <m:t>61459.64 total deliveries in dataset</m:t>
                  </m:r>
                </m:den>
              </m:f>
            </m:oMath>
          </w:p>
          <w:p w14:paraId="6848BCB5" w14:textId="77777777" w:rsidR="00EA055C" w:rsidRPr="00A9112C" w:rsidRDefault="00EA055C" w:rsidP="002D165D">
            <w:pPr>
              <w:rPr>
                <w:rFonts w:ascii="Arial" w:eastAsiaTheme="minorEastAsia" w:hAnsi="Arial" w:cs="Arial"/>
                <w:color w:val="000000" w:themeColor="text1"/>
                <w:sz w:val="22"/>
                <w:szCs w:val="22"/>
              </w:rPr>
            </w:pPr>
          </w:p>
          <w:p w14:paraId="497C5C5F" w14:textId="77777777" w:rsidR="006D3F93" w:rsidRDefault="006D3F93" w:rsidP="002D165D">
            <w:pPr>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0.243</w:t>
            </w:r>
          </w:p>
          <w:p w14:paraId="42F08293" w14:textId="77777777" w:rsidR="006D3F93" w:rsidRDefault="006D3F93" w:rsidP="002D165D">
            <w:pPr>
              <w:rPr>
                <w:rFonts w:ascii="Arial" w:eastAsiaTheme="minorEastAsia" w:hAnsi="Arial" w:cs="Arial"/>
                <w:color w:val="000000" w:themeColor="text1"/>
                <w:sz w:val="18"/>
                <w:szCs w:val="18"/>
              </w:rPr>
            </w:pPr>
          </w:p>
          <w:p w14:paraId="1FCE27FB" w14:textId="77777777" w:rsidR="00EA055C" w:rsidRDefault="006D3F93" w:rsidP="002D165D">
            <w:pPr>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xml:space="preserve">This </w:t>
            </w:r>
            <w:r w:rsidR="00EA055C">
              <w:rPr>
                <w:rFonts w:ascii="Arial" w:eastAsiaTheme="minorEastAsia" w:hAnsi="Arial" w:cs="Arial"/>
                <w:color w:val="000000" w:themeColor="text1"/>
                <w:sz w:val="18"/>
                <w:szCs w:val="18"/>
              </w:rPr>
              <w:t>is the proportion of weighted total deliveries in the dataset that took place in this facility and is thus the new weight variable</w:t>
            </w:r>
          </w:p>
          <w:p w14:paraId="42E09536" w14:textId="77777777" w:rsidR="00D22514" w:rsidRPr="00EA7097" w:rsidRDefault="00D22514" w:rsidP="002D165D">
            <w:pPr>
              <w:rPr>
                <w:rFonts w:ascii="Arial" w:eastAsiaTheme="minorEastAsia" w:hAnsi="Arial" w:cs="Arial"/>
                <w:color w:val="000000" w:themeColor="text1"/>
                <w:sz w:val="18"/>
                <w:szCs w:val="18"/>
              </w:rPr>
            </w:pPr>
          </w:p>
        </w:tc>
      </w:tr>
      <w:tr w:rsidR="00D22514" w:rsidRPr="00D22514" w14:paraId="01392381" w14:textId="77777777" w:rsidTr="00D22514">
        <w:tc>
          <w:tcPr>
            <w:tcW w:w="11852" w:type="dxa"/>
            <w:gridSpan w:val="3"/>
            <w:tcBorders>
              <w:top w:val="single" w:sz="4" w:space="0" w:color="auto"/>
            </w:tcBorders>
          </w:tcPr>
          <w:p w14:paraId="421D830B" w14:textId="7DD3037E" w:rsidR="00D22514" w:rsidRPr="00D22514" w:rsidRDefault="00D22514" w:rsidP="00D22514">
            <w:pPr>
              <w:rPr>
                <w:rFonts w:ascii="Arial" w:hAnsi="Arial" w:cs="Arial"/>
                <w:color w:val="000000" w:themeColor="text1"/>
                <w:sz w:val="18"/>
                <w:szCs w:val="22"/>
              </w:rPr>
            </w:pPr>
          </w:p>
        </w:tc>
      </w:tr>
    </w:tbl>
    <w:p w14:paraId="75A9606B" w14:textId="77777777" w:rsidR="00AF5C31" w:rsidRDefault="00AF5C31" w:rsidP="002D165D">
      <w:pPr>
        <w:rPr>
          <w:rFonts w:ascii="Arial" w:hAnsi="Arial" w:cs="Arial"/>
          <w:color w:val="000000" w:themeColor="text1"/>
          <w:sz w:val="18"/>
          <w:szCs w:val="18"/>
        </w:rPr>
      </w:pPr>
    </w:p>
    <w:p w14:paraId="7DE4DB8C" w14:textId="77777777" w:rsidR="00AF5C31" w:rsidRDefault="009802E0" w:rsidP="002D165D">
      <w:pPr>
        <w:rPr>
          <w:rFonts w:ascii="Arial" w:hAnsi="Arial" w:cs="Arial"/>
          <w:color w:val="000000" w:themeColor="text1"/>
          <w:sz w:val="18"/>
          <w:szCs w:val="18"/>
        </w:rPr>
      </w:pPr>
      <w:r>
        <w:rPr>
          <w:rFonts w:ascii="Arial" w:hAnsi="Arial" w:cs="Arial"/>
          <w:color w:val="000000" w:themeColor="text1"/>
          <w:sz w:val="18"/>
          <w:szCs w:val="18"/>
        </w:rPr>
        <w:t xml:space="preserve">#The sum of all facility weights included in the assessments does not equal 695, as 403 of the 695 facilities included offered delivery care and hospitals and other </w:t>
      </w:r>
      <w:proofErr w:type="gramStart"/>
      <w:r>
        <w:rPr>
          <w:rFonts w:ascii="Arial" w:hAnsi="Arial" w:cs="Arial"/>
          <w:color w:val="000000" w:themeColor="text1"/>
          <w:sz w:val="18"/>
          <w:szCs w:val="18"/>
        </w:rPr>
        <w:t>higher level</w:t>
      </w:r>
      <w:proofErr w:type="gramEnd"/>
      <w:r>
        <w:rPr>
          <w:rFonts w:ascii="Arial" w:hAnsi="Arial" w:cs="Arial"/>
          <w:color w:val="000000" w:themeColor="text1"/>
          <w:sz w:val="18"/>
          <w:szCs w:val="18"/>
        </w:rPr>
        <w:t xml:space="preserve"> facilities were over-sampled in this sampling frame, thus having lower facility weight values (many of which are &lt;1.0). The sum of all 403 facility weight values was 207.33.</w:t>
      </w:r>
    </w:p>
    <w:p w14:paraId="4FC77707" w14:textId="77777777" w:rsidR="00EA055C" w:rsidRPr="00D06803" w:rsidRDefault="00EA055C">
      <w:pPr>
        <w:rPr>
          <w:rFonts w:ascii="Arial" w:hAnsi="Arial" w:cs="Arial"/>
          <w:color w:val="000000" w:themeColor="text1"/>
          <w:sz w:val="18"/>
          <w:szCs w:val="18"/>
        </w:rPr>
      </w:pPr>
    </w:p>
    <w:sectPr w:rsidR="00EA055C" w:rsidRPr="00D06803" w:rsidSect="00D06803">
      <w:pgSz w:w="15842" w:h="12242"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E07BE"/>
    <w:multiLevelType w:val="hybridMultilevel"/>
    <w:tmpl w:val="5F28D8B6"/>
    <w:lvl w:ilvl="0" w:tplc="22F8DA4E">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D73BDA"/>
    <w:multiLevelType w:val="hybridMultilevel"/>
    <w:tmpl w:val="A43C1F5A"/>
    <w:lvl w:ilvl="0" w:tplc="87BE1074">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9D57DD"/>
    <w:multiLevelType w:val="hybridMultilevel"/>
    <w:tmpl w:val="AAAC164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0A1"/>
    <w:rsid w:val="0001612A"/>
    <w:rsid w:val="000C6B0F"/>
    <w:rsid w:val="001C0184"/>
    <w:rsid w:val="001C7339"/>
    <w:rsid w:val="00233F1D"/>
    <w:rsid w:val="00260553"/>
    <w:rsid w:val="002672DF"/>
    <w:rsid w:val="00274644"/>
    <w:rsid w:val="002809B0"/>
    <w:rsid w:val="002D165D"/>
    <w:rsid w:val="002F3889"/>
    <w:rsid w:val="00314AAD"/>
    <w:rsid w:val="00320F10"/>
    <w:rsid w:val="003D73D0"/>
    <w:rsid w:val="003F46FD"/>
    <w:rsid w:val="00444D04"/>
    <w:rsid w:val="0046204D"/>
    <w:rsid w:val="004E593D"/>
    <w:rsid w:val="00525FCA"/>
    <w:rsid w:val="005E39E1"/>
    <w:rsid w:val="00616929"/>
    <w:rsid w:val="00695798"/>
    <w:rsid w:val="006D3F93"/>
    <w:rsid w:val="006F4BA5"/>
    <w:rsid w:val="007D66D5"/>
    <w:rsid w:val="008C050F"/>
    <w:rsid w:val="008F1861"/>
    <w:rsid w:val="009802E0"/>
    <w:rsid w:val="00982C7B"/>
    <w:rsid w:val="009842CD"/>
    <w:rsid w:val="00A6438C"/>
    <w:rsid w:val="00A9112C"/>
    <w:rsid w:val="00AF5C31"/>
    <w:rsid w:val="00B857BF"/>
    <w:rsid w:val="00C10B7D"/>
    <w:rsid w:val="00C115AE"/>
    <w:rsid w:val="00C20A9B"/>
    <w:rsid w:val="00C420B4"/>
    <w:rsid w:val="00C6095F"/>
    <w:rsid w:val="00C95E05"/>
    <w:rsid w:val="00CB30A1"/>
    <w:rsid w:val="00CC0009"/>
    <w:rsid w:val="00D06803"/>
    <w:rsid w:val="00D22514"/>
    <w:rsid w:val="00D2663D"/>
    <w:rsid w:val="00DA11E4"/>
    <w:rsid w:val="00DA1AF6"/>
    <w:rsid w:val="00DF4F1A"/>
    <w:rsid w:val="00E523E4"/>
    <w:rsid w:val="00EA055C"/>
    <w:rsid w:val="00EA7097"/>
    <w:rsid w:val="00F13468"/>
    <w:rsid w:val="00F61F32"/>
    <w:rsid w:val="00FB4DC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0AB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39E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30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30A1"/>
    <w:pPr>
      <w:ind w:left="720"/>
      <w:contextualSpacing/>
    </w:pPr>
  </w:style>
  <w:style w:type="character" w:styleId="PlaceholderText">
    <w:name w:val="Placeholder Text"/>
    <w:basedOn w:val="DefaultParagraphFont"/>
    <w:uiPriority w:val="99"/>
    <w:semiHidden/>
    <w:rsid w:val="002D165D"/>
    <w:rPr>
      <w:color w:val="808080"/>
    </w:rPr>
  </w:style>
  <w:style w:type="character" w:styleId="CommentReference">
    <w:name w:val="annotation reference"/>
    <w:basedOn w:val="DefaultParagraphFont"/>
    <w:uiPriority w:val="99"/>
    <w:semiHidden/>
    <w:unhideWhenUsed/>
    <w:rsid w:val="00DA1AF6"/>
    <w:rPr>
      <w:sz w:val="18"/>
      <w:szCs w:val="18"/>
    </w:rPr>
  </w:style>
  <w:style w:type="paragraph" w:styleId="CommentText">
    <w:name w:val="annotation text"/>
    <w:basedOn w:val="Normal"/>
    <w:link w:val="CommentTextChar"/>
    <w:uiPriority w:val="99"/>
    <w:semiHidden/>
    <w:unhideWhenUsed/>
    <w:rsid w:val="00DA1AF6"/>
  </w:style>
  <w:style w:type="character" w:customStyle="1" w:styleId="CommentTextChar">
    <w:name w:val="Comment Text Char"/>
    <w:basedOn w:val="DefaultParagraphFont"/>
    <w:link w:val="CommentText"/>
    <w:uiPriority w:val="99"/>
    <w:semiHidden/>
    <w:rsid w:val="00DA1AF6"/>
    <w:rPr>
      <w:lang w:val="en-US"/>
    </w:rPr>
  </w:style>
  <w:style w:type="paragraph" w:styleId="CommentSubject">
    <w:name w:val="annotation subject"/>
    <w:basedOn w:val="CommentText"/>
    <w:next w:val="CommentText"/>
    <w:link w:val="CommentSubjectChar"/>
    <w:uiPriority w:val="99"/>
    <w:semiHidden/>
    <w:unhideWhenUsed/>
    <w:rsid w:val="00DA1AF6"/>
    <w:rPr>
      <w:b/>
      <w:bCs/>
      <w:sz w:val="20"/>
      <w:szCs w:val="20"/>
    </w:rPr>
  </w:style>
  <w:style w:type="character" w:customStyle="1" w:styleId="CommentSubjectChar">
    <w:name w:val="Comment Subject Char"/>
    <w:basedOn w:val="CommentTextChar"/>
    <w:link w:val="CommentSubject"/>
    <w:uiPriority w:val="99"/>
    <w:semiHidden/>
    <w:rsid w:val="00DA1AF6"/>
    <w:rPr>
      <w:b/>
      <w:bCs/>
      <w:sz w:val="20"/>
      <w:szCs w:val="20"/>
      <w:lang w:val="en-US"/>
    </w:rPr>
  </w:style>
  <w:style w:type="paragraph" w:styleId="BalloonText">
    <w:name w:val="Balloon Text"/>
    <w:basedOn w:val="Normal"/>
    <w:link w:val="BalloonTextChar"/>
    <w:uiPriority w:val="99"/>
    <w:semiHidden/>
    <w:unhideWhenUsed/>
    <w:rsid w:val="00DA1AF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A1AF6"/>
    <w:rPr>
      <w:rFonts w:ascii="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7376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F9420F5-3D1D-994F-B6F5-C7BAEB719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Allen</dc:creator>
  <cp:lastModifiedBy>Stephanie Allen</cp:lastModifiedBy>
  <cp:revision>2</cp:revision>
  <dcterms:created xsi:type="dcterms:W3CDTF">2017-10-08T17:44:00Z</dcterms:created>
  <dcterms:modified xsi:type="dcterms:W3CDTF">2017-10-08T17:44:00Z</dcterms:modified>
</cp:coreProperties>
</file>