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898" w:rsidRPr="00BE025A" w:rsidRDefault="00C56898" w:rsidP="00C56898">
      <w:pPr>
        <w:spacing w:after="0" w:line="480" w:lineRule="auto"/>
        <w:rPr>
          <w:rFonts w:asciiTheme="minorHAnsi" w:hAnsiTheme="minorHAnsi"/>
          <w:b/>
        </w:rPr>
      </w:pPr>
      <w:bookmarkStart w:id="0" w:name="OLE_LINK33"/>
      <w:bookmarkStart w:id="1" w:name="OLE_LINK34"/>
      <w:bookmarkStart w:id="2" w:name="OLE_LINK35"/>
      <w:r w:rsidRPr="00BE025A">
        <w:rPr>
          <w:rFonts w:asciiTheme="minorHAnsi" w:hAnsiTheme="minorHAnsi"/>
          <w:b/>
        </w:rPr>
        <w:t>S4 Table: Multivariable predictors of SCD in both reduced and preserved LVEF populations.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164"/>
        <w:gridCol w:w="695"/>
        <w:gridCol w:w="672"/>
        <w:gridCol w:w="1164"/>
        <w:gridCol w:w="672"/>
        <w:gridCol w:w="672"/>
        <w:gridCol w:w="1164"/>
        <w:gridCol w:w="695"/>
        <w:gridCol w:w="672"/>
      </w:tblGrid>
      <w:tr w:rsidR="00BE025A" w:rsidRPr="00BE025A" w:rsidTr="00C56898">
        <w:trPr>
          <w:jc w:val="center"/>
        </w:trPr>
        <w:tc>
          <w:tcPr>
            <w:tcW w:w="0" w:type="auto"/>
            <w:vMerge w:val="restart"/>
            <w:tcBorders>
              <w:top w:val="double" w:sz="4" w:space="0" w:color="auto"/>
            </w:tcBorders>
            <w:vAlign w:val="center"/>
          </w:tcPr>
          <w:bookmarkEnd w:id="0"/>
          <w:bookmarkEnd w:id="1"/>
          <w:bookmarkEnd w:id="2"/>
          <w:p w:rsidR="00C56898" w:rsidRPr="00BE025A" w:rsidRDefault="00C56898" w:rsidP="00C56898">
            <w:pPr>
              <w:spacing w:line="480" w:lineRule="auto"/>
              <w:rPr>
                <w:b/>
              </w:rPr>
            </w:pPr>
            <w:r w:rsidRPr="00BE025A">
              <w:t>LVEF</w:t>
            </w:r>
            <w:r w:rsidRPr="00BE025A">
              <w:rPr>
                <w:rFonts w:cs="Calibri"/>
              </w:rPr>
              <w:t>≤35%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Clinical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ECG Multivariable</w:t>
            </w:r>
          </w:p>
        </w:tc>
        <w:tc>
          <w:tcPr>
            <w:tcW w:w="0" w:type="auto"/>
            <w:gridSpan w:val="3"/>
            <w:tcBorders>
              <w:top w:val="double" w:sz="4" w:space="0" w:color="auto"/>
            </w:tcBorders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Combined Multivariable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Merge/>
            <w:vAlign w:val="center"/>
          </w:tcPr>
          <w:p w:rsidR="00C56898" w:rsidRPr="00BE025A" w:rsidRDefault="00C56898" w:rsidP="00C56898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t>ARB or ACE inhibitors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inh</m:t>
                  </m:r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0.305 (0.127-0.734)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-1.187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0.008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0.402 (0.163-0.995)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-0.910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0.049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rPr>
                <w:rFonts w:cs="Calibri"/>
              </w:rPr>
              <w:t>Δα</w:t>
            </w:r>
            <w:r w:rsidRPr="00BE025A">
              <w:rPr>
                <w:vertAlign w:val="superscript"/>
              </w:rPr>
              <w:t>Tpe</w:t>
            </w:r>
            <w:r w:rsidRPr="00BE025A">
              <w:rPr>
                <w:rFonts w:cs="Calibri"/>
              </w:rPr>
              <w:t>≥</w:t>
            </w:r>
            <w:r w:rsidRPr="00BE025A">
              <w:t>0.028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2.211 (1.138-4.295)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0.794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0.019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2.087 (1.272-5.588)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0.736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0.032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t>IAA</w:t>
            </w:r>
            <w:r w:rsidRPr="00BE025A">
              <w:rPr>
                <w:rFonts w:cs="Calibri"/>
              </w:rPr>
              <w:t>≥</w:t>
            </w:r>
            <w:r w:rsidRPr="00BE025A">
              <w:t>3.7</w:t>
            </w:r>
            <w:r w:rsidRPr="00BE025A">
              <w:rPr>
                <w:rFonts w:cs="Calibri"/>
              </w:rPr>
              <w:t>µ</w:t>
            </w:r>
            <w:r w:rsidRPr="00BE025A">
              <w:t>V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IAA</m:t>
                  </m:r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2.540 (1.319-4.891)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0.932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0.005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2.298 (1.177-4.489)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0.832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0.015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t>TS</w:t>
            </w:r>
            <w:r w:rsidRPr="00BE025A">
              <w:rPr>
                <w:rFonts w:cs="Calibri"/>
              </w:rPr>
              <w:t>≤</w:t>
            </w:r>
            <w:r w:rsidRPr="00BE025A">
              <w:t>2.5ms/RR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TS</m:t>
                  </m:r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t>TMR</w:t>
            </w:r>
            <w:r w:rsidRPr="00BE025A">
              <w:rPr>
                <w:rFonts w:cs="Calibri"/>
              </w:rPr>
              <w:t>≥</w:t>
            </w:r>
            <w:r w:rsidRPr="00BE025A">
              <w:t>0.04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TMR</m:t>
                  </m:r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2.666 (1.272-5.588)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0.980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0.009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2.616 (1.239-5.522)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0.962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0.012</w:t>
            </w:r>
          </w:p>
        </w:tc>
      </w:tr>
    </w:tbl>
    <w:tbl>
      <w:tblPr>
        <w:tblStyle w:val="TableGrid1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079"/>
        <w:gridCol w:w="343"/>
        <w:gridCol w:w="338"/>
        <w:gridCol w:w="1553"/>
        <w:gridCol w:w="672"/>
        <w:gridCol w:w="672"/>
        <w:gridCol w:w="1553"/>
        <w:gridCol w:w="672"/>
        <w:gridCol w:w="672"/>
      </w:tblGrid>
      <w:tr w:rsidR="00BE025A" w:rsidRPr="00BE025A" w:rsidTr="00C56898">
        <w:trPr>
          <w:jc w:val="center"/>
        </w:trPr>
        <w:tc>
          <w:tcPr>
            <w:tcW w:w="0" w:type="auto"/>
            <w:vMerge w:val="restart"/>
            <w:vAlign w:val="center"/>
          </w:tcPr>
          <w:p w:rsidR="00C56898" w:rsidRPr="00BE025A" w:rsidRDefault="00C56898" w:rsidP="00C56898">
            <w:pPr>
              <w:spacing w:line="480" w:lineRule="auto"/>
              <w:rPr>
                <w:b/>
              </w:rPr>
            </w:pPr>
            <w:r w:rsidRPr="00BE025A">
              <w:t>LVEF&gt;35%</w:t>
            </w:r>
          </w:p>
        </w:tc>
        <w:tc>
          <w:tcPr>
            <w:tcW w:w="0" w:type="auto"/>
            <w:gridSpan w:val="3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Clinical Multivariable</w:t>
            </w:r>
          </w:p>
        </w:tc>
        <w:tc>
          <w:tcPr>
            <w:tcW w:w="0" w:type="auto"/>
            <w:gridSpan w:val="3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ECG Multivariable</w:t>
            </w:r>
          </w:p>
        </w:tc>
        <w:tc>
          <w:tcPr>
            <w:tcW w:w="0" w:type="auto"/>
            <w:gridSpan w:val="3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b/>
              </w:rPr>
            </w:pPr>
            <w:r w:rsidRPr="00BE025A">
              <w:rPr>
                <w:b/>
              </w:rPr>
              <w:t>Combined Multivariable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Merge/>
            <w:vAlign w:val="center"/>
          </w:tcPr>
          <w:p w:rsidR="00C56898" w:rsidRPr="00BE025A" w:rsidRDefault="00C56898" w:rsidP="00C56898">
            <w:pPr>
              <w:spacing w:line="480" w:lineRule="auto"/>
            </w:pP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HR (95% CI)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rPr>
                <w:rFonts w:cs="Calibri"/>
              </w:rPr>
              <w:t>β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  <w:rPr>
                <w:i/>
              </w:rPr>
            </w:pPr>
            <w:r w:rsidRPr="00BE025A">
              <w:rPr>
                <w:i/>
              </w:rPr>
              <w:t>p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rPr>
                <w:rFonts w:cs="Calibri"/>
              </w:rPr>
            </w:pPr>
            <w:r w:rsidRPr="00BE025A">
              <w:rPr>
                <w:rFonts w:cs="Calibri"/>
              </w:rPr>
              <w:t>CIA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3.915 (1.312-11.684)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1.365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0.014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3.915 (1.312-11.684)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1.365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0.014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</w:pPr>
            <w:r w:rsidRPr="00BE025A">
              <w:rPr>
                <w:rFonts w:cs="Calibri"/>
              </w:rPr>
              <w:t>Δα</w:t>
            </w:r>
            <w:r w:rsidRPr="00BE025A">
              <w:rPr>
                <w:vertAlign w:val="superscript"/>
              </w:rPr>
              <w:t>Tpe</w:t>
            </w:r>
            <w:r w:rsidRPr="00BE025A">
              <w:rPr>
                <w:rFonts w:cs="Calibri"/>
              </w:rPr>
              <w:t>≥</w:t>
            </w:r>
            <w:r w:rsidRPr="00BE025A">
              <w:t>0.028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Tpe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N.S.</w:t>
            </w:r>
          </w:p>
        </w:tc>
      </w:tr>
      <w:tr w:rsidR="00BE025A" w:rsidRPr="00BE025A" w:rsidTr="00C56898">
        <w:trPr>
          <w:jc w:val="center"/>
        </w:trPr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rPr>
                <w:rFonts w:cs="Calibri"/>
              </w:rPr>
            </w:pPr>
            <w:r w:rsidRPr="00BE025A">
              <w:rPr>
                <w:rFonts w:cs="Calibri"/>
              </w:rPr>
              <w:lastRenderedPageBreak/>
              <w:t>Δα</w:t>
            </w:r>
            <w:r w:rsidRPr="00BE025A">
              <w:rPr>
                <w:vertAlign w:val="superscript"/>
              </w:rPr>
              <w:t>QT</w:t>
            </w:r>
            <w:r w:rsidRPr="00BE025A">
              <w:rPr>
                <w:rFonts w:cs="Calibri"/>
              </w:rPr>
              <w:t>≥</w:t>
            </w:r>
            <w:r w:rsidRPr="00BE025A">
              <w:t>0.228 (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sSubSup>
                    <m:sSub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∆α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QT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SCD</m:t>
                      </m:r>
                    </m:sup>
                  </m:sSubSup>
                </m:sub>
              </m:sSub>
            </m:oMath>
            <w:r w:rsidRPr="00BE025A">
              <w:t>=1)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-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4.630 (1.512-14.179)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1.533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0.007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4.630 (1.512-14.179)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1.533</w:t>
            </w:r>
          </w:p>
        </w:tc>
        <w:tc>
          <w:tcPr>
            <w:tcW w:w="0" w:type="auto"/>
            <w:vAlign w:val="center"/>
          </w:tcPr>
          <w:p w:rsidR="00C56898" w:rsidRPr="00BE025A" w:rsidRDefault="00C56898" w:rsidP="00C56898">
            <w:pPr>
              <w:spacing w:line="480" w:lineRule="auto"/>
              <w:jc w:val="center"/>
            </w:pPr>
            <w:r w:rsidRPr="00BE025A">
              <w:t>0.007</w:t>
            </w:r>
          </w:p>
        </w:tc>
      </w:tr>
    </w:tbl>
    <w:p w:rsidR="00C56898" w:rsidRDefault="00C56898" w:rsidP="00C5689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color w:val="0070C0"/>
          <w:sz w:val="18"/>
        </w:rPr>
      </w:pPr>
      <w:r w:rsidRPr="00BE025A">
        <w:rPr>
          <w:sz w:val="18"/>
        </w:rPr>
        <w:t xml:space="preserve">HR = Hazard ratio; NYHA = New York Heart Association; LVEF = Left Ventricular Ejection Fraction; NSVT = Non-Sustained Ventricular Tachycardia; VPB = Ventricular Premature Beat; IAA = Index of Average </w:t>
      </w:r>
      <w:proofErr w:type="spellStart"/>
      <w:r w:rsidRPr="00BE025A">
        <w:rPr>
          <w:sz w:val="18"/>
        </w:rPr>
        <w:t>Alternans</w:t>
      </w:r>
      <w:proofErr w:type="spellEnd"/>
      <w:r w:rsidRPr="00BE025A">
        <w:rPr>
          <w:sz w:val="18"/>
        </w:rPr>
        <w:t xml:space="preserve">; TS = Turbulence Slope; TMR </w:t>
      </w:r>
      <w:r w:rsidR="00BE025A">
        <w:rPr>
          <w:sz w:val="18"/>
        </w:rPr>
        <w:t>= T-wave Morphology Restitution</w:t>
      </w:r>
      <w:bookmarkStart w:id="3" w:name="_GoBack"/>
      <w:bookmarkEnd w:id="3"/>
    </w:p>
    <w:sectPr w:rsidR="00C56898" w:rsidSect="00051CE7">
      <w:footerReference w:type="default" r:id="rId7"/>
      <w:pgSz w:w="12240" w:h="15840" w:code="1"/>
      <w:pgMar w:top="1440" w:right="1440" w:bottom="1440" w:left="1440" w:header="720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238" w:rsidRDefault="00971238">
      <w:pPr>
        <w:spacing w:after="0" w:line="240" w:lineRule="auto"/>
      </w:pPr>
      <w:r>
        <w:separator/>
      </w:r>
    </w:p>
  </w:endnote>
  <w:endnote w:type="continuationSeparator" w:id="0">
    <w:p w:rsidR="00971238" w:rsidRDefault="00971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898" w:rsidRDefault="00C56898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025A">
      <w:rPr>
        <w:noProof/>
      </w:rPr>
      <w:t>2</w:t>
    </w:r>
    <w:r>
      <w:rPr>
        <w:noProof/>
      </w:rPr>
      <w:fldChar w:fldCharType="end"/>
    </w:r>
  </w:p>
  <w:p w:rsidR="00C56898" w:rsidRDefault="00C5689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238" w:rsidRDefault="00971238">
      <w:pPr>
        <w:spacing w:after="0" w:line="240" w:lineRule="auto"/>
      </w:pPr>
      <w:r>
        <w:separator/>
      </w:r>
    </w:p>
  </w:footnote>
  <w:footnote w:type="continuationSeparator" w:id="0">
    <w:p w:rsidR="00971238" w:rsidRDefault="009712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7A0F"/>
    <w:multiLevelType w:val="hybridMultilevel"/>
    <w:tmpl w:val="3E7ED6F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71A07"/>
    <w:multiLevelType w:val="hybridMultilevel"/>
    <w:tmpl w:val="23DC3C34"/>
    <w:lvl w:ilvl="0" w:tplc="EC6A5F22">
      <w:start w:val="1"/>
      <w:numFmt w:val="decimal"/>
      <w:lvlText w:val="(%1)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E7"/>
    <w:rsid w:val="000421AE"/>
    <w:rsid w:val="00051CE7"/>
    <w:rsid w:val="0009216A"/>
    <w:rsid w:val="0016518C"/>
    <w:rsid w:val="0018460D"/>
    <w:rsid w:val="00334DE8"/>
    <w:rsid w:val="00354FDC"/>
    <w:rsid w:val="003C702D"/>
    <w:rsid w:val="00475F10"/>
    <w:rsid w:val="00493288"/>
    <w:rsid w:val="004A02E9"/>
    <w:rsid w:val="005169D6"/>
    <w:rsid w:val="00540E5C"/>
    <w:rsid w:val="005E49EF"/>
    <w:rsid w:val="006A6B61"/>
    <w:rsid w:val="007344D2"/>
    <w:rsid w:val="007617B2"/>
    <w:rsid w:val="00971238"/>
    <w:rsid w:val="00B007E8"/>
    <w:rsid w:val="00B74133"/>
    <w:rsid w:val="00BC7703"/>
    <w:rsid w:val="00BE025A"/>
    <w:rsid w:val="00C56898"/>
    <w:rsid w:val="00D3702A"/>
    <w:rsid w:val="00DD40E2"/>
    <w:rsid w:val="00E407C9"/>
    <w:rsid w:val="00F8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F0E973-7074-4A2D-AD32-2FE06273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CE7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51CE7"/>
    <w:pPr>
      <w:tabs>
        <w:tab w:val="center" w:pos="4419"/>
        <w:tab w:val="right" w:pos="8838"/>
      </w:tabs>
    </w:pPr>
    <w:rPr>
      <w:sz w:val="20"/>
      <w:szCs w:val="20"/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51CE7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Prrafodelista">
    <w:name w:val="List Paragraph"/>
    <w:basedOn w:val="Normal"/>
    <w:uiPriority w:val="34"/>
    <w:qFormat/>
    <w:rsid w:val="00051CE7"/>
    <w:pPr>
      <w:ind w:left="720"/>
      <w:contextualSpacing/>
    </w:pPr>
  </w:style>
  <w:style w:type="character" w:styleId="Nmerodelnea">
    <w:name w:val="line number"/>
    <w:basedOn w:val="Fuentedeprrafopredeter"/>
    <w:uiPriority w:val="99"/>
    <w:semiHidden/>
    <w:unhideWhenUsed/>
    <w:rsid w:val="00051CE7"/>
  </w:style>
  <w:style w:type="paragraph" w:styleId="Textodeglobo">
    <w:name w:val="Balloon Text"/>
    <w:basedOn w:val="Normal"/>
    <w:link w:val="TextodegloboCar"/>
    <w:uiPriority w:val="99"/>
    <w:semiHidden/>
    <w:unhideWhenUsed/>
    <w:rsid w:val="0005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1CE7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8460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C568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689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6898"/>
    <w:rPr>
      <w:rFonts w:ascii="Calibri" w:eastAsia="Times New Roman" w:hAnsi="Calibri" w:cs="Times New Roman"/>
      <w:sz w:val="20"/>
      <w:szCs w:val="20"/>
      <w:lang w:val="x-none" w:eastAsia="x-none"/>
    </w:rPr>
  </w:style>
  <w:style w:type="table" w:customStyle="1" w:styleId="TableGrid1">
    <w:name w:val="Table Grid1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anormal"/>
    <w:next w:val="Tablaconcuadrcula"/>
    <w:uiPriority w:val="59"/>
    <w:rsid w:val="00C56898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Ramírez</dc:creator>
  <cp:lastModifiedBy>Julia</cp:lastModifiedBy>
  <cp:revision>3</cp:revision>
  <dcterms:created xsi:type="dcterms:W3CDTF">2017-09-29T08:30:00Z</dcterms:created>
  <dcterms:modified xsi:type="dcterms:W3CDTF">2017-09-29T08:30:00Z</dcterms:modified>
</cp:coreProperties>
</file>