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0D" w:rsidRPr="006A6B61" w:rsidRDefault="001D00D7" w:rsidP="0018460D">
      <w:pPr>
        <w:spacing w:after="0" w:line="240" w:lineRule="auto"/>
        <w:jc w:val="both"/>
        <w:rPr>
          <w:b/>
        </w:rPr>
      </w:pPr>
      <w:r>
        <w:rPr>
          <w:rFonts w:asciiTheme="minorHAnsi" w:hAnsiTheme="minorHAnsi"/>
          <w:b/>
        </w:rPr>
        <w:t>S</w:t>
      </w:r>
      <w:r w:rsidR="006A6B61" w:rsidRPr="006A6B61">
        <w:rPr>
          <w:rFonts w:asciiTheme="minorHAnsi" w:hAnsiTheme="minorHAnsi"/>
          <w:b/>
        </w:rPr>
        <w:t>1 Table</w:t>
      </w:r>
      <w:r w:rsidR="0018460D" w:rsidRPr="006A6B61">
        <w:rPr>
          <w:rFonts w:asciiTheme="minorHAnsi" w:hAnsiTheme="minorHAnsi"/>
          <w:b/>
        </w:rPr>
        <w:t>: Dichotomized variables used to build SCD and PFD risk scores.</w:t>
      </w:r>
    </w:p>
    <w:p w:rsidR="0018460D" w:rsidRPr="00475F10" w:rsidRDefault="0018460D" w:rsidP="0018460D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81"/>
        <w:gridCol w:w="4749"/>
      </w:tblGrid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  <w:rPr>
                <w:b/>
              </w:rPr>
            </w:pPr>
            <w:r w:rsidRPr="00475F10">
              <w:rPr>
                <w:b/>
              </w:rPr>
              <w:t>Dichotomized variable</w:t>
            </w:r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  <w:rPr>
                <w:b/>
              </w:rPr>
            </w:pPr>
            <w:r w:rsidRPr="00475F10">
              <w:rPr>
                <w:b/>
              </w:rPr>
              <w:t>Definition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>1, if male gender; 0 otherwise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NYHA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>1, if NYHA class III; 0 otherwise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Diab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>1, if diabetic; 0 otherwise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β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>1, if treated with beta-blockers; 0 otherwise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LVEF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>1, if LVEF</w:t>
            </w:r>
            <w:r w:rsidRPr="00475F10">
              <w:rPr>
                <w:rFonts w:cs="Calibri"/>
              </w:rPr>
              <w:t>≤</w:t>
            </w:r>
            <w:r w:rsidRPr="00475F10">
              <w:t>35%; 0 otherwise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CIA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>1, if presence of NSVT and &gt;240 VPBs/24-h; 0 otherwise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∆α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Tpe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SCD</m:t>
                        </m:r>
                      </m:sup>
                    </m:sSubSup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 xml:space="preserve">1, if </w:t>
            </w:r>
            <w:r w:rsidRPr="00475F10">
              <w:rPr>
                <w:rFonts w:cs="Calibri"/>
              </w:rPr>
              <w:t>Δα</w:t>
            </w:r>
            <w:r w:rsidRPr="00475F10">
              <w:rPr>
                <w:vertAlign w:val="superscript"/>
              </w:rPr>
              <w:t>Tpe</w:t>
            </w:r>
            <w:r w:rsidRPr="00475F10">
              <w:rPr>
                <w:rFonts w:cs="Calibri"/>
              </w:rPr>
              <w:t>≥</w:t>
            </w:r>
            <w:r w:rsidRPr="00475F10">
              <w:t>0.028; 0 otherwise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∆α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Tpe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PFD</m:t>
                        </m:r>
                      </m:sup>
                    </m:sSubSup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 xml:space="preserve">1, if </w:t>
            </w:r>
            <w:r w:rsidRPr="00475F10">
              <w:rPr>
                <w:rFonts w:cs="Calibri"/>
              </w:rPr>
              <w:t>Δα</w:t>
            </w:r>
            <w:r w:rsidRPr="00475F10">
              <w:rPr>
                <w:vertAlign w:val="superscript"/>
              </w:rPr>
              <w:t>Tpe</w:t>
            </w:r>
            <w:r w:rsidRPr="00475F10">
              <w:rPr>
                <w:rFonts w:cs="Calibri"/>
              </w:rPr>
              <w:t>≤</w:t>
            </w:r>
            <w:r w:rsidRPr="00475F10">
              <w:t>0.022; 0 otherwise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Δ</m:t>
                        </m:r>
                        <m:r>
                          <w:rPr>
                            <w:rFonts w:ascii="Cambria Math" w:hAnsi="Cambria Math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QT</m:t>
                        </m:r>
                      </m:sup>
                    </m:sSup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 xml:space="preserve">1, if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α</m:t>
                  </m:r>
                </m:e>
                <m:sup>
                  <m:r>
                    <w:rPr>
                      <w:rFonts w:ascii="Cambria Math" w:hAnsi="Cambria Math"/>
                    </w:rPr>
                    <m:t>QT</m:t>
                  </m:r>
                </m:sup>
              </m:sSup>
            </m:oMath>
            <w:r w:rsidRPr="00475F10">
              <w:rPr>
                <w:rFonts w:cs="Calibri"/>
              </w:rPr>
              <w:t>≥</w:t>
            </w:r>
            <w:r w:rsidRPr="00475F10">
              <w:t>0.228; 0 otherwise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IAA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>1, if IAA</w:t>
            </w:r>
            <w:r w:rsidRPr="00475F10">
              <w:rPr>
                <w:rFonts w:cs="Calibri"/>
              </w:rPr>
              <w:t>≥</w:t>
            </w:r>
            <w:r w:rsidRPr="00475F10">
              <w:t>3.7</w:t>
            </w:r>
            <w:r w:rsidRPr="00475F10">
              <w:rPr>
                <w:rFonts w:cs="Calibri"/>
              </w:rPr>
              <w:t>µ</w:t>
            </w:r>
            <w:r w:rsidRPr="00475F10">
              <w:t>V; 0 otherwise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TS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>1, if TS</w:t>
            </w:r>
            <w:r w:rsidRPr="00475F10">
              <w:rPr>
                <w:rFonts w:cs="Calibri"/>
              </w:rPr>
              <w:t>≤</w:t>
            </w:r>
            <w:r w:rsidRPr="00475F10">
              <w:t>2.5ms/RR; 0 otherwise</w:t>
            </w:r>
          </w:p>
        </w:tc>
      </w:tr>
      <w:tr w:rsidR="00475F10" w:rsidRPr="00475F10" w:rsidTr="00C56898">
        <w:trPr>
          <w:jc w:val="center"/>
        </w:trPr>
        <w:tc>
          <w:tcPr>
            <w:tcW w:w="0" w:type="auto"/>
            <w:vAlign w:val="center"/>
          </w:tcPr>
          <w:p w:rsidR="0018460D" w:rsidRPr="00475F10" w:rsidRDefault="00983D85" w:rsidP="00C5689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TMR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:rsidR="0018460D" w:rsidRPr="00475F10" w:rsidRDefault="0018460D" w:rsidP="00C56898">
            <w:pPr>
              <w:jc w:val="center"/>
            </w:pPr>
            <w:r w:rsidRPr="00475F10">
              <w:t>1, if TMR</w:t>
            </w:r>
            <w:r w:rsidRPr="00475F10">
              <w:rPr>
                <w:rFonts w:cs="Calibri"/>
              </w:rPr>
              <w:t>≥</w:t>
            </w:r>
            <w:r w:rsidRPr="00475F10">
              <w:t>0.040; 0 otherwise</w:t>
            </w:r>
          </w:p>
        </w:tc>
      </w:tr>
    </w:tbl>
    <w:p w:rsidR="00051CE7" w:rsidRDefault="0018460D" w:rsidP="00051CE7">
      <w:pPr>
        <w:spacing w:line="480" w:lineRule="auto"/>
        <w:jc w:val="both"/>
      </w:pPr>
      <w:r w:rsidRPr="00475F10">
        <w:t xml:space="preserve">CIA = complex index of arrhythmia; IAA = Index of Average </w:t>
      </w:r>
      <w:proofErr w:type="spellStart"/>
      <w:r w:rsidRPr="00475F10">
        <w:t>Alternans</w:t>
      </w:r>
      <w:proofErr w:type="spellEnd"/>
      <w:r w:rsidRPr="00475F10">
        <w:t>; LVEF = Left Ventricular Ejection Fraction; NSVT = Non-Sustained Ventricular Tachycardia; NYHA = New York Heart Association; PFD = Pump Failure Death; SCD = Sudden Cardiac Death; TMR = T-wave Morphology Restitution; TS = Turbulence Slope; VPB = Ventricular Premature Beat.</w:t>
      </w:r>
      <w:bookmarkStart w:id="0" w:name="_GoBack"/>
      <w:bookmarkEnd w:id="0"/>
    </w:p>
    <w:sectPr w:rsidR="00051CE7" w:rsidSect="00051CE7">
      <w:footerReference w:type="default" r:id="rId7"/>
      <w:pgSz w:w="12240" w:h="15840" w:code="1"/>
      <w:pgMar w:top="1440" w:right="1440" w:bottom="1440" w:left="1440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85" w:rsidRDefault="00983D85">
      <w:pPr>
        <w:spacing w:after="0" w:line="240" w:lineRule="auto"/>
      </w:pPr>
      <w:r>
        <w:separator/>
      </w:r>
    </w:p>
  </w:endnote>
  <w:endnote w:type="continuationSeparator" w:id="0">
    <w:p w:rsidR="00983D85" w:rsidRDefault="0098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98" w:rsidRDefault="00C5689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00D7">
      <w:rPr>
        <w:noProof/>
      </w:rPr>
      <w:t>1</w:t>
    </w:r>
    <w:r>
      <w:rPr>
        <w:noProof/>
      </w:rPr>
      <w:fldChar w:fldCharType="end"/>
    </w:r>
  </w:p>
  <w:p w:rsidR="00C56898" w:rsidRDefault="00C568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85" w:rsidRDefault="00983D85">
      <w:pPr>
        <w:spacing w:after="0" w:line="240" w:lineRule="auto"/>
      </w:pPr>
      <w:r>
        <w:separator/>
      </w:r>
    </w:p>
  </w:footnote>
  <w:footnote w:type="continuationSeparator" w:id="0">
    <w:p w:rsidR="00983D85" w:rsidRDefault="0098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A0F"/>
    <w:multiLevelType w:val="hybridMultilevel"/>
    <w:tmpl w:val="3E7ED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71A07"/>
    <w:multiLevelType w:val="hybridMultilevel"/>
    <w:tmpl w:val="23DC3C34"/>
    <w:lvl w:ilvl="0" w:tplc="EC6A5F22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7"/>
    <w:rsid w:val="000421AE"/>
    <w:rsid w:val="00051CE7"/>
    <w:rsid w:val="0009216A"/>
    <w:rsid w:val="0016518C"/>
    <w:rsid w:val="0018460D"/>
    <w:rsid w:val="001D00D7"/>
    <w:rsid w:val="00334DE8"/>
    <w:rsid w:val="00354FDC"/>
    <w:rsid w:val="003C702D"/>
    <w:rsid w:val="00475F10"/>
    <w:rsid w:val="00493288"/>
    <w:rsid w:val="004A02E9"/>
    <w:rsid w:val="005169D6"/>
    <w:rsid w:val="005E49EF"/>
    <w:rsid w:val="006A6B61"/>
    <w:rsid w:val="007344D2"/>
    <w:rsid w:val="007617B2"/>
    <w:rsid w:val="00983D85"/>
    <w:rsid w:val="00B007E8"/>
    <w:rsid w:val="00B74133"/>
    <w:rsid w:val="00BC7703"/>
    <w:rsid w:val="00C56898"/>
    <w:rsid w:val="00D3702A"/>
    <w:rsid w:val="00DD40E2"/>
    <w:rsid w:val="00E407C9"/>
    <w:rsid w:val="00F80B48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E973-7074-4A2D-AD32-2FE0627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E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1CE7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CE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051CE7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051CE7"/>
  </w:style>
  <w:style w:type="paragraph" w:styleId="Textodeglobo">
    <w:name w:val="Balloon Text"/>
    <w:basedOn w:val="Normal"/>
    <w:link w:val="TextodegloboCar"/>
    <w:uiPriority w:val="99"/>
    <w:semiHidden/>
    <w:unhideWhenUsed/>
    <w:rsid w:val="0005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E7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460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568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689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6898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TableGrid1">
    <w:name w:val="Table Grid1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Ramírez</dc:creator>
  <cp:lastModifiedBy>Julia</cp:lastModifiedBy>
  <cp:revision>3</cp:revision>
  <dcterms:created xsi:type="dcterms:W3CDTF">2017-09-29T08:27:00Z</dcterms:created>
  <dcterms:modified xsi:type="dcterms:W3CDTF">2017-09-29T08:27:00Z</dcterms:modified>
</cp:coreProperties>
</file>