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4818" w:rsidRPr="00C74818" w:rsidRDefault="00C74818" w:rsidP="00C74818">
      <w:pPr>
        <w:spacing w:after="160" w:line="256" w:lineRule="auto"/>
        <w:ind w:left="0" w:firstLine="0"/>
        <w:jc w:val="left"/>
        <w:rPr>
          <w:b/>
          <w:sz w:val="36"/>
          <w:szCs w:val="36"/>
        </w:rPr>
      </w:pPr>
      <w:r w:rsidRPr="00C74818">
        <w:rPr>
          <w:b/>
          <w:sz w:val="36"/>
          <w:szCs w:val="36"/>
        </w:rPr>
        <w:t xml:space="preserve">S6 File. Analyses with the InterVA-4 model for </w:t>
      </w:r>
      <w:r>
        <w:rPr>
          <w:b/>
          <w:sz w:val="36"/>
          <w:szCs w:val="36"/>
        </w:rPr>
        <w:t>Cause-of-Death</w:t>
      </w:r>
      <w:r w:rsidRPr="00C74818">
        <w:rPr>
          <w:b/>
          <w:sz w:val="36"/>
          <w:szCs w:val="36"/>
        </w:rPr>
        <w:t xml:space="preserve"> </w:t>
      </w:r>
      <w:r>
        <w:rPr>
          <w:b/>
          <w:sz w:val="36"/>
          <w:szCs w:val="36"/>
        </w:rPr>
        <w:t>(</w:t>
      </w:r>
      <w:proofErr w:type="spellStart"/>
      <w:r>
        <w:rPr>
          <w:b/>
          <w:sz w:val="36"/>
          <w:szCs w:val="36"/>
        </w:rPr>
        <w:t>CoD</w:t>
      </w:r>
      <w:proofErr w:type="spellEnd"/>
      <w:r>
        <w:rPr>
          <w:b/>
          <w:sz w:val="36"/>
          <w:szCs w:val="36"/>
        </w:rPr>
        <w:t xml:space="preserve">) </w:t>
      </w:r>
      <w:r w:rsidRPr="00C74818">
        <w:rPr>
          <w:b/>
          <w:sz w:val="36"/>
          <w:szCs w:val="36"/>
        </w:rPr>
        <w:t>attribution</w:t>
      </w:r>
    </w:p>
    <w:p w:rsidR="00C74818" w:rsidRDefault="00C74818" w:rsidP="00C74818">
      <w:pPr>
        <w:spacing w:after="3" w:line="256" w:lineRule="auto"/>
        <w:ind w:right="56"/>
        <w:jc w:val="left"/>
      </w:pPr>
    </w:p>
    <w:p w:rsidR="00C74818" w:rsidRDefault="00C74818" w:rsidP="00C74818">
      <w:pPr>
        <w:spacing w:after="241" w:line="240" w:lineRule="auto"/>
        <w:ind w:right="129"/>
        <w:jc w:val="left"/>
      </w:pPr>
      <w:r>
        <w:t xml:space="preserve">All analyses were repeated with the InterVA-4 model to assign causes of death </w:t>
      </w:r>
      <w:r>
        <w:fldChar w:fldCharType="begin">
          <w:fldData xml:space="preserve">PEVuZE5vdGU+PENpdGU+PEF1dGhvcj5CeWFzczwvQXV0aG9yPjxZZWFyPjIwMTI8L1llYXI+PFJl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=
</w:fldData>
        </w:fldChar>
      </w:r>
      <w:r>
        <w:instrText xml:space="preserve"> ADDIN EN.CITE </w:instrText>
      </w:r>
      <w:r>
        <w:fldChar w:fldCharType="begin">
          <w:fldData xml:space="preserve">PEVuZE5vdGU+PENpdGU+PEF1dGhvcj5CeWFzczwvQXV0aG9yPjxZZWFyPjIwMTI8L1llYXI+PFJl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=
</w:fldData>
        </w:fldChar>
      </w:r>
      <w:r>
        <w:instrText xml:space="preserve"> ADDIN EN.CITE.DATA </w:instrText>
      </w:r>
      <w:r>
        <w:fldChar w:fldCharType="end"/>
      </w:r>
      <w:r>
        <w:fldChar w:fldCharType="separate"/>
      </w:r>
      <w:r>
        <w:rPr>
          <w:noProof/>
        </w:rPr>
        <w:t>[1]</w:t>
      </w:r>
      <w:r>
        <w:fldChar w:fldCharType="end"/>
      </w:r>
      <w:r>
        <w:t xml:space="preserve">. We used the R version (v1.5) of the model with the replicate option set to false, which fixes known bugs from </w:t>
      </w:r>
      <w:proofErr w:type="spellStart"/>
      <w:r>
        <w:t>InterVA</w:t>
      </w:r>
      <w:proofErr w:type="spellEnd"/>
      <w:r>
        <w:t xml:space="preserve"> v.4.02 </w:t>
      </w:r>
      <w:r>
        <w:fldChar w:fldCharType="begin"/>
      </w:r>
      <w:r>
        <w:instrText xml:space="preserve"> ADDIN EN.CITE &lt;EndNote&gt;&lt;Cite&gt;&lt;Author&gt;Zehang&lt;/Author&gt;&lt;Year&gt;2014&lt;/Year&gt;&lt;RecNum&gt;869&lt;/RecNum&gt;&lt;DisplayText&gt;[2]&lt;/DisplayText&gt;&lt;record&gt;&lt;rec-number&gt;869&lt;/rec-number&gt;&lt;foreign-keys&gt;&lt;key app="EN" db-id="zaaxp52zwwv05teersr5552ntsdffasrzzr9" timestamp="1477312471"&gt;869&lt;/key&gt;&lt;/foreign-keys&gt;&lt;ref-type name="Manuscript"&gt;36&lt;/ref-type&gt;&lt;contributors&gt;&lt;authors&gt;&lt;author&gt;Zehang, L.&lt;/author&gt;&lt;author&gt;McCormick, T.&lt;/author&gt;&lt;author&gt;Clark, S.&lt;/author&gt;&lt;/authors&gt;&lt;secondary-authors&gt;&lt;author&gt;University of Washington,&lt;/author&gt;&lt;/secondary-authors&gt;&lt;/contributors&gt;&lt;titles&gt;&lt;title&gt;InterVA4: An R package to analyze verbal autopsy data&lt;/title&gt;&lt;secondary-title&gt;CSSS Working Paper&lt;/secondary-title&gt;&lt;/titles&gt;&lt;num-vols&gt;146&lt;/num-vols&gt;&lt;dates&gt;&lt;year&gt;2014&lt;/year&gt;&lt;/dates&gt;&lt;urls&gt;&lt;/urls&gt;&lt;/record&gt;&lt;/Cite&gt;&lt;/EndNote&gt;</w:instrText>
      </w:r>
      <w:r>
        <w:fldChar w:fldCharType="separate"/>
      </w:r>
      <w:r>
        <w:rPr>
          <w:noProof/>
        </w:rPr>
        <w:t>[2]</w:t>
      </w:r>
      <w:r>
        <w:fldChar w:fldCharType="end"/>
      </w:r>
      <w:r>
        <w:t xml:space="preserve">. </w:t>
      </w:r>
      <w:proofErr w:type="spellStart"/>
      <w:r>
        <w:t>InterVA</w:t>
      </w:r>
      <w:proofErr w:type="spellEnd"/>
      <w:r>
        <w:t xml:space="preserve"> generates one to three probable </w:t>
      </w:r>
      <w:proofErr w:type="spellStart"/>
      <w:r>
        <w:t>CoDs</w:t>
      </w:r>
      <w:proofErr w:type="spellEnd"/>
      <w:r>
        <w:t xml:space="preserve"> with their corresponding likelihoods (not necessarily summing to 100%) or an indeterminate </w:t>
      </w:r>
      <w:proofErr w:type="spellStart"/>
      <w:r>
        <w:t>CoD</w:t>
      </w:r>
      <w:proofErr w:type="spellEnd"/>
      <w:r>
        <w:t xml:space="preserve"> with 100% likelihood. If the likelihood does not sum to 100%, the residual fraction is assigned an indeterminate status. Likelihoods were summed by sex, age group, HIV status, and </w:t>
      </w:r>
      <w:proofErr w:type="spellStart"/>
      <w:r>
        <w:t>CoD</w:t>
      </w:r>
      <w:proofErr w:type="spellEnd"/>
      <w:r>
        <w:t xml:space="preserve"> group to estimate cause-specific mortality fractions. As with the analyses based on </w:t>
      </w:r>
      <w:proofErr w:type="spellStart"/>
      <w:r>
        <w:t>InSilicoVA</w:t>
      </w:r>
      <w:proofErr w:type="spellEnd"/>
      <w:r>
        <w:t xml:space="preserve">, deaths with incomplete VAs were excluded. </w:t>
      </w:r>
    </w:p>
    <w:p w:rsidR="00C74818" w:rsidRDefault="00C74818" w:rsidP="00C74818">
      <w:pPr>
        <w:spacing w:after="3" w:line="256" w:lineRule="auto"/>
        <w:ind w:right="56"/>
        <w:jc w:val="left"/>
      </w:pPr>
      <w:r>
        <w:t xml:space="preserve">The model was run with malaria prevalence set to low and HIV prevalence set </w:t>
      </w:r>
      <w:proofErr w:type="spellStart"/>
      <w:r>
        <w:t>to</w:t>
      </w:r>
      <w:proofErr w:type="spellEnd"/>
      <w:r>
        <w:t xml:space="preserve"> high for the known HIV positive population, and with both malaria and HIV prevalence set </w:t>
      </w:r>
      <w:proofErr w:type="spellStart"/>
      <w:r>
        <w:t>to</w:t>
      </w:r>
      <w:proofErr w:type="spellEnd"/>
      <w:r>
        <w:t xml:space="preserve"> low for the known HIV negative population. </w:t>
      </w:r>
      <w:proofErr w:type="spellStart"/>
      <w:proofErr w:type="gramStart"/>
      <w:r>
        <w:t>CoD</w:t>
      </w:r>
      <w:proofErr w:type="spellEnd"/>
      <w:r>
        <w:t xml:space="preserve"> attribution was done separately by HIV status</w:t>
      </w:r>
      <w:proofErr w:type="gramEnd"/>
      <w:r>
        <w:t xml:space="preserve"> to minimize misclassification of HIV-associated deaths. </w:t>
      </w:r>
      <w:proofErr w:type="spellStart"/>
      <w:r>
        <w:t>InterVA</w:t>
      </w:r>
      <w:proofErr w:type="spellEnd"/>
      <w:r>
        <w:t xml:space="preserve"> uses the same </w:t>
      </w:r>
      <w:proofErr w:type="spellStart"/>
      <w:r>
        <w:t>CoD</w:t>
      </w:r>
      <w:proofErr w:type="spellEnd"/>
      <w:r>
        <w:t xml:space="preserve"> classification scheme as </w:t>
      </w:r>
      <w:proofErr w:type="spellStart"/>
      <w:r>
        <w:t>InSilicoVA</w:t>
      </w:r>
      <w:proofErr w:type="spellEnd"/>
      <w:r>
        <w:t xml:space="preserve">, but does also classify a portion of the deaths as indeterminate. In contrast, </w:t>
      </w:r>
      <w:proofErr w:type="spellStart"/>
      <w:r>
        <w:t>InSilicoVA</w:t>
      </w:r>
      <w:proofErr w:type="spellEnd"/>
      <w:r>
        <w:t xml:space="preserve"> attributes deaths with weakly specified causes to the residual categories of other communicable and other non-communicable diseases. </w:t>
      </w:r>
    </w:p>
    <w:p w:rsidR="00C74818" w:rsidRDefault="00C74818" w:rsidP="00C74818">
      <w:pPr>
        <w:spacing w:after="3" w:line="256" w:lineRule="auto"/>
        <w:ind w:right="56"/>
        <w:jc w:val="left"/>
      </w:pPr>
    </w:p>
    <w:p w:rsidR="00C74818" w:rsidRDefault="00C052D7" w:rsidP="00C74818">
      <w:pPr>
        <w:spacing w:after="238" w:line="240" w:lineRule="auto"/>
        <w:ind w:left="0"/>
        <w:jc w:val="left"/>
        <w:rPr>
          <w:b/>
          <w:sz w:val="20"/>
          <w:szCs w:val="20"/>
        </w:rPr>
      </w:pPr>
      <w:r>
        <w:rPr>
          <w:b/>
          <w:sz w:val="20"/>
          <w:szCs w:val="20"/>
        </w:rPr>
        <w:t xml:space="preserve">Fig </w:t>
      </w:r>
      <w:r w:rsidR="00780951">
        <w:rPr>
          <w:b/>
          <w:sz w:val="20"/>
          <w:szCs w:val="20"/>
        </w:rPr>
        <w:t>A</w:t>
      </w:r>
      <w:r w:rsidR="00C74818">
        <w:rPr>
          <w:b/>
          <w:sz w:val="20"/>
          <w:szCs w:val="20"/>
        </w:rPr>
        <w:t xml:space="preserve">. Cause-specific mortality fractions for adult deaths using InterVA-4 to assign cause of death, by sex and HIV status (2010-2014) </w:t>
      </w:r>
    </w:p>
    <w:p w:rsidR="00C74818" w:rsidRDefault="00C74818" w:rsidP="00C74818">
      <w:pPr>
        <w:pStyle w:val="ListParagraph"/>
        <w:numPr>
          <w:ilvl w:val="0"/>
          <w:numId w:val="1"/>
        </w:numPr>
        <w:spacing w:after="0" w:line="249" w:lineRule="auto"/>
        <w:rPr>
          <w:b/>
          <w:sz w:val="20"/>
          <w:szCs w:val="20"/>
        </w:rPr>
      </w:pPr>
      <w:r>
        <w:rPr>
          <w:b/>
          <w:sz w:val="20"/>
          <w:szCs w:val="20"/>
        </w:rPr>
        <w:t>HIV negative</w:t>
      </w:r>
      <w:r>
        <w:rPr>
          <w:b/>
          <w:sz w:val="20"/>
          <w:szCs w:val="20"/>
        </w:rPr>
        <w:tab/>
      </w:r>
      <w:r>
        <w:rPr>
          <w:b/>
          <w:sz w:val="20"/>
          <w:szCs w:val="20"/>
        </w:rPr>
        <w:tab/>
      </w:r>
      <w:r>
        <w:rPr>
          <w:b/>
          <w:sz w:val="20"/>
          <w:szCs w:val="20"/>
        </w:rPr>
        <w:tab/>
        <w:t>(b) HIV positive</w:t>
      </w:r>
    </w:p>
    <w:p w:rsidR="00C74818" w:rsidRDefault="00C74818" w:rsidP="00C74818">
      <w:pPr>
        <w:spacing w:after="238" w:line="240" w:lineRule="auto"/>
        <w:ind w:left="0"/>
        <w:jc w:val="left"/>
        <w:rPr>
          <w:sz w:val="20"/>
          <w:szCs w:val="20"/>
        </w:rPr>
      </w:pPr>
      <w:r>
        <w:rPr>
          <w:noProof/>
          <w:sz w:val="20"/>
          <w:szCs w:val="20"/>
          <w:lang w:val="en-US" w:eastAsia="en-US"/>
        </w:rPr>
        <w:drawing>
          <wp:inline distT="0" distB="0" distL="0" distR="0">
            <wp:extent cx="4678680" cy="2682240"/>
            <wp:effectExtent l="0" t="0" r="762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extLst>
                        <a:ext uri="{28A0092B-C50C-407E-A947-70E740481C1C}">
                          <a14:useLocalDpi xmlns:a14="http://schemas.microsoft.com/office/drawing/2010/main" val="0"/>
                        </a:ext>
                      </a:extLst>
                    </a:blip>
                    <a:srcRect r="20493" b="9897"/>
                    <a:stretch>
                      <a:fillRect/>
                    </a:stretch>
                  </pic:blipFill>
                  <pic:spPr bwMode="auto">
                    <a:xfrm>
                      <a:off x="0" y="0"/>
                      <a:ext cx="4678680" cy="2682240"/>
                    </a:xfrm>
                    <a:prstGeom prst="rect">
                      <a:avLst/>
                    </a:prstGeom>
                    <a:noFill/>
                    <a:ln>
                      <a:noFill/>
                    </a:ln>
                  </pic:spPr>
                </pic:pic>
              </a:graphicData>
            </a:graphic>
          </wp:inline>
        </w:drawing>
      </w:r>
    </w:p>
    <w:p w:rsidR="00C74818" w:rsidRDefault="00C74818" w:rsidP="00C74818">
      <w:pPr>
        <w:spacing w:after="238" w:line="240" w:lineRule="auto"/>
        <w:ind w:left="0"/>
        <w:jc w:val="center"/>
        <w:rPr>
          <w:sz w:val="20"/>
          <w:szCs w:val="20"/>
        </w:rPr>
      </w:pPr>
      <w:r>
        <w:rPr>
          <w:noProof/>
          <w:sz w:val="20"/>
          <w:szCs w:val="20"/>
        </w:rPr>
        <w:drawing>
          <wp:inline distT="0" distB="0" distL="0" distR="0">
            <wp:extent cx="4602480" cy="548640"/>
            <wp:effectExtent l="0" t="0" r="762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02480" cy="548640"/>
                    </a:xfrm>
                    <a:prstGeom prst="rect">
                      <a:avLst/>
                    </a:prstGeom>
                    <a:noFill/>
                    <a:ln>
                      <a:noFill/>
                    </a:ln>
                  </pic:spPr>
                </pic:pic>
              </a:graphicData>
            </a:graphic>
          </wp:inline>
        </w:drawing>
      </w:r>
    </w:p>
    <w:p w:rsidR="00C74818" w:rsidRDefault="00C052D7" w:rsidP="00C74818">
      <w:pPr>
        <w:spacing w:after="3" w:line="256" w:lineRule="auto"/>
        <w:ind w:right="56"/>
        <w:jc w:val="left"/>
      </w:pPr>
      <w:r>
        <w:t xml:space="preserve">Fig </w:t>
      </w:r>
      <w:r w:rsidR="00780951">
        <w:t>A</w:t>
      </w:r>
      <w:r w:rsidR="00C74818">
        <w:t xml:space="preserve"> summarizes the cause-specific mortality fractions by sex and HIV status. In the HIV negative population, non-communicable diseases were responsible for the majority (74%) of female deaths and just over half (54%) of male deaths, and communicable diseases caused more male deaths than female deaths (30% and 17%, respectively). Cardiovascular disease was the primary killer of women (30%); and pulmonary TB was the leading killer among men (22%). Injury-related deaths were also common among men (15%), but not as </w:t>
      </w:r>
      <w:r w:rsidR="00C74818">
        <w:lastRenderedPageBreak/>
        <w:t xml:space="preserve">frequent among women (6%). InterVA-4 was unable to determine the </w:t>
      </w:r>
      <w:proofErr w:type="spellStart"/>
      <w:r w:rsidR="00C74818">
        <w:t>CoD</w:t>
      </w:r>
      <w:proofErr w:type="spellEnd"/>
      <w:r w:rsidR="00C74818">
        <w:t xml:space="preserve"> for 3% of women and 1% of men.</w:t>
      </w:r>
    </w:p>
    <w:p w:rsidR="00C74818" w:rsidRDefault="00C74818" w:rsidP="00C74818">
      <w:pPr>
        <w:spacing w:after="3" w:line="256" w:lineRule="auto"/>
        <w:ind w:right="56"/>
        <w:jc w:val="left"/>
        <w:rPr>
          <w:highlight w:val="yellow"/>
        </w:rPr>
      </w:pPr>
    </w:p>
    <w:p w:rsidR="00C74818" w:rsidRDefault="00C74818" w:rsidP="00C74818">
      <w:pPr>
        <w:spacing w:after="238" w:line="240" w:lineRule="auto"/>
        <w:ind w:left="0"/>
        <w:jc w:val="left"/>
      </w:pPr>
      <w:r>
        <w:t xml:space="preserve">Among PLHIV, approximately </w:t>
      </w:r>
      <w:proofErr w:type="gramStart"/>
      <w:r>
        <w:t>three quarters of all deaths were caused by HIV/AIDS or TB</w:t>
      </w:r>
      <w:proofErr w:type="gramEnd"/>
      <w:r>
        <w:t xml:space="preserve"> (73% of female deaths and 78% of male deaths), with a higher proportion of women dying from HIV/AIDS than men, and a higher proportion of men dying from TB. Non-communicable diseases were responsible for 11% of male deaths and 13% of female deaths. External causes accounted for 8% and 3% of male and female deaths, respectively. Among PLHIV, the cause of death could not be determined for 5% of female deaths and under 1% of male deaths. </w:t>
      </w:r>
    </w:p>
    <w:p w:rsidR="00C74818" w:rsidRDefault="00C74818" w:rsidP="00C74818">
      <w:pPr>
        <w:spacing w:after="238" w:line="240" w:lineRule="auto"/>
        <w:ind w:left="0"/>
        <w:jc w:val="left"/>
        <w:rPr>
          <w:szCs w:val="20"/>
        </w:rPr>
      </w:pPr>
      <w:r>
        <w:rPr>
          <w:szCs w:val="20"/>
        </w:rPr>
        <w:t>The age-cause decomposition of the sex differences in adult LE b</w:t>
      </w:r>
      <w:r w:rsidR="00C052D7">
        <w:rPr>
          <w:szCs w:val="20"/>
        </w:rPr>
        <w:t xml:space="preserve">y HIV status are shown in Fig </w:t>
      </w:r>
      <w:r w:rsidR="00780951">
        <w:rPr>
          <w:szCs w:val="20"/>
        </w:rPr>
        <w:t>B</w:t>
      </w:r>
      <w:r w:rsidR="00C052D7">
        <w:rPr>
          <w:szCs w:val="20"/>
        </w:rPr>
        <w:t xml:space="preserve">. Table </w:t>
      </w:r>
      <w:r w:rsidR="00780951">
        <w:rPr>
          <w:szCs w:val="20"/>
        </w:rPr>
        <w:t>A</w:t>
      </w:r>
      <w:r>
        <w:rPr>
          <w:szCs w:val="20"/>
        </w:rPr>
        <w:t xml:space="preserve"> aggregates the contributions for each cause over age. Among HIV negatives, the female mortality advantage mostly resulted from lower mortality rates due to pulmonary TB, injuries, and non-communicable diseases. Differences in injury-related mortality contributed 4.0 years to the female LE advantage, and this was mostly accrued among individuals under 45 years of age. Excess male mortality from pulmonary TB and non-communicable diseases were responsible for a female advantage of 4.4 and 4.3 years, respectively, and this was mostly accrued among individuals above age 45.</w:t>
      </w:r>
    </w:p>
    <w:p w:rsidR="00C74818" w:rsidRDefault="00C74818" w:rsidP="00C74818">
      <w:pPr>
        <w:spacing w:after="295" w:line="240" w:lineRule="auto"/>
        <w:ind w:left="0"/>
        <w:jc w:val="left"/>
        <w:rPr>
          <w:szCs w:val="20"/>
        </w:rPr>
      </w:pPr>
      <w:r>
        <w:rPr>
          <w:szCs w:val="20"/>
        </w:rPr>
        <w:t xml:space="preserve">Among PLHIV, pulmonary TB was the most common cause for men’s excess mortality, accounting for 7.4 years of the </w:t>
      </w:r>
      <w:proofErr w:type="gramStart"/>
      <w:r>
        <w:rPr>
          <w:szCs w:val="20"/>
        </w:rPr>
        <w:t>11.2 year</w:t>
      </w:r>
      <w:proofErr w:type="gramEnd"/>
      <w:r>
        <w:rPr>
          <w:szCs w:val="20"/>
        </w:rPr>
        <w:t xml:space="preserve"> gap in adult LE. The second most important factor was HIV/AIDS, which reduced men’s adult LE by 1.9 years compared to women. Excess male mortality from injuries accounted for an additional 1.7 years of the LE difference between men and women. </w:t>
      </w:r>
    </w:p>
    <w:p w:rsidR="00C74818" w:rsidRDefault="00C74818" w:rsidP="00C74818">
      <w:pPr>
        <w:spacing w:after="295" w:line="240" w:lineRule="auto"/>
        <w:ind w:left="-10" w:firstLine="0"/>
        <w:jc w:val="left"/>
        <w:rPr>
          <w:b/>
          <w:sz w:val="20"/>
          <w:szCs w:val="20"/>
        </w:rPr>
      </w:pPr>
      <w:r>
        <w:rPr>
          <w:b/>
          <w:sz w:val="20"/>
          <w:szCs w:val="20"/>
        </w:rPr>
        <w:t>Fig</w:t>
      </w:r>
      <w:r w:rsidR="00780951">
        <w:rPr>
          <w:b/>
          <w:sz w:val="20"/>
          <w:szCs w:val="20"/>
        </w:rPr>
        <w:t xml:space="preserve"> B</w:t>
      </w:r>
      <w:r>
        <w:rPr>
          <w:b/>
          <w:sz w:val="20"/>
          <w:szCs w:val="20"/>
        </w:rPr>
        <w:t>. Age-cause decomposition of the female advantage in adult life expectancy using InterVA-4 to assign cause of death, by HIV status (2010-2014)</w:t>
      </w:r>
    </w:p>
    <w:p w:rsidR="00C74818" w:rsidRDefault="00C74818" w:rsidP="00C74818">
      <w:pPr>
        <w:spacing w:after="0" w:line="240" w:lineRule="auto"/>
        <w:ind w:left="0"/>
        <w:jc w:val="left"/>
        <w:rPr>
          <w:sz w:val="20"/>
          <w:szCs w:val="20"/>
        </w:rPr>
      </w:pPr>
      <w:r>
        <w:rPr>
          <w:noProof/>
          <w:sz w:val="20"/>
          <w:szCs w:val="20"/>
          <w:lang w:val="en-US" w:eastAsia="en-US"/>
        </w:rPr>
        <w:drawing>
          <wp:inline distT="0" distB="0" distL="0" distR="0">
            <wp:extent cx="5890260" cy="3390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 cstate="print">
                      <a:extLst>
                        <a:ext uri="{28A0092B-C50C-407E-A947-70E740481C1C}">
                          <a14:useLocalDpi xmlns:a14="http://schemas.microsoft.com/office/drawing/2010/main" val="0"/>
                        </a:ext>
                      </a:extLst>
                    </a:blip>
                    <a:srcRect t="1527" b="19170"/>
                    <a:stretch>
                      <a:fillRect/>
                    </a:stretch>
                  </pic:blipFill>
                  <pic:spPr bwMode="auto">
                    <a:xfrm>
                      <a:off x="0" y="0"/>
                      <a:ext cx="5890260" cy="3390900"/>
                    </a:xfrm>
                    <a:prstGeom prst="rect">
                      <a:avLst/>
                    </a:prstGeom>
                    <a:noFill/>
                    <a:ln>
                      <a:noFill/>
                    </a:ln>
                  </pic:spPr>
                </pic:pic>
              </a:graphicData>
            </a:graphic>
          </wp:inline>
        </w:drawing>
      </w:r>
    </w:p>
    <w:p w:rsidR="00C74818" w:rsidRDefault="00C74818" w:rsidP="00C74818">
      <w:pPr>
        <w:spacing w:after="0" w:line="240" w:lineRule="auto"/>
        <w:ind w:left="0"/>
        <w:jc w:val="center"/>
        <w:rPr>
          <w:sz w:val="20"/>
          <w:szCs w:val="20"/>
        </w:rPr>
      </w:pPr>
      <w:r>
        <w:rPr>
          <w:noProof/>
          <w:sz w:val="20"/>
          <w:szCs w:val="20"/>
        </w:rPr>
        <w:drawing>
          <wp:inline distT="0" distB="0" distL="0" distR="0">
            <wp:extent cx="4602480" cy="548640"/>
            <wp:effectExtent l="0" t="0" r="762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02480" cy="548640"/>
                    </a:xfrm>
                    <a:prstGeom prst="rect">
                      <a:avLst/>
                    </a:prstGeom>
                    <a:noFill/>
                    <a:ln>
                      <a:noFill/>
                    </a:ln>
                  </pic:spPr>
                </pic:pic>
              </a:graphicData>
            </a:graphic>
          </wp:inline>
        </w:drawing>
      </w:r>
    </w:p>
    <w:p w:rsidR="00C74818" w:rsidRDefault="00C74818" w:rsidP="00C74818">
      <w:pPr>
        <w:spacing w:after="50" w:line="249" w:lineRule="auto"/>
        <w:ind w:left="0"/>
        <w:jc w:val="left"/>
        <w:rPr>
          <w:b/>
          <w:sz w:val="20"/>
          <w:szCs w:val="20"/>
        </w:rPr>
      </w:pPr>
    </w:p>
    <w:p w:rsidR="00C74818" w:rsidRDefault="00C74818" w:rsidP="00C74818">
      <w:pPr>
        <w:spacing w:after="50" w:line="249" w:lineRule="auto"/>
        <w:ind w:left="0"/>
        <w:jc w:val="left"/>
        <w:rPr>
          <w:b/>
          <w:sz w:val="20"/>
          <w:szCs w:val="20"/>
        </w:rPr>
      </w:pPr>
    </w:p>
    <w:p w:rsidR="00C74818" w:rsidRDefault="00780951" w:rsidP="00C74818">
      <w:pPr>
        <w:spacing w:after="50" w:line="249" w:lineRule="auto"/>
        <w:ind w:left="0"/>
        <w:jc w:val="left"/>
        <w:rPr>
          <w:b/>
          <w:sz w:val="20"/>
          <w:szCs w:val="20"/>
        </w:rPr>
      </w:pPr>
      <w:r>
        <w:rPr>
          <w:b/>
          <w:sz w:val="20"/>
          <w:szCs w:val="20"/>
        </w:rPr>
        <w:t>Table A</w:t>
      </w:r>
      <w:r w:rsidR="00C74818">
        <w:rPr>
          <w:b/>
          <w:sz w:val="20"/>
          <w:szCs w:val="20"/>
        </w:rPr>
        <w:t>: Contribution of each cause of death (</w:t>
      </w:r>
      <w:proofErr w:type="spellStart"/>
      <w:r w:rsidR="00C74818">
        <w:rPr>
          <w:b/>
          <w:sz w:val="20"/>
          <w:szCs w:val="20"/>
        </w:rPr>
        <w:t>CoD</w:t>
      </w:r>
      <w:proofErr w:type="spellEnd"/>
      <w:r w:rsidR="00C74818">
        <w:rPr>
          <w:b/>
          <w:sz w:val="20"/>
          <w:szCs w:val="20"/>
        </w:rPr>
        <w:t xml:space="preserve">) to the female advantage in adult life expectancy using InterVA-4 to assign </w:t>
      </w:r>
      <w:proofErr w:type="spellStart"/>
      <w:r w:rsidR="00C74818">
        <w:rPr>
          <w:b/>
          <w:sz w:val="20"/>
          <w:szCs w:val="20"/>
        </w:rPr>
        <w:t>CoD</w:t>
      </w:r>
      <w:proofErr w:type="spellEnd"/>
      <w:r w:rsidR="00C74818">
        <w:rPr>
          <w:b/>
          <w:sz w:val="20"/>
          <w:szCs w:val="20"/>
        </w:rPr>
        <w:t>, by HIV status (2010-2014)</w:t>
      </w:r>
    </w:p>
    <w:p w:rsidR="00C74818" w:rsidRDefault="00C74818" w:rsidP="00C74818">
      <w:pPr>
        <w:spacing w:after="50" w:line="249" w:lineRule="auto"/>
        <w:ind w:left="0"/>
        <w:jc w:val="left"/>
        <w:rPr>
          <w:b/>
          <w:sz w:val="20"/>
          <w:szCs w:val="20"/>
        </w:rPr>
      </w:pPr>
    </w:p>
    <w:tbl>
      <w:tblPr>
        <w:tblW w:w="8100" w:type="dxa"/>
        <w:tblLayout w:type="fixed"/>
        <w:tblLook w:val="04A0" w:firstRow="1" w:lastRow="0" w:firstColumn="1" w:lastColumn="0" w:noHBand="0" w:noVBand="1"/>
      </w:tblPr>
      <w:tblGrid>
        <w:gridCol w:w="3420"/>
        <w:gridCol w:w="1486"/>
        <w:gridCol w:w="854"/>
        <w:gridCol w:w="628"/>
        <w:gridCol w:w="1082"/>
        <w:gridCol w:w="630"/>
      </w:tblGrid>
      <w:tr w:rsidR="00C74818" w:rsidTr="00C74818">
        <w:trPr>
          <w:trHeight w:val="300"/>
        </w:trPr>
        <w:tc>
          <w:tcPr>
            <w:tcW w:w="3420" w:type="dxa"/>
            <w:vMerge w:val="restart"/>
            <w:tcBorders>
              <w:top w:val="single" w:sz="8" w:space="0" w:color="7F7F7F"/>
              <w:left w:val="nil"/>
              <w:bottom w:val="nil"/>
              <w:right w:val="nil"/>
            </w:tcBorders>
            <w:vAlign w:val="center"/>
            <w:hideMark/>
          </w:tcPr>
          <w:p w:rsidR="00C74818" w:rsidRDefault="00C74818">
            <w:pPr>
              <w:spacing w:after="0" w:line="240" w:lineRule="auto"/>
              <w:ind w:left="0" w:firstLine="0"/>
              <w:jc w:val="left"/>
              <w:rPr>
                <w:rFonts w:eastAsia="Times New Roman"/>
                <w:b/>
                <w:bCs/>
                <w:sz w:val="20"/>
                <w:szCs w:val="20"/>
                <w:lang w:val="en-US" w:eastAsia="en-US"/>
              </w:rPr>
            </w:pPr>
            <w:r>
              <w:rPr>
                <w:rFonts w:eastAsia="Times New Roman"/>
                <w:b/>
                <w:bCs/>
                <w:sz w:val="20"/>
                <w:szCs w:val="20"/>
                <w:lang w:eastAsia="en-US"/>
              </w:rPr>
              <w:t>Cause of death</w:t>
            </w:r>
          </w:p>
        </w:tc>
        <w:tc>
          <w:tcPr>
            <w:tcW w:w="2968" w:type="dxa"/>
            <w:gridSpan w:val="3"/>
            <w:tcBorders>
              <w:top w:val="single" w:sz="8" w:space="0" w:color="7F7F7F"/>
              <w:left w:val="nil"/>
              <w:bottom w:val="single" w:sz="8" w:space="0" w:color="7F7F7F"/>
              <w:right w:val="nil"/>
            </w:tcBorders>
            <w:vAlign w:val="center"/>
            <w:hideMark/>
          </w:tcPr>
          <w:p w:rsidR="00C74818" w:rsidRDefault="00C74818">
            <w:pPr>
              <w:spacing w:after="0" w:line="240" w:lineRule="auto"/>
              <w:ind w:left="0" w:right="-744" w:firstLine="0"/>
              <w:jc w:val="center"/>
              <w:rPr>
                <w:rFonts w:eastAsia="Times New Roman"/>
                <w:b/>
                <w:bCs/>
                <w:sz w:val="20"/>
                <w:szCs w:val="20"/>
                <w:lang w:eastAsia="en-US"/>
              </w:rPr>
            </w:pPr>
            <w:r>
              <w:rPr>
                <w:rFonts w:eastAsia="Times New Roman"/>
                <w:b/>
                <w:bCs/>
                <w:sz w:val="20"/>
                <w:szCs w:val="20"/>
                <w:lang w:eastAsia="en-US"/>
              </w:rPr>
              <w:t>HIV negative</w:t>
            </w:r>
          </w:p>
        </w:tc>
        <w:tc>
          <w:tcPr>
            <w:tcW w:w="1712" w:type="dxa"/>
            <w:gridSpan w:val="2"/>
            <w:tcBorders>
              <w:top w:val="single" w:sz="8" w:space="0" w:color="7F7F7F"/>
              <w:left w:val="nil"/>
              <w:bottom w:val="single" w:sz="8" w:space="0" w:color="7F7F7F"/>
              <w:right w:val="nil"/>
            </w:tcBorders>
            <w:vAlign w:val="center"/>
            <w:hideMark/>
          </w:tcPr>
          <w:p w:rsidR="00C74818" w:rsidRDefault="00C74818">
            <w:pPr>
              <w:spacing w:after="0" w:line="240" w:lineRule="auto"/>
              <w:ind w:left="0" w:right="-18" w:firstLine="0"/>
              <w:jc w:val="center"/>
              <w:rPr>
                <w:rFonts w:eastAsia="Times New Roman"/>
                <w:b/>
                <w:bCs/>
                <w:sz w:val="20"/>
                <w:szCs w:val="20"/>
                <w:lang w:eastAsia="en-US"/>
              </w:rPr>
            </w:pPr>
            <w:r>
              <w:rPr>
                <w:rFonts w:eastAsia="Times New Roman"/>
                <w:b/>
                <w:bCs/>
                <w:sz w:val="20"/>
                <w:szCs w:val="20"/>
                <w:lang w:eastAsia="en-US"/>
              </w:rPr>
              <w:t>HIV positive</w:t>
            </w:r>
          </w:p>
        </w:tc>
      </w:tr>
      <w:tr w:rsidR="00C74818" w:rsidTr="00C74818">
        <w:trPr>
          <w:trHeight w:val="528"/>
        </w:trPr>
        <w:tc>
          <w:tcPr>
            <w:tcW w:w="3420" w:type="dxa"/>
            <w:vMerge/>
            <w:tcBorders>
              <w:top w:val="single" w:sz="8" w:space="0" w:color="7F7F7F"/>
              <w:left w:val="nil"/>
              <w:bottom w:val="nil"/>
              <w:right w:val="nil"/>
            </w:tcBorders>
            <w:vAlign w:val="center"/>
            <w:hideMark/>
          </w:tcPr>
          <w:p w:rsidR="00C74818" w:rsidRDefault="00C74818">
            <w:pPr>
              <w:spacing w:after="0" w:line="256" w:lineRule="auto"/>
              <w:ind w:left="0" w:firstLine="0"/>
              <w:jc w:val="left"/>
              <w:rPr>
                <w:rFonts w:eastAsia="Times New Roman"/>
                <w:b/>
                <w:bCs/>
                <w:sz w:val="20"/>
                <w:szCs w:val="20"/>
                <w:lang w:val="en-US" w:eastAsia="en-US"/>
              </w:rPr>
            </w:pPr>
          </w:p>
        </w:tc>
        <w:tc>
          <w:tcPr>
            <w:tcW w:w="1486" w:type="dxa"/>
            <w:vAlign w:val="center"/>
            <w:hideMark/>
          </w:tcPr>
          <w:p w:rsidR="00C74818" w:rsidRDefault="00C74818">
            <w:pPr>
              <w:spacing w:after="0" w:line="240" w:lineRule="auto"/>
              <w:ind w:left="0" w:firstLine="0"/>
              <w:jc w:val="center"/>
              <w:rPr>
                <w:rFonts w:eastAsia="Times New Roman"/>
                <w:sz w:val="20"/>
                <w:szCs w:val="20"/>
                <w:lang w:eastAsia="en-US"/>
              </w:rPr>
            </w:pPr>
            <w:r>
              <w:rPr>
                <w:rFonts w:eastAsia="Times New Roman"/>
                <w:sz w:val="20"/>
                <w:szCs w:val="20"/>
                <w:lang w:eastAsia="en-US"/>
              </w:rPr>
              <w:t>Sex life-year</w:t>
            </w:r>
          </w:p>
          <w:p w:rsidR="00C74818" w:rsidRDefault="00C74818">
            <w:pPr>
              <w:spacing w:after="0" w:line="240" w:lineRule="auto"/>
              <w:ind w:left="0" w:firstLine="0"/>
              <w:jc w:val="center"/>
              <w:rPr>
                <w:rFonts w:eastAsia="Times New Roman"/>
                <w:sz w:val="20"/>
                <w:szCs w:val="20"/>
                <w:lang w:val="en-US" w:eastAsia="en-US"/>
              </w:rPr>
            </w:pPr>
            <w:r>
              <w:rPr>
                <w:rFonts w:eastAsia="Times New Roman"/>
                <w:sz w:val="20"/>
                <w:szCs w:val="20"/>
                <w:lang w:eastAsia="en-US"/>
              </w:rPr>
              <w:t xml:space="preserve"> difference</w:t>
            </w:r>
          </w:p>
        </w:tc>
        <w:tc>
          <w:tcPr>
            <w:tcW w:w="854" w:type="dxa"/>
            <w:vAlign w:val="center"/>
            <w:hideMark/>
          </w:tcPr>
          <w:p w:rsidR="00C74818" w:rsidRDefault="00C74818">
            <w:pPr>
              <w:spacing w:after="0" w:line="240" w:lineRule="auto"/>
              <w:ind w:left="0" w:firstLine="0"/>
              <w:jc w:val="center"/>
              <w:rPr>
                <w:rFonts w:eastAsia="Times New Roman"/>
                <w:sz w:val="20"/>
                <w:szCs w:val="20"/>
                <w:lang w:val="en-US" w:eastAsia="en-US"/>
              </w:rPr>
            </w:pPr>
            <w:r>
              <w:rPr>
                <w:rFonts w:eastAsia="Times New Roman"/>
                <w:sz w:val="20"/>
                <w:szCs w:val="20"/>
                <w:lang w:eastAsia="en-US"/>
              </w:rPr>
              <w:t>% *</w:t>
            </w:r>
          </w:p>
        </w:tc>
        <w:tc>
          <w:tcPr>
            <w:tcW w:w="1710" w:type="dxa"/>
            <w:gridSpan w:val="2"/>
            <w:vAlign w:val="center"/>
            <w:hideMark/>
          </w:tcPr>
          <w:p w:rsidR="00C74818" w:rsidRDefault="00C74818">
            <w:pPr>
              <w:spacing w:after="0" w:line="240" w:lineRule="auto"/>
              <w:ind w:left="0" w:firstLine="0"/>
              <w:jc w:val="center"/>
              <w:rPr>
                <w:rFonts w:eastAsia="Times New Roman"/>
                <w:sz w:val="20"/>
                <w:szCs w:val="20"/>
                <w:lang w:eastAsia="en-US"/>
              </w:rPr>
            </w:pPr>
            <w:r>
              <w:rPr>
                <w:rFonts w:eastAsia="Times New Roman"/>
                <w:sz w:val="20"/>
                <w:szCs w:val="20"/>
                <w:lang w:eastAsia="en-US"/>
              </w:rPr>
              <w:t xml:space="preserve">Sex life-year </w:t>
            </w:r>
          </w:p>
          <w:p w:rsidR="00C74818" w:rsidRDefault="00C74818">
            <w:pPr>
              <w:spacing w:after="0" w:line="240" w:lineRule="auto"/>
              <w:ind w:left="0" w:firstLine="0"/>
              <w:jc w:val="center"/>
              <w:rPr>
                <w:rFonts w:eastAsia="Times New Roman"/>
                <w:sz w:val="20"/>
                <w:szCs w:val="20"/>
                <w:lang w:val="en-US" w:eastAsia="en-US"/>
              </w:rPr>
            </w:pPr>
            <w:r>
              <w:rPr>
                <w:rFonts w:eastAsia="Times New Roman"/>
                <w:sz w:val="20"/>
                <w:szCs w:val="20"/>
                <w:lang w:eastAsia="en-US"/>
              </w:rPr>
              <w:t>difference</w:t>
            </w:r>
          </w:p>
        </w:tc>
        <w:tc>
          <w:tcPr>
            <w:tcW w:w="630" w:type="dxa"/>
            <w:vAlign w:val="center"/>
            <w:hideMark/>
          </w:tcPr>
          <w:p w:rsidR="00C74818" w:rsidRDefault="00C74818">
            <w:pPr>
              <w:spacing w:after="0" w:line="240" w:lineRule="auto"/>
              <w:ind w:left="0" w:firstLine="0"/>
              <w:jc w:val="center"/>
              <w:rPr>
                <w:rFonts w:eastAsia="Times New Roman"/>
                <w:sz w:val="20"/>
                <w:szCs w:val="20"/>
                <w:lang w:val="en-US" w:eastAsia="en-US"/>
              </w:rPr>
            </w:pPr>
            <w:r>
              <w:rPr>
                <w:rFonts w:eastAsia="Times New Roman"/>
                <w:sz w:val="20"/>
                <w:szCs w:val="20"/>
                <w:lang w:eastAsia="en-US"/>
              </w:rPr>
              <w:t>%*</w:t>
            </w:r>
          </w:p>
        </w:tc>
      </w:tr>
      <w:tr w:rsidR="00C74818" w:rsidTr="00C74818">
        <w:trPr>
          <w:trHeight w:val="288"/>
        </w:trPr>
        <w:tc>
          <w:tcPr>
            <w:tcW w:w="3420" w:type="dxa"/>
            <w:tcBorders>
              <w:top w:val="single" w:sz="4" w:space="0" w:color="auto"/>
              <w:left w:val="nil"/>
              <w:bottom w:val="nil"/>
              <w:right w:val="nil"/>
            </w:tcBorders>
            <w:vAlign w:val="center"/>
            <w:hideMark/>
          </w:tcPr>
          <w:p w:rsidR="00C74818" w:rsidRDefault="00C74818">
            <w:pPr>
              <w:spacing w:after="0" w:line="240" w:lineRule="auto"/>
              <w:ind w:left="0" w:firstLine="0"/>
              <w:jc w:val="left"/>
              <w:rPr>
                <w:rFonts w:eastAsia="Times New Roman"/>
                <w:sz w:val="20"/>
                <w:szCs w:val="20"/>
                <w:lang w:val="en-US" w:eastAsia="en-US"/>
              </w:rPr>
            </w:pPr>
            <w:r>
              <w:rPr>
                <w:rFonts w:eastAsia="Times New Roman"/>
                <w:bCs/>
                <w:sz w:val="20"/>
                <w:szCs w:val="20"/>
                <w:lang w:eastAsia="en-US"/>
              </w:rPr>
              <w:t xml:space="preserve">HIV/AIDS related </w:t>
            </w:r>
          </w:p>
        </w:tc>
        <w:tc>
          <w:tcPr>
            <w:tcW w:w="1486" w:type="dxa"/>
            <w:tcBorders>
              <w:top w:val="single" w:sz="4" w:space="0" w:color="auto"/>
              <w:left w:val="nil"/>
              <w:bottom w:val="nil"/>
              <w:right w:val="nil"/>
            </w:tcBorders>
            <w:vAlign w:val="center"/>
            <w:hideMark/>
          </w:tcPr>
          <w:p w:rsidR="00C74818" w:rsidRDefault="00C74818">
            <w:pPr>
              <w:spacing w:after="0" w:line="240" w:lineRule="auto"/>
              <w:ind w:left="0" w:firstLine="0"/>
              <w:jc w:val="center"/>
              <w:rPr>
                <w:rFonts w:eastAsia="Times New Roman"/>
                <w:sz w:val="20"/>
                <w:szCs w:val="20"/>
                <w:lang w:val="en-US" w:eastAsia="en-US"/>
              </w:rPr>
            </w:pPr>
            <w:r>
              <w:rPr>
                <w:rFonts w:eastAsia="Times New Roman"/>
                <w:sz w:val="20"/>
                <w:szCs w:val="20"/>
                <w:lang w:eastAsia="en-US"/>
              </w:rPr>
              <w:t>0.4</w:t>
            </w:r>
          </w:p>
        </w:tc>
        <w:tc>
          <w:tcPr>
            <w:tcW w:w="854" w:type="dxa"/>
            <w:tcBorders>
              <w:top w:val="single" w:sz="4" w:space="0" w:color="auto"/>
              <w:left w:val="nil"/>
              <w:bottom w:val="nil"/>
              <w:right w:val="nil"/>
            </w:tcBorders>
            <w:vAlign w:val="center"/>
            <w:hideMark/>
          </w:tcPr>
          <w:p w:rsidR="00C74818" w:rsidRDefault="00C74818">
            <w:pPr>
              <w:spacing w:after="0" w:line="240" w:lineRule="auto"/>
              <w:ind w:left="0" w:firstLine="0"/>
              <w:jc w:val="center"/>
              <w:rPr>
                <w:rFonts w:eastAsia="Times New Roman"/>
                <w:sz w:val="20"/>
                <w:szCs w:val="20"/>
                <w:lang w:val="en-US" w:eastAsia="en-US"/>
              </w:rPr>
            </w:pPr>
            <w:r>
              <w:rPr>
                <w:rFonts w:eastAsia="Times New Roman"/>
                <w:sz w:val="20"/>
                <w:szCs w:val="20"/>
                <w:lang w:eastAsia="en-US"/>
              </w:rPr>
              <w:t>3.0</w:t>
            </w:r>
          </w:p>
        </w:tc>
        <w:tc>
          <w:tcPr>
            <w:tcW w:w="1710" w:type="dxa"/>
            <w:gridSpan w:val="2"/>
            <w:tcBorders>
              <w:top w:val="single" w:sz="4" w:space="0" w:color="auto"/>
              <w:left w:val="nil"/>
              <w:bottom w:val="nil"/>
              <w:right w:val="nil"/>
            </w:tcBorders>
            <w:vAlign w:val="center"/>
            <w:hideMark/>
          </w:tcPr>
          <w:p w:rsidR="00C74818" w:rsidRDefault="00C74818">
            <w:pPr>
              <w:spacing w:after="0" w:line="240" w:lineRule="auto"/>
              <w:ind w:left="0" w:firstLine="0"/>
              <w:jc w:val="center"/>
              <w:rPr>
                <w:rFonts w:eastAsia="Times New Roman"/>
                <w:sz w:val="20"/>
                <w:szCs w:val="20"/>
                <w:lang w:val="en-US" w:eastAsia="en-US"/>
              </w:rPr>
            </w:pPr>
            <w:r>
              <w:rPr>
                <w:rFonts w:eastAsia="Times New Roman"/>
                <w:sz w:val="20"/>
                <w:szCs w:val="20"/>
                <w:lang w:eastAsia="en-US"/>
              </w:rPr>
              <w:t>1.9</w:t>
            </w:r>
          </w:p>
        </w:tc>
        <w:tc>
          <w:tcPr>
            <w:tcW w:w="630" w:type="dxa"/>
            <w:tcBorders>
              <w:top w:val="single" w:sz="4" w:space="0" w:color="auto"/>
              <w:left w:val="nil"/>
              <w:bottom w:val="nil"/>
              <w:right w:val="nil"/>
            </w:tcBorders>
            <w:vAlign w:val="center"/>
            <w:hideMark/>
          </w:tcPr>
          <w:p w:rsidR="00C74818" w:rsidRDefault="00C74818">
            <w:pPr>
              <w:spacing w:after="0" w:line="240" w:lineRule="auto"/>
              <w:ind w:left="0" w:firstLine="0"/>
              <w:jc w:val="center"/>
              <w:rPr>
                <w:rFonts w:eastAsia="Times New Roman"/>
                <w:sz w:val="20"/>
                <w:szCs w:val="20"/>
                <w:lang w:val="en-US" w:eastAsia="en-US"/>
              </w:rPr>
            </w:pPr>
            <w:r>
              <w:rPr>
                <w:rFonts w:eastAsia="Times New Roman"/>
                <w:sz w:val="20"/>
                <w:szCs w:val="20"/>
                <w:lang w:eastAsia="en-US"/>
              </w:rPr>
              <w:t>16.3</w:t>
            </w:r>
          </w:p>
        </w:tc>
      </w:tr>
      <w:tr w:rsidR="00C74818" w:rsidTr="00C74818">
        <w:trPr>
          <w:trHeight w:val="288"/>
        </w:trPr>
        <w:tc>
          <w:tcPr>
            <w:tcW w:w="3420" w:type="dxa"/>
            <w:vAlign w:val="center"/>
            <w:hideMark/>
          </w:tcPr>
          <w:p w:rsidR="00C74818" w:rsidRDefault="00C74818">
            <w:pPr>
              <w:spacing w:after="0" w:line="240" w:lineRule="auto"/>
              <w:ind w:left="0" w:firstLine="0"/>
              <w:jc w:val="left"/>
              <w:rPr>
                <w:rFonts w:eastAsia="Times New Roman"/>
                <w:sz w:val="20"/>
                <w:szCs w:val="20"/>
                <w:lang w:val="en-US" w:eastAsia="en-US"/>
              </w:rPr>
            </w:pPr>
            <w:r>
              <w:rPr>
                <w:rFonts w:eastAsia="Times New Roman"/>
                <w:bCs/>
                <w:sz w:val="20"/>
                <w:szCs w:val="20"/>
                <w:lang w:eastAsia="en-US"/>
              </w:rPr>
              <w:t xml:space="preserve">Pulmonary tuberculosis </w:t>
            </w:r>
          </w:p>
        </w:tc>
        <w:tc>
          <w:tcPr>
            <w:tcW w:w="1486" w:type="dxa"/>
            <w:vAlign w:val="center"/>
            <w:hideMark/>
          </w:tcPr>
          <w:p w:rsidR="00C74818" w:rsidRDefault="00C74818">
            <w:pPr>
              <w:spacing w:after="0" w:line="240" w:lineRule="auto"/>
              <w:ind w:left="0" w:firstLine="0"/>
              <w:jc w:val="center"/>
              <w:rPr>
                <w:rFonts w:eastAsia="Times New Roman"/>
                <w:sz w:val="20"/>
                <w:szCs w:val="20"/>
                <w:lang w:val="en-US" w:eastAsia="en-US"/>
              </w:rPr>
            </w:pPr>
            <w:r>
              <w:rPr>
                <w:rFonts w:eastAsia="Times New Roman"/>
                <w:sz w:val="20"/>
                <w:szCs w:val="20"/>
                <w:lang w:eastAsia="en-US"/>
              </w:rPr>
              <w:t>4.4</w:t>
            </w:r>
          </w:p>
        </w:tc>
        <w:tc>
          <w:tcPr>
            <w:tcW w:w="854" w:type="dxa"/>
            <w:vAlign w:val="center"/>
            <w:hideMark/>
          </w:tcPr>
          <w:p w:rsidR="00C74818" w:rsidRDefault="00C74818">
            <w:pPr>
              <w:spacing w:after="0" w:line="240" w:lineRule="auto"/>
              <w:ind w:left="0" w:firstLine="0"/>
              <w:jc w:val="center"/>
              <w:rPr>
                <w:rFonts w:eastAsia="Times New Roman"/>
                <w:sz w:val="20"/>
                <w:szCs w:val="20"/>
                <w:lang w:val="en-US" w:eastAsia="en-US"/>
              </w:rPr>
            </w:pPr>
            <w:r>
              <w:rPr>
                <w:rFonts w:eastAsia="Times New Roman"/>
                <w:sz w:val="20"/>
                <w:szCs w:val="20"/>
                <w:lang w:eastAsia="en-US"/>
              </w:rPr>
              <w:t>32.6</w:t>
            </w:r>
          </w:p>
        </w:tc>
        <w:tc>
          <w:tcPr>
            <w:tcW w:w="1710" w:type="dxa"/>
            <w:gridSpan w:val="2"/>
            <w:vAlign w:val="center"/>
            <w:hideMark/>
          </w:tcPr>
          <w:p w:rsidR="00C74818" w:rsidRDefault="00C74818">
            <w:pPr>
              <w:spacing w:after="0" w:line="240" w:lineRule="auto"/>
              <w:ind w:left="0" w:firstLine="0"/>
              <w:jc w:val="center"/>
              <w:rPr>
                <w:rFonts w:eastAsia="Times New Roman"/>
                <w:sz w:val="20"/>
                <w:szCs w:val="20"/>
                <w:lang w:val="en-US" w:eastAsia="en-US"/>
              </w:rPr>
            </w:pPr>
            <w:r>
              <w:rPr>
                <w:rFonts w:eastAsia="Times New Roman"/>
                <w:sz w:val="20"/>
                <w:szCs w:val="20"/>
                <w:lang w:eastAsia="en-US"/>
              </w:rPr>
              <w:t>7.4</w:t>
            </w:r>
          </w:p>
        </w:tc>
        <w:tc>
          <w:tcPr>
            <w:tcW w:w="630" w:type="dxa"/>
            <w:vAlign w:val="center"/>
            <w:hideMark/>
          </w:tcPr>
          <w:p w:rsidR="00C74818" w:rsidRDefault="00C74818">
            <w:pPr>
              <w:spacing w:after="0" w:line="240" w:lineRule="auto"/>
              <w:ind w:left="0" w:firstLine="0"/>
              <w:jc w:val="center"/>
              <w:rPr>
                <w:rFonts w:eastAsia="Times New Roman"/>
                <w:sz w:val="20"/>
                <w:szCs w:val="20"/>
                <w:lang w:val="en-US" w:eastAsia="en-US"/>
              </w:rPr>
            </w:pPr>
            <w:r>
              <w:rPr>
                <w:rFonts w:eastAsia="Times New Roman"/>
                <w:sz w:val="20"/>
                <w:szCs w:val="20"/>
                <w:lang w:eastAsia="en-US"/>
              </w:rPr>
              <w:t>63.6</w:t>
            </w:r>
          </w:p>
        </w:tc>
      </w:tr>
      <w:tr w:rsidR="00C74818" w:rsidTr="00C74818">
        <w:trPr>
          <w:trHeight w:val="288"/>
        </w:trPr>
        <w:tc>
          <w:tcPr>
            <w:tcW w:w="3420" w:type="dxa"/>
            <w:vAlign w:val="center"/>
            <w:hideMark/>
          </w:tcPr>
          <w:p w:rsidR="00C74818" w:rsidRDefault="00C74818">
            <w:pPr>
              <w:spacing w:after="0" w:line="240" w:lineRule="auto"/>
              <w:ind w:left="0" w:firstLine="0"/>
              <w:jc w:val="left"/>
              <w:rPr>
                <w:rFonts w:eastAsia="Times New Roman"/>
                <w:sz w:val="20"/>
                <w:szCs w:val="20"/>
                <w:lang w:val="en-US" w:eastAsia="en-US"/>
              </w:rPr>
            </w:pPr>
            <w:r>
              <w:rPr>
                <w:rFonts w:eastAsia="Times New Roman"/>
                <w:bCs/>
                <w:sz w:val="20"/>
                <w:szCs w:val="20"/>
                <w:lang w:eastAsia="en-US"/>
              </w:rPr>
              <w:t xml:space="preserve">Other communicable diseases </w:t>
            </w:r>
          </w:p>
        </w:tc>
        <w:tc>
          <w:tcPr>
            <w:tcW w:w="1486" w:type="dxa"/>
            <w:vAlign w:val="center"/>
            <w:hideMark/>
          </w:tcPr>
          <w:p w:rsidR="00C74818" w:rsidRDefault="00C74818">
            <w:pPr>
              <w:spacing w:after="0" w:line="240" w:lineRule="auto"/>
              <w:ind w:left="0" w:firstLine="0"/>
              <w:jc w:val="center"/>
              <w:rPr>
                <w:rFonts w:eastAsia="Times New Roman"/>
                <w:sz w:val="20"/>
                <w:szCs w:val="20"/>
                <w:lang w:val="en-US" w:eastAsia="en-US"/>
              </w:rPr>
            </w:pPr>
            <w:r>
              <w:rPr>
                <w:rFonts w:eastAsia="Times New Roman"/>
                <w:sz w:val="20"/>
                <w:szCs w:val="20"/>
                <w:lang w:eastAsia="en-US"/>
              </w:rPr>
              <w:t>0.4</w:t>
            </w:r>
          </w:p>
        </w:tc>
        <w:tc>
          <w:tcPr>
            <w:tcW w:w="854" w:type="dxa"/>
            <w:vAlign w:val="center"/>
            <w:hideMark/>
          </w:tcPr>
          <w:p w:rsidR="00C74818" w:rsidRDefault="00C74818">
            <w:pPr>
              <w:spacing w:after="0" w:line="240" w:lineRule="auto"/>
              <w:ind w:left="0" w:firstLine="0"/>
              <w:jc w:val="center"/>
              <w:rPr>
                <w:rFonts w:eastAsia="Times New Roman"/>
                <w:sz w:val="20"/>
                <w:szCs w:val="20"/>
                <w:lang w:val="en-US" w:eastAsia="en-US"/>
              </w:rPr>
            </w:pPr>
            <w:r>
              <w:rPr>
                <w:rFonts w:eastAsia="Times New Roman"/>
                <w:sz w:val="20"/>
                <w:szCs w:val="20"/>
                <w:lang w:eastAsia="en-US"/>
              </w:rPr>
              <w:t>3.0</w:t>
            </w:r>
          </w:p>
        </w:tc>
        <w:tc>
          <w:tcPr>
            <w:tcW w:w="1710" w:type="dxa"/>
            <w:gridSpan w:val="2"/>
            <w:vAlign w:val="center"/>
            <w:hideMark/>
          </w:tcPr>
          <w:p w:rsidR="00C74818" w:rsidRDefault="00C74818">
            <w:pPr>
              <w:spacing w:after="0" w:line="240" w:lineRule="auto"/>
              <w:ind w:left="0" w:firstLine="0"/>
              <w:jc w:val="center"/>
              <w:rPr>
                <w:rFonts w:eastAsia="Times New Roman"/>
                <w:sz w:val="20"/>
                <w:szCs w:val="20"/>
                <w:lang w:val="en-US" w:eastAsia="en-US"/>
              </w:rPr>
            </w:pPr>
            <w:r>
              <w:rPr>
                <w:rFonts w:eastAsia="Times New Roman"/>
                <w:sz w:val="20"/>
                <w:szCs w:val="20"/>
                <w:lang w:eastAsia="en-US"/>
              </w:rPr>
              <w:t>-0.0</w:t>
            </w:r>
          </w:p>
        </w:tc>
        <w:tc>
          <w:tcPr>
            <w:tcW w:w="630" w:type="dxa"/>
            <w:vAlign w:val="center"/>
            <w:hideMark/>
          </w:tcPr>
          <w:p w:rsidR="00C74818" w:rsidRDefault="00C74818">
            <w:pPr>
              <w:spacing w:after="0" w:line="240" w:lineRule="auto"/>
              <w:ind w:left="0" w:firstLine="0"/>
              <w:jc w:val="center"/>
              <w:rPr>
                <w:rFonts w:eastAsia="Times New Roman"/>
                <w:sz w:val="20"/>
                <w:szCs w:val="20"/>
                <w:lang w:val="en-US" w:eastAsia="en-US"/>
              </w:rPr>
            </w:pPr>
            <w:r>
              <w:rPr>
                <w:rFonts w:eastAsia="Times New Roman"/>
                <w:sz w:val="20"/>
                <w:szCs w:val="20"/>
                <w:lang w:eastAsia="en-US"/>
              </w:rPr>
              <w:t>-</w:t>
            </w:r>
          </w:p>
        </w:tc>
      </w:tr>
      <w:tr w:rsidR="00C74818" w:rsidTr="00C74818">
        <w:trPr>
          <w:trHeight w:val="288"/>
        </w:trPr>
        <w:tc>
          <w:tcPr>
            <w:tcW w:w="3420" w:type="dxa"/>
            <w:vAlign w:val="center"/>
            <w:hideMark/>
          </w:tcPr>
          <w:p w:rsidR="00C74818" w:rsidRDefault="00C74818">
            <w:pPr>
              <w:spacing w:after="0" w:line="240" w:lineRule="auto"/>
              <w:ind w:left="0" w:firstLine="0"/>
              <w:jc w:val="left"/>
              <w:rPr>
                <w:rFonts w:eastAsia="Times New Roman"/>
                <w:sz w:val="20"/>
                <w:szCs w:val="20"/>
                <w:lang w:val="en-US" w:eastAsia="en-US"/>
              </w:rPr>
            </w:pPr>
            <w:r>
              <w:rPr>
                <w:rFonts w:eastAsia="Times New Roman"/>
                <w:bCs/>
                <w:sz w:val="20"/>
                <w:szCs w:val="20"/>
                <w:lang w:eastAsia="en-US"/>
              </w:rPr>
              <w:t xml:space="preserve">Malignant neoplasms </w:t>
            </w:r>
          </w:p>
        </w:tc>
        <w:tc>
          <w:tcPr>
            <w:tcW w:w="1486" w:type="dxa"/>
            <w:vAlign w:val="center"/>
            <w:hideMark/>
          </w:tcPr>
          <w:p w:rsidR="00C74818" w:rsidRDefault="00C74818">
            <w:pPr>
              <w:spacing w:after="0" w:line="240" w:lineRule="auto"/>
              <w:ind w:left="0" w:firstLine="0"/>
              <w:jc w:val="center"/>
              <w:rPr>
                <w:rFonts w:eastAsia="Times New Roman"/>
                <w:sz w:val="20"/>
                <w:szCs w:val="20"/>
                <w:lang w:val="en-US" w:eastAsia="en-US"/>
              </w:rPr>
            </w:pPr>
            <w:r>
              <w:rPr>
                <w:rFonts w:eastAsia="Times New Roman"/>
                <w:sz w:val="20"/>
                <w:szCs w:val="20"/>
                <w:lang w:eastAsia="en-US"/>
              </w:rPr>
              <w:t>1.3</w:t>
            </w:r>
          </w:p>
        </w:tc>
        <w:tc>
          <w:tcPr>
            <w:tcW w:w="854" w:type="dxa"/>
            <w:vAlign w:val="center"/>
            <w:hideMark/>
          </w:tcPr>
          <w:p w:rsidR="00C74818" w:rsidRDefault="00C74818">
            <w:pPr>
              <w:spacing w:after="0" w:line="240" w:lineRule="auto"/>
              <w:ind w:left="0" w:firstLine="0"/>
              <w:jc w:val="center"/>
              <w:rPr>
                <w:rFonts w:eastAsia="Times New Roman"/>
                <w:sz w:val="20"/>
                <w:szCs w:val="20"/>
                <w:lang w:val="en-US" w:eastAsia="en-US"/>
              </w:rPr>
            </w:pPr>
            <w:r>
              <w:rPr>
                <w:rFonts w:eastAsia="Times New Roman"/>
                <w:sz w:val="20"/>
                <w:szCs w:val="20"/>
                <w:lang w:eastAsia="en-US"/>
              </w:rPr>
              <w:t>9.6</w:t>
            </w:r>
          </w:p>
        </w:tc>
        <w:tc>
          <w:tcPr>
            <w:tcW w:w="1710" w:type="dxa"/>
            <w:gridSpan w:val="2"/>
            <w:vAlign w:val="center"/>
            <w:hideMark/>
          </w:tcPr>
          <w:p w:rsidR="00C74818" w:rsidRDefault="00C74818">
            <w:pPr>
              <w:spacing w:after="0" w:line="240" w:lineRule="auto"/>
              <w:ind w:left="0" w:firstLine="0"/>
              <w:jc w:val="center"/>
              <w:rPr>
                <w:rFonts w:eastAsia="Times New Roman"/>
                <w:sz w:val="20"/>
                <w:szCs w:val="20"/>
                <w:lang w:val="en-US" w:eastAsia="en-US"/>
              </w:rPr>
            </w:pPr>
            <w:r>
              <w:rPr>
                <w:rFonts w:eastAsia="Times New Roman"/>
                <w:sz w:val="20"/>
                <w:szCs w:val="20"/>
                <w:lang w:eastAsia="en-US"/>
              </w:rPr>
              <w:t>0.4</w:t>
            </w:r>
          </w:p>
        </w:tc>
        <w:tc>
          <w:tcPr>
            <w:tcW w:w="630" w:type="dxa"/>
            <w:vAlign w:val="center"/>
            <w:hideMark/>
          </w:tcPr>
          <w:p w:rsidR="00C74818" w:rsidRDefault="00C74818">
            <w:pPr>
              <w:spacing w:after="0" w:line="240" w:lineRule="auto"/>
              <w:ind w:left="0" w:firstLine="0"/>
              <w:jc w:val="center"/>
              <w:rPr>
                <w:rFonts w:eastAsia="Times New Roman"/>
                <w:sz w:val="20"/>
                <w:szCs w:val="20"/>
                <w:lang w:val="en-US" w:eastAsia="en-US"/>
              </w:rPr>
            </w:pPr>
            <w:r>
              <w:rPr>
                <w:rFonts w:eastAsia="Times New Roman"/>
                <w:sz w:val="20"/>
                <w:szCs w:val="20"/>
                <w:lang w:eastAsia="en-US"/>
              </w:rPr>
              <w:t>3.4</w:t>
            </w:r>
          </w:p>
        </w:tc>
      </w:tr>
      <w:tr w:rsidR="00C74818" w:rsidTr="00C74818">
        <w:trPr>
          <w:trHeight w:val="288"/>
        </w:trPr>
        <w:tc>
          <w:tcPr>
            <w:tcW w:w="3420" w:type="dxa"/>
            <w:vAlign w:val="center"/>
            <w:hideMark/>
          </w:tcPr>
          <w:p w:rsidR="00C74818" w:rsidRDefault="00C74818">
            <w:pPr>
              <w:spacing w:after="0" w:line="240" w:lineRule="auto"/>
              <w:ind w:left="0" w:firstLine="0"/>
              <w:jc w:val="left"/>
              <w:rPr>
                <w:rFonts w:eastAsia="Times New Roman"/>
                <w:sz w:val="20"/>
                <w:szCs w:val="20"/>
                <w:lang w:val="en-US" w:eastAsia="en-US"/>
              </w:rPr>
            </w:pPr>
            <w:r>
              <w:rPr>
                <w:rFonts w:eastAsia="Times New Roman"/>
                <w:bCs/>
                <w:sz w:val="20"/>
                <w:szCs w:val="20"/>
                <w:lang w:eastAsia="en-US"/>
              </w:rPr>
              <w:t xml:space="preserve">Cardiovascular disease </w:t>
            </w:r>
          </w:p>
        </w:tc>
        <w:tc>
          <w:tcPr>
            <w:tcW w:w="1486" w:type="dxa"/>
            <w:vAlign w:val="center"/>
            <w:hideMark/>
          </w:tcPr>
          <w:p w:rsidR="00C74818" w:rsidRDefault="00C74818">
            <w:pPr>
              <w:spacing w:after="0" w:line="240" w:lineRule="auto"/>
              <w:ind w:left="0" w:firstLine="0"/>
              <w:jc w:val="center"/>
              <w:rPr>
                <w:rFonts w:eastAsia="Times New Roman"/>
                <w:sz w:val="20"/>
                <w:szCs w:val="20"/>
                <w:lang w:val="en-US" w:eastAsia="en-US"/>
              </w:rPr>
            </w:pPr>
            <w:r>
              <w:rPr>
                <w:rFonts w:eastAsia="Times New Roman"/>
                <w:sz w:val="20"/>
                <w:szCs w:val="20"/>
                <w:lang w:eastAsia="en-US"/>
              </w:rPr>
              <w:t>1.2</w:t>
            </w:r>
          </w:p>
        </w:tc>
        <w:tc>
          <w:tcPr>
            <w:tcW w:w="854" w:type="dxa"/>
            <w:vAlign w:val="center"/>
            <w:hideMark/>
          </w:tcPr>
          <w:p w:rsidR="00C74818" w:rsidRDefault="00C74818">
            <w:pPr>
              <w:spacing w:after="0" w:line="240" w:lineRule="auto"/>
              <w:ind w:left="0" w:firstLine="0"/>
              <w:jc w:val="center"/>
              <w:rPr>
                <w:rFonts w:eastAsia="Times New Roman"/>
                <w:sz w:val="20"/>
                <w:szCs w:val="20"/>
                <w:lang w:val="en-US" w:eastAsia="en-US"/>
              </w:rPr>
            </w:pPr>
            <w:r>
              <w:rPr>
                <w:rFonts w:eastAsia="Times New Roman"/>
                <w:sz w:val="20"/>
                <w:szCs w:val="20"/>
                <w:lang w:eastAsia="en-US"/>
              </w:rPr>
              <w:t>8.9</w:t>
            </w:r>
          </w:p>
        </w:tc>
        <w:tc>
          <w:tcPr>
            <w:tcW w:w="1710" w:type="dxa"/>
            <w:gridSpan w:val="2"/>
            <w:vAlign w:val="center"/>
            <w:hideMark/>
          </w:tcPr>
          <w:p w:rsidR="00C74818" w:rsidRDefault="00C74818">
            <w:pPr>
              <w:spacing w:after="0" w:line="240" w:lineRule="auto"/>
              <w:ind w:left="0" w:firstLine="0"/>
              <w:jc w:val="center"/>
              <w:rPr>
                <w:rFonts w:eastAsia="Times New Roman"/>
                <w:sz w:val="20"/>
                <w:szCs w:val="20"/>
                <w:lang w:val="en-US" w:eastAsia="en-US"/>
              </w:rPr>
            </w:pPr>
            <w:r>
              <w:rPr>
                <w:rFonts w:eastAsia="Times New Roman"/>
                <w:sz w:val="20"/>
                <w:szCs w:val="20"/>
                <w:lang w:eastAsia="en-US"/>
              </w:rPr>
              <w:t>0.0</w:t>
            </w:r>
          </w:p>
        </w:tc>
        <w:tc>
          <w:tcPr>
            <w:tcW w:w="630" w:type="dxa"/>
            <w:vAlign w:val="center"/>
            <w:hideMark/>
          </w:tcPr>
          <w:p w:rsidR="00C74818" w:rsidRDefault="00C74818">
            <w:pPr>
              <w:spacing w:after="0" w:line="240" w:lineRule="auto"/>
              <w:ind w:left="0" w:firstLine="0"/>
              <w:jc w:val="center"/>
              <w:rPr>
                <w:rFonts w:eastAsia="Times New Roman"/>
                <w:sz w:val="20"/>
                <w:szCs w:val="20"/>
                <w:lang w:val="en-US" w:eastAsia="en-US"/>
              </w:rPr>
            </w:pPr>
            <w:r>
              <w:rPr>
                <w:rFonts w:eastAsia="Times New Roman"/>
                <w:sz w:val="20"/>
                <w:szCs w:val="20"/>
                <w:lang w:eastAsia="en-US"/>
              </w:rPr>
              <w:t>0.3</w:t>
            </w:r>
          </w:p>
        </w:tc>
      </w:tr>
      <w:tr w:rsidR="00C74818" w:rsidTr="00C74818">
        <w:trPr>
          <w:trHeight w:val="288"/>
        </w:trPr>
        <w:tc>
          <w:tcPr>
            <w:tcW w:w="3420" w:type="dxa"/>
            <w:vAlign w:val="center"/>
            <w:hideMark/>
          </w:tcPr>
          <w:p w:rsidR="00C74818" w:rsidRDefault="00C74818">
            <w:pPr>
              <w:spacing w:after="0" w:line="240" w:lineRule="auto"/>
              <w:ind w:left="0" w:firstLine="0"/>
              <w:jc w:val="left"/>
              <w:rPr>
                <w:rFonts w:eastAsia="Times New Roman"/>
                <w:sz w:val="20"/>
                <w:szCs w:val="20"/>
                <w:lang w:val="en-US" w:eastAsia="en-US"/>
              </w:rPr>
            </w:pPr>
            <w:r>
              <w:rPr>
                <w:rFonts w:eastAsia="Times New Roman"/>
                <w:bCs/>
                <w:sz w:val="20"/>
                <w:szCs w:val="20"/>
                <w:lang w:eastAsia="en-US"/>
              </w:rPr>
              <w:t xml:space="preserve">Other non-communicable diseases </w:t>
            </w:r>
          </w:p>
        </w:tc>
        <w:tc>
          <w:tcPr>
            <w:tcW w:w="1486" w:type="dxa"/>
            <w:vAlign w:val="center"/>
            <w:hideMark/>
          </w:tcPr>
          <w:p w:rsidR="00C74818" w:rsidRDefault="00C74818">
            <w:pPr>
              <w:spacing w:after="0" w:line="240" w:lineRule="auto"/>
              <w:ind w:left="0" w:firstLine="0"/>
              <w:jc w:val="center"/>
              <w:rPr>
                <w:rFonts w:eastAsia="Times New Roman"/>
                <w:sz w:val="20"/>
                <w:szCs w:val="20"/>
                <w:lang w:val="en-US" w:eastAsia="en-US"/>
              </w:rPr>
            </w:pPr>
            <w:r>
              <w:rPr>
                <w:rFonts w:eastAsia="Times New Roman"/>
                <w:sz w:val="20"/>
                <w:szCs w:val="20"/>
                <w:lang w:eastAsia="en-US"/>
              </w:rPr>
              <w:t>1.8</w:t>
            </w:r>
          </w:p>
        </w:tc>
        <w:tc>
          <w:tcPr>
            <w:tcW w:w="854" w:type="dxa"/>
            <w:vAlign w:val="center"/>
            <w:hideMark/>
          </w:tcPr>
          <w:p w:rsidR="00C74818" w:rsidRDefault="00C74818">
            <w:pPr>
              <w:spacing w:after="0" w:line="240" w:lineRule="auto"/>
              <w:ind w:left="0" w:firstLine="0"/>
              <w:jc w:val="center"/>
              <w:rPr>
                <w:rFonts w:eastAsia="Times New Roman"/>
                <w:sz w:val="20"/>
                <w:szCs w:val="20"/>
                <w:lang w:val="en-US" w:eastAsia="en-US"/>
              </w:rPr>
            </w:pPr>
            <w:r>
              <w:rPr>
                <w:rFonts w:eastAsia="Times New Roman"/>
                <w:sz w:val="20"/>
                <w:szCs w:val="20"/>
                <w:lang w:eastAsia="en-US"/>
              </w:rPr>
              <w:t>13.3</w:t>
            </w:r>
          </w:p>
        </w:tc>
        <w:tc>
          <w:tcPr>
            <w:tcW w:w="1710" w:type="dxa"/>
            <w:gridSpan w:val="2"/>
            <w:vAlign w:val="center"/>
            <w:hideMark/>
          </w:tcPr>
          <w:p w:rsidR="00C74818" w:rsidRDefault="00C74818">
            <w:pPr>
              <w:spacing w:after="0" w:line="240" w:lineRule="auto"/>
              <w:ind w:left="0" w:firstLine="0"/>
              <w:jc w:val="center"/>
              <w:rPr>
                <w:rFonts w:eastAsia="Times New Roman"/>
                <w:sz w:val="20"/>
                <w:szCs w:val="20"/>
                <w:lang w:val="en-US" w:eastAsia="en-US"/>
              </w:rPr>
            </w:pPr>
            <w:r>
              <w:rPr>
                <w:rFonts w:eastAsia="Times New Roman"/>
                <w:sz w:val="20"/>
                <w:szCs w:val="20"/>
                <w:lang w:eastAsia="en-US"/>
              </w:rPr>
              <w:t>0.2</w:t>
            </w:r>
          </w:p>
        </w:tc>
        <w:tc>
          <w:tcPr>
            <w:tcW w:w="630" w:type="dxa"/>
            <w:vAlign w:val="center"/>
            <w:hideMark/>
          </w:tcPr>
          <w:p w:rsidR="00C74818" w:rsidRDefault="00C74818">
            <w:pPr>
              <w:spacing w:after="0" w:line="240" w:lineRule="auto"/>
              <w:ind w:left="0" w:firstLine="0"/>
              <w:jc w:val="center"/>
              <w:rPr>
                <w:rFonts w:eastAsia="Times New Roman"/>
                <w:sz w:val="20"/>
                <w:szCs w:val="20"/>
                <w:lang w:val="en-US" w:eastAsia="en-US"/>
              </w:rPr>
            </w:pPr>
            <w:r>
              <w:rPr>
                <w:rFonts w:eastAsia="Times New Roman"/>
                <w:sz w:val="20"/>
                <w:szCs w:val="20"/>
                <w:lang w:eastAsia="en-US"/>
              </w:rPr>
              <w:t>1.7</w:t>
            </w:r>
          </w:p>
        </w:tc>
      </w:tr>
      <w:tr w:rsidR="00C74818" w:rsidTr="00C74818">
        <w:trPr>
          <w:trHeight w:val="288"/>
        </w:trPr>
        <w:tc>
          <w:tcPr>
            <w:tcW w:w="3420" w:type="dxa"/>
            <w:vAlign w:val="center"/>
            <w:hideMark/>
          </w:tcPr>
          <w:p w:rsidR="00C74818" w:rsidRDefault="00C74818">
            <w:pPr>
              <w:spacing w:after="0" w:line="240" w:lineRule="auto"/>
              <w:ind w:left="0" w:firstLine="0"/>
              <w:jc w:val="left"/>
              <w:rPr>
                <w:rFonts w:eastAsia="Times New Roman"/>
                <w:sz w:val="20"/>
                <w:szCs w:val="20"/>
                <w:lang w:val="en-US" w:eastAsia="en-US"/>
              </w:rPr>
            </w:pPr>
            <w:r>
              <w:rPr>
                <w:rFonts w:eastAsia="Times New Roman"/>
                <w:bCs/>
                <w:sz w:val="20"/>
                <w:szCs w:val="20"/>
                <w:lang w:eastAsia="en-US"/>
              </w:rPr>
              <w:t xml:space="preserve">Maternal causes </w:t>
            </w:r>
          </w:p>
        </w:tc>
        <w:tc>
          <w:tcPr>
            <w:tcW w:w="1486" w:type="dxa"/>
            <w:vAlign w:val="center"/>
            <w:hideMark/>
          </w:tcPr>
          <w:p w:rsidR="00C74818" w:rsidRDefault="00C74818">
            <w:pPr>
              <w:spacing w:after="0" w:line="240" w:lineRule="auto"/>
              <w:ind w:left="0" w:firstLine="0"/>
              <w:jc w:val="center"/>
              <w:rPr>
                <w:rFonts w:eastAsia="Times New Roman"/>
                <w:sz w:val="20"/>
                <w:szCs w:val="20"/>
                <w:lang w:val="en-US" w:eastAsia="en-US"/>
              </w:rPr>
            </w:pPr>
            <w:r>
              <w:rPr>
                <w:rFonts w:eastAsia="Times New Roman"/>
                <w:sz w:val="20"/>
                <w:szCs w:val="20"/>
                <w:lang w:eastAsia="en-US"/>
              </w:rPr>
              <w:t>-0.2</w:t>
            </w:r>
          </w:p>
        </w:tc>
        <w:tc>
          <w:tcPr>
            <w:tcW w:w="854" w:type="dxa"/>
            <w:vAlign w:val="center"/>
            <w:hideMark/>
          </w:tcPr>
          <w:p w:rsidR="00C74818" w:rsidRDefault="00C74818">
            <w:pPr>
              <w:spacing w:after="0" w:line="240" w:lineRule="auto"/>
              <w:ind w:left="0" w:firstLine="0"/>
              <w:jc w:val="center"/>
              <w:rPr>
                <w:rFonts w:eastAsia="Times New Roman"/>
                <w:sz w:val="20"/>
                <w:szCs w:val="20"/>
                <w:lang w:val="en-US" w:eastAsia="en-US"/>
              </w:rPr>
            </w:pPr>
            <w:r>
              <w:rPr>
                <w:rFonts w:eastAsia="Times New Roman"/>
                <w:sz w:val="20"/>
                <w:szCs w:val="20"/>
                <w:lang w:eastAsia="en-US"/>
              </w:rPr>
              <w:t>-</w:t>
            </w:r>
          </w:p>
        </w:tc>
        <w:tc>
          <w:tcPr>
            <w:tcW w:w="1710" w:type="dxa"/>
            <w:gridSpan w:val="2"/>
            <w:vAlign w:val="center"/>
            <w:hideMark/>
          </w:tcPr>
          <w:p w:rsidR="00C74818" w:rsidRDefault="00C74818">
            <w:pPr>
              <w:spacing w:after="0" w:line="240" w:lineRule="auto"/>
              <w:ind w:left="0" w:firstLine="0"/>
              <w:jc w:val="center"/>
              <w:rPr>
                <w:rFonts w:eastAsia="Times New Roman"/>
                <w:sz w:val="20"/>
                <w:szCs w:val="20"/>
                <w:lang w:val="en-US" w:eastAsia="en-US"/>
              </w:rPr>
            </w:pPr>
            <w:r>
              <w:rPr>
                <w:rFonts w:eastAsia="Times New Roman"/>
                <w:sz w:val="20"/>
                <w:szCs w:val="20"/>
                <w:lang w:eastAsia="en-US"/>
              </w:rPr>
              <w:t>-0.1</w:t>
            </w:r>
          </w:p>
        </w:tc>
        <w:tc>
          <w:tcPr>
            <w:tcW w:w="630" w:type="dxa"/>
            <w:vAlign w:val="center"/>
            <w:hideMark/>
          </w:tcPr>
          <w:p w:rsidR="00C74818" w:rsidRDefault="00C74818">
            <w:pPr>
              <w:spacing w:after="0" w:line="240" w:lineRule="auto"/>
              <w:ind w:left="0" w:firstLine="0"/>
              <w:jc w:val="center"/>
              <w:rPr>
                <w:rFonts w:eastAsia="Times New Roman"/>
                <w:sz w:val="20"/>
                <w:szCs w:val="20"/>
                <w:lang w:val="en-US" w:eastAsia="en-US"/>
              </w:rPr>
            </w:pPr>
            <w:r>
              <w:rPr>
                <w:rFonts w:eastAsia="Times New Roman"/>
                <w:sz w:val="20"/>
                <w:szCs w:val="20"/>
                <w:lang w:eastAsia="en-US"/>
              </w:rPr>
              <w:t>-</w:t>
            </w:r>
          </w:p>
        </w:tc>
      </w:tr>
      <w:tr w:rsidR="00C74818" w:rsidTr="00C74818">
        <w:trPr>
          <w:trHeight w:val="288"/>
        </w:trPr>
        <w:tc>
          <w:tcPr>
            <w:tcW w:w="3420" w:type="dxa"/>
            <w:vAlign w:val="center"/>
            <w:hideMark/>
          </w:tcPr>
          <w:p w:rsidR="00C74818" w:rsidRDefault="00C74818">
            <w:pPr>
              <w:spacing w:after="0" w:line="240" w:lineRule="auto"/>
              <w:ind w:left="0" w:firstLine="0"/>
              <w:jc w:val="left"/>
              <w:rPr>
                <w:rFonts w:eastAsia="Times New Roman"/>
                <w:sz w:val="20"/>
                <w:szCs w:val="20"/>
                <w:lang w:val="en-US" w:eastAsia="en-US"/>
              </w:rPr>
            </w:pPr>
            <w:r>
              <w:rPr>
                <w:rFonts w:eastAsia="Times New Roman"/>
                <w:bCs/>
                <w:sz w:val="20"/>
                <w:szCs w:val="20"/>
                <w:lang w:eastAsia="en-US"/>
              </w:rPr>
              <w:t xml:space="preserve">Injuries </w:t>
            </w:r>
          </w:p>
        </w:tc>
        <w:tc>
          <w:tcPr>
            <w:tcW w:w="1486" w:type="dxa"/>
            <w:vAlign w:val="center"/>
            <w:hideMark/>
          </w:tcPr>
          <w:p w:rsidR="00C74818" w:rsidRDefault="00C74818">
            <w:pPr>
              <w:spacing w:after="0" w:line="240" w:lineRule="auto"/>
              <w:ind w:left="0" w:firstLine="0"/>
              <w:jc w:val="center"/>
              <w:rPr>
                <w:rFonts w:eastAsia="Times New Roman"/>
                <w:sz w:val="20"/>
                <w:szCs w:val="20"/>
                <w:lang w:val="en-US" w:eastAsia="en-US"/>
              </w:rPr>
            </w:pPr>
            <w:r>
              <w:rPr>
                <w:rFonts w:eastAsia="Times New Roman"/>
                <w:sz w:val="20"/>
                <w:szCs w:val="20"/>
                <w:lang w:eastAsia="en-US"/>
              </w:rPr>
              <w:t>4.0</w:t>
            </w:r>
          </w:p>
        </w:tc>
        <w:tc>
          <w:tcPr>
            <w:tcW w:w="854" w:type="dxa"/>
            <w:vAlign w:val="center"/>
            <w:hideMark/>
          </w:tcPr>
          <w:p w:rsidR="00C74818" w:rsidRDefault="00C74818">
            <w:pPr>
              <w:spacing w:after="0" w:line="240" w:lineRule="auto"/>
              <w:ind w:left="0" w:firstLine="0"/>
              <w:jc w:val="center"/>
              <w:rPr>
                <w:rFonts w:eastAsia="Times New Roman"/>
                <w:sz w:val="20"/>
                <w:szCs w:val="20"/>
                <w:lang w:val="en-US" w:eastAsia="en-US"/>
              </w:rPr>
            </w:pPr>
            <w:r>
              <w:rPr>
                <w:rFonts w:eastAsia="Times New Roman"/>
                <w:sz w:val="20"/>
                <w:szCs w:val="20"/>
                <w:lang w:eastAsia="en-US"/>
              </w:rPr>
              <w:t>29.6</w:t>
            </w:r>
          </w:p>
        </w:tc>
        <w:tc>
          <w:tcPr>
            <w:tcW w:w="1710" w:type="dxa"/>
            <w:gridSpan w:val="2"/>
            <w:vAlign w:val="center"/>
            <w:hideMark/>
          </w:tcPr>
          <w:p w:rsidR="00C74818" w:rsidRDefault="00C74818">
            <w:pPr>
              <w:spacing w:after="0" w:line="240" w:lineRule="auto"/>
              <w:ind w:left="0" w:firstLine="0"/>
              <w:jc w:val="center"/>
              <w:rPr>
                <w:rFonts w:eastAsia="Times New Roman"/>
                <w:sz w:val="20"/>
                <w:szCs w:val="20"/>
                <w:lang w:val="en-US" w:eastAsia="en-US"/>
              </w:rPr>
            </w:pPr>
            <w:r>
              <w:rPr>
                <w:rFonts w:eastAsia="Times New Roman"/>
                <w:sz w:val="20"/>
                <w:szCs w:val="20"/>
                <w:lang w:eastAsia="en-US"/>
              </w:rPr>
              <w:t>1.7</w:t>
            </w:r>
          </w:p>
        </w:tc>
        <w:tc>
          <w:tcPr>
            <w:tcW w:w="630" w:type="dxa"/>
            <w:vAlign w:val="center"/>
            <w:hideMark/>
          </w:tcPr>
          <w:p w:rsidR="00C74818" w:rsidRDefault="00C74818">
            <w:pPr>
              <w:spacing w:after="0" w:line="240" w:lineRule="auto"/>
              <w:ind w:left="0" w:firstLine="0"/>
              <w:jc w:val="center"/>
              <w:rPr>
                <w:rFonts w:eastAsia="Times New Roman"/>
                <w:sz w:val="20"/>
                <w:szCs w:val="20"/>
                <w:lang w:val="en-US" w:eastAsia="en-US"/>
              </w:rPr>
            </w:pPr>
            <w:r>
              <w:rPr>
                <w:rFonts w:eastAsia="Times New Roman"/>
                <w:sz w:val="20"/>
                <w:szCs w:val="20"/>
                <w:lang w:eastAsia="en-US"/>
              </w:rPr>
              <w:t>14.6</w:t>
            </w:r>
          </w:p>
        </w:tc>
      </w:tr>
      <w:tr w:rsidR="00C74818" w:rsidTr="00C74818">
        <w:trPr>
          <w:trHeight w:val="288"/>
        </w:trPr>
        <w:tc>
          <w:tcPr>
            <w:tcW w:w="3420" w:type="dxa"/>
            <w:tcBorders>
              <w:top w:val="nil"/>
              <w:left w:val="nil"/>
              <w:bottom w:val="single" w:sz="4" w:space="0" w:color="auto"/>
              <w:right w:val="nil"/>
            </w:tcBorders>
            <w:vAlign w:val="center"/>
            <w:hideMark/>
          </w:tcPr>
          <w:p w:rsidR="00C74818" w:rsidRDefault="00C74818">
            <w:pPr>
              <w:spacing w:after="0" w:line="240" w:lineRule="auto"/>
              <w:ind w:left="0" w:firstLine="0"/>
              <w:jc w:val="left"/>
              <w:rPr>
                <w:rFonts w:eastAsia="Times New Roman"/>
                <w:sz w:val="20"/>
                <w:szCs w:val="20"/>
                <w:lang w:val="en-US" w:eastAsia="en-US"/>
              </w:rPr>
            </w:pPr>
            <w:r>
              <w:rPr>
                <w:rFonts w:eastAsia="Times New Roman"/>
                <w:bCs/>
                <w:sz w:val="20"/>
                <w:szCs w:val="20"/>
                <w:lang w:eastAsia="en-US"/>
              </w:rPr>
              <w:t xml:space="preserve">Indeterminate </w:t>
            </w:r>
          </w:p>
        </w:tc>
        <w:tc>
          <w:tcPr>
            <w:tcW w:w="1486" w:type="dxa"/>
            <w:tcBorders>
              <w:top w:val="nil"/>
              <w:left w:val="nil"/>
              <w:bottom w:val="single" w:sz="4" w:space="0" w:color="auto"/>
              <w:right w:val="nil"/>
            </w:tcBorders>
            <w:vAlign w:val="center"/>
            <w:hideMark/>
          </w:tcPr>
          <w:p w:rsidR="00C74818" w:rsidRDefault="00C74818">
            <w:pPr>
              <w:spacing w:after="0" w:line="240" w:lineRule="auto"/>
              <w:ind w:left="0" w:firstLine="0"/>
              <w:jc w:val="center"/>
              <w:rPr>
                <w:rFonts w:eastAsia="Times New Roman"/>
                <w:sz w:val="20"/>
                <w:szCs w:val="20"/>
                <w:lang w:val="en-US" w:eastAsia="en-US"/>
              </w:rPr>
            </w:pPr>
            <w:r>
              <w:rPr>
                <w:rFonts w:eastAsia="Times New Roman"/>
                <w:sz w:val="20"/>
                <w:szCs w:val="20"/>
                <w:lang w:eastAsia="en-US"/>
              </w:rPr>
              <w:t>-0.0</w:t>
            </w:r>
          </w:p>
        </w:tc>
        <w:tc>
          <w:tcPr>
            <w:tcW w:w="854" w:type="dxa"/>
            <w:tcBorders>
              <w:top w:val="nil"/>
              <w:left w:val="nil"/>
              <w:bottom w:val="single" w:sz="4" w:space="0" w:color="auto"/>
              <w:right w:val="nil"/>
            </w:tcBorders>
            <w:vAlign w:val="center"/>
            <w:hideMark/>
          </w:tcPr>
          <w:p w:rsidR="00C74818" w:rsidRDefault="00C74818">
            <w:pPr>
              <w:spacing w:after="0" w:line="240" w:lineRule="auto"/>
              <w:ind w:left="0" w:firstLine="0"/>
              <w:jc w:val="center"/>
              <w:rPr>
                <w:rFonts w:eastAsia="Times New Roman"/>
                <w:sz w:val="20"/>
                <w:szCs w:val="20"/>
                <w:lang w:val="en-US" w:eastAsia="en-US"/>
              </w:rPr>
            </w:pPr>
            <w:r>
              <w:rPr>
                <w:rFonts w:eastAsia="Times New Roman"/>
                <w:sz w:val="20"/>
                <w:szCs w:val="20"/>
                <w:lang w:eastAsia="en-US"/>
              </w:rPr>
              <w:t xml:space="preserve">- </w:t>
            </w:r>
          </w:p>
        </w:tc>
        <w:tc>
          <w:tcPr>
            <w:tcW w:w="1710" w:type="dxa"/>
            <w:gridSpan w:val="2"/>
            <w:tcBorders>
              <w:top w:val="nil"/>
              <w:left w:val="nil"/>
              <w:bottom w:val="single" w:sz="4" w:space="0" w:color="auto"/>
              <w:right w:val="nil"/>
            </w:tcBorders>
            <w:vAlign w:val="center"/>
            <w:hideMark/>
          </w:tcPr>
          <w:p w:rsidR="00C74818" w:rsidRDefault="00C74818">
            <w:pPr>
              <w:spacing w:after="0" w:line="240" w:lineRule="auto"/>
              <w:ind w:left="0" w:firstLine="0"/>
              <w:jc w:val="center"/>
              <w:rPr>
                <w:rFonts w:eastAsia="Times New Roman"/>
                <w:sz w:val="20"/>
                <w:szCs w:val="20"/>
                <w:lang w:val="en-US" w:eastAsia="en-US"/>
              </w:rPr>
            </w:pPr>
            <w:r>
              <w:rPr>
                <w:rFonts w:eastAsia="Times New Roman"/>
                <w:sz w:val="20"/>
                <w:szCs w:val="20"/>
                <w:lang w:eastAsia="en-US"/>
              </w:rPr>
              <w:t>-0.0</w:t>
            </w:r>
          </w:p>
        </w:tc>
        <w:tc>
          <w:tcPr>
            <w:tcW w:w="630" w:type="dxa"/>
            <w:tcBorders>
              <w:top w:val="nil"/>
              <w:left w:val="nil"/>
              <w:bottom w:val="single" w:sz="4" w:space="0" w:color="auto"/>
              <w:right w:val="nil"/>
            </w:tcBorders>
            <w:vAlign w:val="center"/>
            <w:hideMark/>
          </w:tcPr>
          <w:p w:rsidR="00C74818" w:rsidRDefault="00C74818">
            <w:pPr>
              <w:spacing w:after="0" w:line="240" w:lineRule="auto"/>
              <w:ind w:left="0" w:firstLine="0"/>
              <w:jc w:val="center"/>
              <w:rPr>
                <w:rFonts w:eastAsia="Times New Roman"/>
                <w:sz w:val="20"/>
                <w:szCs w:val="20"/>
                <w:lang w:val="en-US" w:eastAsia="en-US"/>
              </w:rPr>
            </w:pPr>
            <w:r>
              <w:rPr>
                <w:rFonts w:eastAsia="Times New Roman"/>
                <w:sz w:val="20"/>
                <w:szCs w:val="20"/>
                <w:lang w:eastAsia="en-US"/>
              </w:rPr>
              <w:t>-</w:t>
            </w:r>
          </w:p>
        </w:tc>
      </w:tr>
      <w:tr w:rsidR="00C74818" w:rsidTr="00C74818">
        <w:trPr>
          <w:trHeight w:val="288"/>
        </w:trPr>
        <w:tc>
          <w:tcPr>
            <w:tcW w:w="3420" w:type="dxa"/>
            <w:tcBorders>
              <w:top w:val="single" w:sz="4" w:space="0" w:color="auto"/>
              <w:left w:val="nil"/>
              <w:bottom w:val="single" w:sz="4" w:space="0" w:color="auto"/>
              <w:right w:val="nil"/>
            </w:tcBorders>
            <w:vAlign w:val="center"/>
            <w:hideMark/>
          </w:tcPr>
          <w:p w:rsidR="00C74818" w:rsidRDefault="00C74818">
            <w:pPr>
              <w:spacing w:after="0" w:line="240" w:lineRule="auto"/>
              <w:ind w:left="0" w:firstLine="0"/>
              <w:jc w:val="left"/>
              <w:rPr>
                <w:rFonts w:eastAsia="Times New Roman"/>
                <w:bCs/>
                <w:sz w:val="20"/>
                <w:szCs w:val="20"/>
                <w:lang w:eastAsia="en-US"/>
              </w:rPr>
            </w:pPr>
            <w:r>
              <w:rPr>
                <w:rFonts w:eastAsia="Times New Roman"/>
                <w:bCs/>
                <w:sz w:val="20"/>
                <w:szCs w:val="20"/>
                <w:lang w:eastAsia="en-US"/>
              </w:rPr>
              <w:t>Total</w:t>
            </w:r>
          </w:p>
        </w:tc>
        <w:tc>
          <w:tcPr>
            <w:tcW w:w="1486" w:type="dxa"/>
            <w:tcBorders>
              <w:top w:val="single" w:sz="4" w:space="0" w:color="auto"/>
              <w:left w:val="nil"/>
              <w:bottom w:val="single" w:sz="4" w:space="0" w:color="auto"/>
              <w:right w:val="nil"/>
            </w:tcBorders>
            <w:vAlign w:val="center"/>
            <w:hideMark/>
          </w:tcPr>
          <w:p w:rsidR="00C74818" w:rsidRDefault="00C74818">
            <w:pPr>
              <w:spacing w:after="0" w:line="240" w:lineRule="auto"/>
              <w:ind w:left="0" w:firstLine="0"/>
              <w:jc w:val="center"/>
              <w:rPr>
                <w:rFonts w:eastAsia="Times New Roman"/>
                <w:sz w:val="20"/>
                <w:szCs w:val="20"/>
                <w:lang w:eastAsia="en-US"/>
              </w:rPr>
            </w:pPr>
            <w:r>
              <w:rPr>
                <w:rFonts w:eastAsia="Times New Roman"/>
                <w:sz w:val="20"/>
                <w:szCs w:val="20"/>
                <w:lang w:eastAsia="en-US"/>
              </w:rPr>
              <w:t>13.1</w:t>
            </w:r>
          </w:p>
        </w:tc>
        <w:tc>
          <w:tcPr>
            <w:tcW w:w="854" w:type="dxa"/>
            <w:tcBorders>
              <w:top w:val="single" w:sz="4" w:space="0" w:color="auto"/>
              <w:left w:val="nil"/>
              <w:bottom w:val="single" w:sz="4" w:space="0" w:color="auto"/>
              <w:right w:val="nil"/>
            </w:tcBorders>
            <w:vAlign w:val="center"/>
            <w:hideMark/>
          </w:tcPr>
          <w:p w:rsidR="00C74818" w:rsidRDefault="00C74818">
            <w:pPr>
              <w:spacing w:after="0" w:line="240" w:lineRule="auto"/>
              <w:ind w:left="0" w:firstLine="0"/>
              <w:jc w:val="center"/>
              <w:rPr>
                <w:rFonts w:eastAsia="Times New Roman"/>
                <w:sz w:val="20"/>
                <w:szCs w:val="20"/>
                <w:lang w:eastAsia="en-US"/>
              </w:rPr>
            </w:pPr>
            <w:r>
              <w:rPr>
                <w:rFonts w:eastAsia="Times New Roman"/>
                <w:sz w:val="20"/>
                <w:szCs w:val="20"/>
                <w:lang w:eastAsia="en-US"/>
              </w:rPr>
              <w:t>100</w:t>
            </w:r>
          </w:p>
        </w:tc>
        <w:tc>
          <w:tcPr>
            <w:tcW w:w="1710" w:type="dxa"/>
            <w:gridSpan w:val="2"/>
            <w:tcBorders>
              <w:top w:val="single" w:sz="4" w:space="0" w:color="auto"/>
              <w:left w:val="nil"/>
              <w:bottom w:val="single" w:sz="4" w:space="0" w:color="auto"/>
              <w:right w:val="nil"/>
            </w:tcBorders>
            <w:vAlign w:val="center"/>
            <w:hideMark/>
          </w:tcPr>
          <w:p w:rsidR="00C74818" w:rsidRDefault="00C74818">
            <w:pPr>
              <w:spacing w:after="0" w:line="240" w:lineRule="auto"/>
              <w:ind w:left="0" w:firstLine="0"/>
              <w:jc w:val="center"/>
              <w:rPr>
                <w:rFonts w:eastAsia="Times New Roman"/>
                <w:sz w:val="20"/>
                <w:szCs w:val="20"/>
                <w:lang w:eastAsia="en-US"/>
              </w:rPr>
            </w:pPr>
            <w:r>
              <w:rPr>
                <w:rFonts w:eastAsia="Times New Roman"/>
                <w:sz w:val="20"/>
                <w:szCs w:val="20"/>
                <w:lang w:eastAsia="en-US"/>
              </w:rPr>
              <w:t>11.2</w:t>
            </w:r>
          </w:p>
        </w:tc>
        <w:tc>
          <w:tcPr>
            <w:tcW w:w="630" w:type="dxa"/>
            <w:tcBorders>
              <w:top w:val="single" w:sz="4" w:space="0" w:color="auto"/>
              <w:left w:val="nil"/>
              <w:bottom w:val="single" w:sz="4" w:space="0" w:color="auto"/>
              <w:right w:val="nil"/>
            </w:tcBorders>
            <w:vAlign w:val="center"/>
            <w:hideMark/>
          </w:tcPr>
          <w:p w:rsidR="00C74818" w:rsidRDefault="00C74818">
            <w:pPr>
              <w:spacing w:after="0" w:line="240" w:lineRule="auto"/>
              <w:ind w:left="0" w:firstLine="0"/>
              <w:jc w:val="center"/>
              <w:rPr>
                <w:rFonts w:eastAsia="Times New Roman"/>
                <w:sz w:val="20"/>
                <w:szCs w:val="20"/>
                <w:lang w:eastAsia="en-US"/>
              </w:rPr>
            </w:pPr>
            <w:r>
              <w:rPr>
                <w:rFonts w:eastAsia="Times New Roman"/>
                <w:sz w:val="20"/>
                <w:szCs w:val="20"/>
                <w:lang w:eastAsia="en-US"/>
              </w:rPr>
              <w:t>100</w:t>
            </w:r>
          </w:p>
        </w:tc>
      </w:tr>
    </w:tbl>
    <w:p w:rsidR="00C74818" w:rsidRDefault="00C74818" w:rsidP="00C74818">
      <w:pPr>
        <w:spacing w:after="0" w:line="240" w:lineRule="auto"/>
        <w:rPr>
          <w:sz w:val="18"/>
        </w:rPr>
      </w:pPr>
      <w:r>
        <w:rPr>
          <w:sz w:val="18"/>
        </w:rPr>
        <w:t xml:space="preserve">Notes: * Percent of the sum of positive differences in adult. </w:t>
      </w:r>
    </w:p>
    <w:p w:rsidR="00C74818" w:rsidRDefault="00C74818" w:rsidP="00C74818">
      <w:pPr>
        <w:spacing w:after="367" w:line="256" w:lineRule="auto"/>
        <w:ind w:left="0" w:firstLine="0"/>
        <w:jc w:val="left"/>
        <w:rPr>
          <w:sz w:val="20"/>
          <w:szCs w:val="20"/>
        </w:rPr>
      </w:pPr>
    </w:p>
    <w:p w:rsidR="00C74818" w:rsidRDefault="00C74818" w:rsidP="00C74818">
      <w:pPr>
        <w:spacing w:after="367" w:line="256" w:lineRule="auto"/>
        <w:ind w:left="0" w:firstLine="0"/>
        <w:jc w:val="left"/>
      </w:pPr>
      <w:r>
        <w:t>The two VA interpretation tool</w:t>
      </w:r>
      <w:r w:rsidR="00AC0EAF">
        <w:t>s</w:t>
      </w:r>
      <w:bookmarkStart w:id="0" w:name="_GoBack"/>
      <w:bookmarkEnd w:id="0"/>
      <w:r>
        <w:t xml:space="preserve"> lead to similar conclusions regarding the causes of death that are responsible for the female mortality advantage. Among PLHIV, both point at pulmonary TB as the most important cause for the mortality differences, but </w:t>
      </w:r>
      <w:proofErr w:type="spellStart"/>
      <w:r>
        <w:t>InterVA</w:t>
      </w:r>
      <w:proofErr w:type="spellEnd"/>
      <w:r>
        <w:t xml:space="preserve"> explicitly ascribes a non-negligible fraction of the LE disparity to HIV/AIDS. This discrepancy should perhaps not come as a surprise given that </w:t>
      </w:r>
      <w:r>
        <w:rPr>
          <w:rFonts w:eastAsia="Times New Roman" w:cs="Times New Roman"/>
          <w:color w:val="212121"/>
          <w:shd w:val="clear" w:color="auto" w:fill="FFFFFF"/>
        </w:rPr>
        <w:t xml:space="preserve">both causes are </w:t>
      </w:r>
      <w:r>
        <w:t xml:space="preserve">often difficult to separate on the basis of a VA interview </w:t>
      </w:r>
      <w:r>
        <w:fldChar w:fldCharType="begin"/>
      </w:r>
      <w:r>
        <w:instrText xml:space="preserve"> ADDIN EN.CITE &lt;EndNote&gt;&lt;Cite&gt;&lt;Author&gt;Glynn&lt;/Author&gt;&lt;Year&gt;2014&lt;/Year&gt;&lt;RecNum&gt;877&lt;/RecNum&gt;&lt;DisplayText&gt;[3]&lt;/DisplayText&gt;&lt;record&gt;&lt;rec-number&gt;877&lt;/rec-number&gt;&lt;foreign-keys&gt;&lt;key app="EN" db-id="zaaxp52zwwv05teersr5552ntsdffasrzzr9" timestamp="1477312471"&gt;877&lt;/key&gt;&lt;/foreign-keys&gt;&lt;ref-type name="Journal Article"&gt;17&lt;/ref-type&gt;&lt;contributors&gt;&lt;authors&gt;&lt;author&gt;Glynn, J. R.&lt;/author&gt;&lt;author&gt;Calvert, C.&lt;/author&gt;&lt;author&gt;Price, A.&lt;/author&gt;&lt;author&gt;Chihana, M.&lt;/author&gt;&lt;author&gt;Kachiwanda, L.&lt;/author&gt;&lt;author&gt;Mboma, S.&lt;/author&gt;&lt;author&gt;Zaba, B.&lt;/author&gt;&lt;author&gt;Crampin, A. C.&lt;/author&gt;&lt;/authors&gt;&lt;/contributors&gt;&lt;auth-address&gt;Glynn, JR&amp;#xD;Univ London London Sch Hyg &amp;amp; Trop Med, Keppel St, London WC1E 7HT, England&amp;#xD;Univ London London Sch Hyg &amp;amp; Trop Med, London WC1E 7HT, England&amp;#xD;Karonga Prevent Study, Chilumba, Malawi&lt;/auth-address&gt;&lt;titles&gt;&lt;title&gt;Measuring causes of adult mortality in rural northern Malawi over a decade of change&lt;/title&gt;&lt;secondary-title&gt;Global Health Action&lt;/secondary-title&gt;&lt;alt-title&gt;Global Health Action&lt;/alt-title&gt;&lt;/titles&gt;&lt;periodical&gt;&lt;full-title&gt;Global Health Action&lt;/full-title&gt;&lt;abbr-1&gt;Glob Health Action&lt;/abbr-1&gt;&lt;/periodical&gt;&lt;alt-periodical&gt;&lt;full-title&gt;Global Health Action&lt;/full-title&gt;&lt;abbr-1&gt;Glob Health Action&lt;/abbr-1&gt;&lt;/alt-periodical&gt;&lt;volume&gt;7&lt;/volume&gt;&lt;keywords&gt;&lt;keyword&gt;hiv&lt;/keyword&gt;&lt;keyword&gt;mortality&lt;/keyword&gt;&lt;keyword&gt;verbal autopsy&lt;/keyword&gt;&lt;keyword&gt;antiretroviral therapy&lt;/keyword&gt;&lt;keyword&gt;africa&lt;/keyword&gt;&lt;keyword&gt;demographic surveillance system&lt;/keyword&gt;&lt;keyword&gt;verbal autopsy data&lt;/keyword&gt;&lt;keyword&gt;death&lt;/keyword&gt;&lt;keyword&gt;population&lt;/keyword&gt;&lt;keyword&gt;interva&lt;/keyword&gt;&lt;keyword&gt;performance&lt;/keyword&gt;&lt;keyword&gt;validation&lt;/keyword&gt;&lt;keyword&gt;accuracy&lt;/keyword&gt;&lt;keyword&gt;karonga&lt;/keyword&gt;&lt;keyword&gt;health&lt;/keyword&gt;&lt;/keywords&gt;&lt;dates&gt;&lt;year&gt;2014&lt;/year&gt;&lt;/dates&gt;&lt;isbn&gt;1654-9880&lt;/isbn&gt;&lt;accession-num&gt;WOS:000335337900001&lt;/accession-num&gt;&lt;urls&gt;&lt;related-urls&gt;&lt;url&gt;&amp;lt;Go to ISI&amp;gt;://WOS:000335337900001&lt;/url&gt;&lt;/related-urls&gt;&lt;/urls&gt;&lt;language&gt;English&lt;/language&gt;&lt;/record&gt;&lt;/Cite&gt;&lt;/EndNote&gt;</w:instrText>
      </w:r>
      <w:r>
        <w:fldChar w:fldCharType="separate"/>
      </w:r>
      <w:r>
        <w:rPr>
          <w:noProof/>
        </w:rPr>
        <w:t>[3]</w:t>
      </w:r>
      <w:r>
        <w:fldChar w:fldCharType="end"/>
      </w:r>
      <w:r>
        <w:t>.</w:t>
      </w:r>
    </w:p>
    <w:p w:rsidR="00C74818" w:rsidRDefault="00C74818" w:rsidP="00C74818">
      <w:pPr>
        <w:spacing w:after="367" w:line="256" w:lineRule="auto"/>
        <w:ind w:left="0" w:firstLine="0"/>
        <w:jc w:val="left"/>
      </w:pPr>
      <w:r>
        <w:t xml:space="preserve">Both models also suggest that pulmonary TB is the most important cause for the gender differences in adult LE. In addition, </w:t>
      </w:r>
      <w:proofErr w:type="spellStart"/>
      <w:r>
        <w:t>InSilicoVA</w:t>
      </w:r>
      <w:proofErr w:type="spellEnd"/>
      <w:r>
        <w:t xml:space="preserve"> attributes a non-negligible share of excess male mortality to unspecified communicable diseases, whereas </w:t>
      </w:r>
      <w:proofErr w:type="spellStart"/>
      <w:r>
        <w:t>InterVA</w:t>
      </w:r>
      <w:proofErr w:type="spellEnd"/>
      <w:r>
        <w:t xml:space="preserve"> ascribes greater importance to neoplasms and cardiovascular diseases as the underlying cause for the sex differences in mortality.  Both VA interpretation tools weigh the importance of injuries equally. </w:t>
      </w:r>
    </w:p>
    <w:p w:rsidR="00C74818" w:rsidRDefault="00C74818" w:rsidP="00C74818">
      <w:pPr>
        <w:spacing w:after="160" w:line="256" w:lineRule="auto"/>
        <w:ind w:left="0" w:firstLine="0"/>
        <w:jc w:val="left"/>
        <w:rPr>
          <w:b/>
          <w:sz w:val="20"/>
          <w:szCs w:val="20"/>
        </w:rPr>
      </w:pPr>
    </w:p>
    <w:p w:rsidR="00C74818" w:rsidRDefault="00C74818" w:rsidP="00C74818">
      <w:pPr>
        <w:spacing w:after="160" w:line="256" w:lineRule="auto"/>
        <w:ind w:left="0" w:firstLine="0"/>
        <w:jc w:val="left"/>
        <w:rPr>
          <w:b/>
          <w:sz w:val="20"/>
          <w:szCs w:val="20"/>
        </w:rPr>
      </w:pPr>
      <w:r>
        <w:rPr>
          <w:b/>
          <w:sz w:val="20"/>
          <w:szCs w:val="20"/>
        </w:rPr>
        <w:t xml:space="preserve">References </w:t>
      </w:r>
    </w:p>
    <w:p w:rsidR="00C74818" w:rsidRPr="00C74818" w:rsidRDefault="00C74818" w:rsidP="00C74818">
      <w:pPr>
        <w:pStyle w:val="EndNoteBibliography"/>
        <w:spacing w:after="0"/>
        <w:ind w:left="0" w:firstLine="0"/>
      </w:pPr>
      <w:r>
        <w:fldChar w:fldCharType="begin"/>
      </w:r>
      <w:r>
        <w:instrText xml:space="preserve"> ADDIN EN.REFLIST </w:instrText>
      </w:r>
      <w:r>
        <w:fldChar w:fldCharType="separate"/>
      </w:r>
      <w:r w:rsidRPr="00C74818">
        <w:t>1.</w:t>
      </w:r>
      <w:r w:rsidRPr="00C74818">
        <w:tab/>
        <w:t>Byass P, Chandramohan D, Clark SJ, D'Ambruoso L, Fottrell E, Graham WJ, et al. Strengthening standardised interpretation of verbal autopsy data: the new InterVA-4 tool. Glob Health Action. 2012;5:1-8. doi: 10.3402/gha.v5i0.19281. PubMed PMID: 22944365; PubMed Central PMCID: PMCPMC3433652.</w:t>
      </w:r>
    </w:p>
    <w:p w:rsidR="00C74818" w:rsidRPr="00C74818" w:rsidRDefault="00C74818" w:rsidP="00C74818">
      <w:pPr>
        <w:pStyle w:val="EndNoteBibliography"/>
        <w:spacing w:after="0"/>
        <w:ind w:left="0" w:firstLine="0"/>
      </w:pPr>
      <w:r w:rsidRPr="00C74818">
        <w:t>2.</w:t>
      </w:r>
      <w:r w:rsidRPr="00C74818">
        <w:tab/>
        <w:t>Zehang L, McCormick T, Clark S. InterVA4: An R package to analyze verbal autopsy data. In: University of Washington, editor. CSSS Working Paper2014.</w:t>
      </w:r>
    </w:p>
    <w:p w:rsidR="00C74818" w:rsidRPr="00C74818" w:rsidRDefault="00C74818" w:rsidP="00C74818">
      <w:pPr>
        <w:pStyle w:val="EndNoteBibliography"/>
        <w:ind w:left="0" w:firstLine="0"/>
      </w:pPr>
      <w:r w:rsidRPr="00C74818">
        <w:t>3.</w:t>
      </w:r>
      <w:r w:rsidRPr="00C74818">
        <w:tab/>
        <w:t>Glynn JR, Calvert C, Price A, Chihana M, Kachiwanda L, Mboma S, et al. Measuring causes of adult mortality in rural northern Malawi over a decade of change. Glob Health Action. 2014;7. PubMed PMID: WOS:000335337900001.</w:t>
      </w:r>
    </w:p>
    <w:p w:rsidR="00C74818" w:rsidRDefault="00C74818" w:rsidP="00C74818">
      <w:r>
        <w:fldChar w:fldCharType="end"/>
      </w:r>
    </w:p>
    <w:p w:rsidR="00D47D01" w:rsidRDefault="00D47D01" w:rsidP="00C052D7">
      <w:pPr>
        <w:ind w:left="0" w:firstLine="0"/>
      </w:pPr>
    </w:p>
    <w:sectPr w:rsidR="00D47D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2B675F"/>
    <w:multiLevelType w:val="hybridMultilevel"/>
    <w:tmpl w:val="F6803078"/>
    <w:lvl w:ilvl="0" w:tplc="0C8A6C88">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Layout" w:val="&lt;ENLayout&gt;&lt;Style&gt;PLoS&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aaxp52zwwv05teersr5552ntsdffasrzzr9&quot;&gt;HIV&lt;record-ids&gt;&lt;item&gt;823&lt;/item&gt;&lt;item&gt;869&lt;/item&gt;&lt;item&gt;877&lt;/item&gt;&lt;/record-ids&gt;&lt;/item&gt;&lt;/Libraries&gt;"/>
  </w:docVars>
  <w:rsids>
    <w:rsidRoot w:val="00C74818"/>
    <w:rsid w:val="00780951"/>
    <w:rsid w:val="008D0E79"/>
    <w:rsid w:val="00AC0EAF"/>
    <w:rsid w:val="00C052D7"/>
    <w:rsid w:val="00C74818"/>
    <w:rsid w:val="00D47D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77BE2"/>
  <w15:chartTrackingRefBased/>
  <w15:docId w15:val="{B4F3F5F9-BC13-4616-808D-0BC0883EA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4818"/>
    <w:pPr>
      <w:spacing w:after="5" w:line="247" w:lineRule="auto"/>
      <w:ind w:left="10" w:hanging="10"/>
      <w:jc w:val="both"/>
    </w:pPr>
    <w:rPr>
      <w:rFonts w:ascii="Arial" w:eastAsia="Arial" w:hAnsi="Arial" w:cs="Arial"/>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4818"/>
    <w:pPr>
      <w:ind w:left="720"/>
      <w:contextualSpacing/>
    </w:pPr>
  </w:style>
  <w:style w:type="character" w:customStyle="1" w:styleId="EndNoteBibliographyChar">
    <w:name w:val="EndNote Bibliography Char"/>
    <w:basedOn w:val="DefaultParagraphFont"/>
    <w:link w:val="EndNoteBibliography"/>
    <w:locked/>
    <w:rsid w:val="00C74818"/>
    <w:rPr>
      <w:rFonts w:ascii="Arial" w:eastAsia="Arial" w:hAnsi="Arial" w:cs="Arial"/>
      <w:noProof/>
      <w:color w:val="000000"/>
      <w:lang w:eastAsia="en-GB"/>
    </w:rPr>
  </w:style>
  <w:style w:type="paragraph" w:customStyle="1" w:styleId="EndNoteBibliography">
    <w:name w:val="EndNote Bibliography"/>
    <w:basedOn w:val="Normal"/>
    <w:link w:val="EndNoteBibliographyChar"/>
    <w:rsid w:val="00C74818"/>
    <w:pPr>
      <w:spacing w:line="240" w:lineRule="auto"/>
    </w:pPr>
    <w:rPr>
      <w:noProof/>
    </w:rPr>
  </w:style>
  <w:style w:type="character" w:styleId="Hyperlink">
    <w:name w:val="Hyperlink"/>
    <w:basedOn w:val="DefaultParagraphFont"/>
    <w:uiPriority w:val="99"/>
    <w:semiHidden/>
    <w:unhideWhenUsed/>
    <w:rsid w:val="00C74818"/>
    <w:rPr>
      <w:color w:val="0000FF"/>
      <w:u w:val="single"/>
    </w:rPr>
  </w:style>
  <w:style w:type="paragraph" w:customStyle="1" w:styleId="EndNoteBibliographyTitle">
    <w:name w:val="EndNote Bibliography Title"/>
    <w:basedOn w:val="Normal"/>
    <w:link w:val="EndNoteBibliographyTitleChar"/>
    <w:rsid w:val="00C74818"/>
    <w:pPr>
      <w:spacing w:after="0"/>
      <w:jc w:val="center"/>
    </w:pPr>
    <w:rPr>
      <w:noProof/>
    </w:rPr>
  </w:style>
  <w:style w:type="character" w:customStyle="1" w:styleId="EndNoteBibliographyTitleChar">
    <w:name w:val="EndNote Bibliography Title Char"/>
    <w:basedOn w:val="DefaultParagraphFont"/>
    <w:link w:val="EndNoteBibliographyTitle"/>
    <w:rsid w:val="00C74818"/>
    <w:rPr>
      <w:rFonts w:ascii="Arial" w:eastAsia="Arial" w:hAnsi="Arial" w:cs="Arial"/>
      <w:noProof/>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3614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1347</Words>
  <Characters>7684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Georges Reniers</dc:creator>
  <cp:keywords/>
  <dc:description/>
  <cp:lastModifiedBy>Georges Reniers</cp:lastModifiedBy>
  <cp:revision>4</cp:revision>
  <dcterms:created xsi:type="dcterms:W3CDTF">2017-09-25T11:52:00Z</dcterms:created>
  <dcterms:modified xsi:type="dcterms:W3CDTF">2017-09-28T15:52:00Z</dcterms:modified>
</cp:coreProperties>
</file>