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07" w:rsidRPr="00C82907" w:rsidRDefault="00C82907" w:rsidP="00C82907">
      <w:pPr>
        <w:spacing w:after="346" w:line="256" w:lineRule="auto"/>
        <w:ind w:left="0" w:firstLine="0"/>
        <w:jc w:val="left"/>
        <w:outlineLvl w:val="0"/>
        <w:rPr>
          <w:b/>
          <w:sz w:val="36"/>
          <w:szCs w:val="36"/>
        </w:rPr>
      </w:pPr>
      <w:r w:rsidRPr="00C82907">
        <w:rPr>
          <w:b/>
          <w:sz w:val="36"/>
          <w:szCs w:val="36"/>
        </w:rPr>
        <w:t>S2 File. Sensitivity of the estimates to the exclusion of non-residents</w:t>
      </w:r>
    </w:p>
    <w:p w:rsidR="00C82907" w:rsidRDefault="00C82907" w:rsidP="00C82907">
      <w:pPr>
        <w:spacing w:after="160" w:line="256" w:lineRule="auto"/>
        <w:ind w:left="0" w:firstLine="0"/>
        <w:jc w:val="left"/>
        <w:rPr>
          <w:szCs w:val="20"/>
        </w:rPr>
      </w:pPr>
      <w:r>
        <w:rPr>
          <w:szCs w:val="20"/>
        </w:rPr>
        <w:t xml:space="preserve">We exclude the exposure time of non-resident household members because they have lower participation rates in the HIV </w:t>
      </w:r>
      <w:proofErr w:type="spellStart"/>
      <w:r>
        <w:rPr>
          <w:szCs w:val="20"/>
        </w:rPr>
        <w:t>serosurveys</w:t>
      </w:r>
      <w:proofErr w:type="spellEnd"/>
      <w:r>
        <w:rPr>
          <w:szCs w:val="20"/>
        </w:rPr>
        <w:t xml:space="preserve"> and because their verbal autopsy information may be less accurate since the respondent may not have been co-residing with the deceased during the final illness episode. Additionally, non-residents may have been exposed to a different set of mortality risks than migrants </w:t>
      </w:r>
      <w:r>
        <w:rPr>
          <w:szCs w:val="20"/>
        </w:rPr>
        <w:fldChar w:fldCharType="begin"/>
      </w:r>
      <w:r>
        <w:rPr>
          <w:szCs w:val="20"/>
        </w:rPr>
        <w:instrText xml:space="preserve"> ADDIN EN.CITE &lt;EndNote&gt;&lt;Cite&gt;&lt;Author&gt;Welaga&lt;/Author&gt;&lt;Year&gt;2009&lt;/Year&gt;&lt;RecNum&gt;895&lt;/RecNum&gt;&lt;DisplayText&gt;[1]&lt;/DisplayText&gt;&lt;record&gt;&lt;rec-number&gt;895&lt;/rec-number&gt;&lt;foreign-keys&gt;&lt;key app="EN" db-id="zaaxp52zwwv05teersr5552ntsdffasrzzr9" timestamp="1479825629"&gt;895&lt;/key&gt;&lt;/foreign-keys&gt;&lt;ref-type name="Journal Article"&gt;17&lt;/ref-type&gt;&lt;contributors&gt;&lt;authors&gt;&lt;author&gt;Welaga, P.&lt;/author&gt;&lt;author&gt;Hosegood, V.&lt;/author&gt;&lt;author&gt;Weiner, R.&lt;/author&gt;&lt;author&gt;Hill, C.&lt;/author&gt;&lt;author&gt;Herbst, K.&lt;/author&gt;&lt;author&gt;Newell, M. L.&lt;/author&gt;&lt;/authors&gt;&lt;/contributors&gt;&lt;auth-address&gt;Navrongo Health Research Centre, Navrongo, Ghana. wepaulus@hotmail.com&lt;/auth-address&gt;&lt;titles&gt;&lt;title&gt;Coming home to die? The association between migration and mortality in rural South Africa&lt;/title&gt;&lt;secondary-title&gt;BMC Public Health&lt;/secondary-title&gt;&lt;/titles&gt;&lt;periodical&gt;&lt;full-title&gt;BMC Public Health&lt;/full-title&gt;&lt;abbr-1&gt;BMC Pub Health&lt;/abbr-1&gt;&lt;/periodical&gt;&lt;pages&gt;193&lt;/pages&gt;&lt;volume&gt;9&lt;/volume&gt;&lt;keywords&gt;&lt;keyword&gt;Acquired Immunodeficiency Syndrome/mortality&lt;/keyword&gt;&lt;keyword&gt;Adolescent&lt;/keyword&gt;&lt;keyword&gt;Adult&lt;/keyword&gt;&lt;keyword&gt;Cause of Death&lt;/keyword&gt;&lt;keyword&gt;Confidence Intervals&lt;/keyword&gt;&lt;keyword&gt;Emigration and Immigration/*statistics &amp;amp; numerical data&lt;/keyword&gt;&lt;keyword&gt;Female&lt;/keyword&gt;&lt;keyword&gt;Humans&lt;/keyword&gt;&lt;keyword&gt;Male&lt;/keyword&gt;&lt;keyword&gt;Middle Aged&lt;/keyword&gt;&lt;keyword&gt;*Mortality&lt;/keyword&gt;&lt;keyword&gt;Proportional Hazards Models&lt;/keyword&gt;&lt;keyword&gt;Rural Population/statistics &amp;amp; numerical data&lt;/keyword&gt;&lt;keyword&gt;South Africa/epidemiology&lt;/keyword&gt;&lt;keyword&gt;Survival Analysis&lt;/keyword&gt;&lt;keyword&gt;Young Adult&lt;/keyword&gt;&lt;/keywords&gt;&lt;dates&gt;&lt;year&gt;2009&lt;/year&gt;&lt;pub-dates&gt;&lt;date&gt;Jun 18&lt;/date&gt;&lt;/pub-dates&gt;&lt;/dates&gt;&lt;isbn&gt;1471-2458 (Electronic)&amp;#xD;1471-2458 (Linking)&lt;/isbn&gt;&lt;accession-num&gt;19538717&lt;/accession-num&gt;&lt;urls&gt;&lt;related-urls&gt;&lt;url&gt;https://www.ncbi.nlm.nih.gov/pubmed/19538717&lt;/url&gt;&lt;/related-urls&gt;&lt;/urls&gt;&lt;custom2&gt;PMC2706824&lt;/custom2&gt;&lt;electronic-resource-num&gt;10.1186/1471-2458-9-193&lt;/electronic-resource-num&gt;&lt;/record&gt;&lt;/Cite&gt;&lt;/EndNote&gt;</w:instrText>
      </w:r>
      <w:r>
        <w:rPr>
          <w:szCs w:val="20"/>
        </w:rPr>
        <w:fldChar w:fldCharType="separate"/>
      </w:r>
      <w:r>
        <w:rPr>
          <w:noProof/>
          <w:szCs w:val="20"/>
        </w:rPr>
        <w:t>[1]</w:t>
      </w:r>
      <w:r>
        <w:rPr>
          <w:szCs w:val="20"/>
        </w:rPr>
        <w:fldChar w:fldCharType="end"/>
      </w:r>
      <w:r w:rsidR="00231EA5">
        <w:rPr>
          <w:szCs w:val="20"/>
        </w:rPr>
        <w:t xml:space="preserve">. Fig </w:t>
      </w:r>
      <w:r w:rsidR="00FE430A">
        <w:rPr>
          <w:szCs w:val="20"/>
        </w:rPr>
        <w:t>A</w:t>
      </w:r>
      <w:bookmarkStart w:id="0" w:name="_GoBack"/>
      <w:bookmarkEnd w:id="0"/>
      <w:r>
        <w:rPr>
          <w:szCs w:val="20"/>
        </w:rPr>
        <w:t xml:space="preserve"> illustrates the trends in sex differences in adult LE using only resident episodes and both resident and non-resident episodes. </w:t>
      </w:r>
    </w:p>
    <w:p w:rsidR="00C82907" w:rsidRDefault="00C82907" w:rsidP="00C82907">
      <w:pPr>
        <w:spacing w:after="160" w:line="256" w:lineRule="auto"/>
        <w:ind w:left="0" w:firstLine="0"/>
        <w:jc w:val="left"/>
        <w:rPr>
          <w:szCs w:val="20"/>
        </w:rPr>
      </w:pPr>
      <w:r>
        <w:rPr>
          <w:szCs w:val="20"/>
        </w:rPr>
        <w:t>The exclusion of non-residents affected men more than women; men’s LE mostly increased when including non-resident household members, women’s LE fluctuated in either direction but usually by less than a year. As a result, the sex difference in LE decreased with a maximum of 3.4 years when including non-residents in the analyses.</w:t>
      </w:r>
    </w:p>
    <w:p w:rsidR="00C82907" w:rsidRDefault="00C82907" w:rsidP="00C82907">
      <w:pPr>
        <w:spacing w:after="160" w:line="256" w:lineRule="auto"/>
        <w:ind w:left="0" w:firstLine="0"/>
        <w:jc w:val="left"/>
        <w:rPr>
          <w:sz w:val="20"/>
          <w:szCs w:val="20"/>
        </w:rPr>
      </w:pPr>
    </w:p>
    <w:p w:rsidR="00C82907" w:rsidRDefault="00231EA5" w:rsidP="00C82907">
      <w:pPr>
        <w:spacing w:after="160" w:line="256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 </w:t>
      </w:r>
      <w:r w:rsidR="00FE430A">
        <w:rPr>
          <w:b/>
          <w:sz w:val="20"/>
          <w:szCs w:val="20"/>
        </w:rPr>
        <w:t>A</w:t>
      </w:r>
      <w:r w:rsidR="00C82907">
        <w:rPr>
          <w:b/>
          <w:sz w:val="20"/>
          <w:szCs w:val="20"/>
        </w:rPr>
        <w:t>. Annual estimates of the sex difference in adult LE among residents alone and among both residents and non-residents.</w:t>
      </w:r>
    </w:p>
    <w:p w:rsidR="00C82907" w:rsidRDefault="00C82907" w:rsidP="00C82907">
      <w:pPr>
        <w:spacing w:after="0" w:line="256" w:lineRule="auto"/>
        <w:ind w:left="0" w:firstLine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3375660" cy="2468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07" w:rsidRDefault="00C82907"/>
    <w:p w:rsidR="00C82907" w:rsidRDefault="00C82907"/>
    <w:p w:rsidR="00C82907" w:rsidRDefault="00C82907">
      <w:r w:rsidRPr="00C82907">
        <w:rPr>
          <w:b/>
        </w:rPr>
        <w:t>Reference</w:t>
      </w:r>
    </w:p>
    <w:p w:rsidR="00C82907" w:rsidRDefault="00C82907"/>
    <w:p w:rsidR="00C82907" w:rsidRPr="00C82907" w:rsidRDefault="00C82907" w:rsidP="00C82907">
      <w:pPr>
        <w:pStyle w:val="EndNoteBibliography"/>
        <w:ind w:left="0" w:firstLine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82907">
        <w:t>1.</w:t>
      </w:r>
      <w:r w:rsidRPr="00C82907">
        <w:tab/>
        <w:t>Welaga P, Hosegood V, Weiner R, Hill C, Herbst K, Newell ML. Coming home to die? The association between migration and mortality in rural South Africa. BMC Pub Health. 2009;9:193. doi: 10.1186/1471-2458-9-193. PubMed PMID: 19538717; PubMed Central PMCID: PMCPMC2706824.</w:t>
      </w:r>
    </w:p>
    <w:p w:rsidR="00D47D01" w:rsidRDefault="00C82907">
      <w:r>
        <w:fldChar w:fldCharType="end"/>
      </w:r>
    </w:p>
    <w:sectPr w:rsidR="00D4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axp52zwwv05teersr5552ntsdffasrzzr9&quot;&gt;HIV&lt;record-ids&gt;&lt;item&gt;895&lt;/item&gt;&lt;/record-ids&gt;&lt;/item&gt;&lt;/Libraries&gt;"/>
  </w:docVars>
  <w:rsids>
    <w:rsidRoot w:val="00C82907"/>
    <w:rsid w:val="00231EA5"/>
    <w:rsid w:val="008D0E79"/>
    <w:rsid w:val="00C82907"/>
    <w:rsid w:val="00D47D01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CB81"/>
  <w15:chartTrackingRefBased/>
  <w15:docId w15:val="{E898408F-DFC6-4CD0-9392-F074588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07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90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8290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2907"/>
    <w:rPr>
      <w:rFonts w:ascii="Arial" w:eastAsia="Arial" w:hAnsi="Arial" w:cs="Arial"/>
      <w:noProof/>
      <w:color w:val="000000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C8290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2907"/>
    <w:rPr>
      <w:rFonts w:ascii="Arial" w:eastAsia="Arial" w:hAnsi="Arial" w:cs="Arial"/>
      <w:noProof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Reniers</dc:creator>
  <cp:keywords/>
  <dc:description/>
  <cp:lastModifiedBy>Georges Reniers</cp:lastModifiedBy>
  <cp:revision>3</cp:revision>
  <dcterms:created xsi:type="dcterms:W3CDTF">2017-09-25T11:25:00Z</dcterms:created>
  <dcterms:modified xsi:type="dcterms:W3CDTF">2017-09-28T12:02:00Z</dcterms:modified>
</cp:coreProperties>
</file>