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3DDC" w14:textId="77777777" w:rsidR="009C68D2" w:rsidRPr="00A55C61" w:rsidRDefault="009C68D2" w:rsidP="00AD372C">
      <w:pPr>
        <w:pStyle w:val="NormalWeb"/>
        <w:spacing w:line="480" w:lineRule="auto"/>
        <w:outlineLvl w:val="0"/>
        <w:rPr>
          <w:rFonts w:ascii="Calibri" w:hAnsi="Calibri"/>
          <w:b/>
          <w:sz w:val="36"/>
          <w:szCs w:val="36"/>
        </w:rPr>
      </w:pPr>
      <w:r w:rsidRPr="00A55C61">
        <w:rPr>
          <w:rFonts w:ascii="Calibri" w:hAnsi="Calibri"/>
          <w:b/>
          <w:sz w:val="36"/>
          <w:szCs w:val="36"/>
        </w:rPr>
        <w:t>Supplementary material</w:t>
      </w:r>
    </w:p>
    <w:p w14:paraId="7E15D2E5" w14:textId="77777777" w:rsidR="009C68D2" w:rsidRPr="00AD372C" w:rsidRDefault="009C68D2" w:rsidP="00AD372C">
      <w:pPr>
        <w:pStyle w:val="NoSpacing"/>
        <w:spacing w:line="480" w:lineRule="auto"/>
        <w:jc w:val="both"/>
        <w:outlineLvl w:val="0"/>
        <w:rPr>
          <w:rFonts w:ascii="Calibri" w:hAnsi="Calibri"/>
          <w:b/>
          <w:sz w:val="36"/>
          <w:szCs w:val="36"/>
          <w:lang w:val="en-US"/>
        </w:rPr>
      </w:pPr>
      <w:r w:rsidRPr="00AD372C">
        <w:rPr>
          <w:rFonts w:ascii="Calibri" w:hAnsi="Calibri"/>
          <w:b/>
          <w:sz w:val="36"/>
          <w:szCs w:val="36"/>
          <w:lang w:val="en-US"/>
        </w:rPr>
        <w:t xml:space="preserve">S1 Appendix </w:t>
      </w:r>
    </w:p>
    <w:p w14:paraId="2648A151" w14:textId="77777777" w:rsidR="009C68D2" w:rsidRPr="00AD372C" w:rsidRDefault="009C68D2" w:rsidP="00AD372C">
      <w:pPr>
        <w:pStyle w:val="NoSpacing"/>
        <w:spacing w:line="480" w:lineRule="auto"/>
        <w:jc w:val="both"/>
        <w:outlineLvl w:val="0"/>
        <w:rPr>
          <w:rFonts w:ascii="Calibri" w:hAnsi="Calibri"/>
          <w:b/>
          <w:sz w:val="32"/>
          <w:szCs w:val="32"/>
          <w:lang w:val="en-US"/>
        </w:rPr>
      </w:pPr>
      <w:r w:rsidRPr="00AD372C">
        <w:rPr>
          <w:rFonts w:ascii="Calibri" w:hAnsi="Calibri"/>
          <w:b/>
          <w:sz w:val="32"/>
          <w:szCs w:val="32"/>
          <w:lang w:val="en-US"/>
        </w:rPr>
        <w:t>Explorative analysis 2: Direct replication of [1]</w:t>
      </w:r>
    </w:p>
    <w:p w14:paraId="4B61594C" w14:textId="77777777" w:rsidR="009C68D2" w:rsidRPr="000E5B1E" w:rsidRDefault="009C68D2" w:rsidP="009C68D2">
      <w:pPr>
        <w:pStyle w:val="NoSpacing"/>
        <w:spacing w:line="480" w:lineRule="auto"/>
        <w:jc w:val="both"/>
        <w:rPr>
          <w:rFonts w:ascii="Calibri" w:hAnsi="Calibri"/>
          <w:sz w:val="22"/>
          <w:szCs w:val="22"/>
          <w:lang w:val="en-US"/>
        </w:rPr>
      </w:pPr>
      <w:r w:rsidRPr="000E5B1E">
        <w:rPr>
          <w:rFonts w:ascii="Calibri" w:hAnsi="Calibri"/>
          <w:sz w:val="22"/>
          <w:szCs w:val="22"/>
          <w:lang w:val="en-US"/>
        </w:rPr>
        <w:t xml:space="preserve">To investigate whether our differences with the study of </w:t>
      </w:r>
      <w:proofErr w:type="spellStart"/>
      <w:r w:rsidRPr="000E5B1E">
        <w:rPr>
          <w:rFonts w:ascii="Calibri" w:hAnsi="Calibri"/>
          <w:sz w:val="22"/>
          <w:szCs w:val="22"/>
          <w:lang w:val="en-US"/>
        </w:rPr>
        <w:t>Norenzayan</w:t>
      </w:r>
      <w:proofErr w:type="spellEnd"/>
      <w:r>
        <w:rPr>
          <w:rFonts w:ascii="Calibri" w:hAnsi="Calibri"/>
          <w:sz w:val="22"/>
          <w:szCs w:val="22"/>
          <w:lang w:val="en-US"/>
        </w:rPr>
        <w:t xml:space="preserve"> et al. [1]</w:t>
      </w:r>
      <w:r w:rsidRPr="000E5B1E">
        <w:rPr>
          <w:rFonts w:ascii="Calibri" w:hAnsi="Calibri"/>
          <w:sz w:val="22"/>
          <w:szCs w:val="22"/>
          <w:lang w:val="en-US"/>
        </w:rPr>
        <w:t xml:space="preserve"> could be attributed to differences in the analyses, we conducted a similar analysis as reported in the original study (Experiment 3a and 3b). Therefore, a logistic regression was conducted instead of a hierarchical logistic regression. Belief in a personal God was predicted by the AQ and gender, while controlling for age, education, income, EQ and SQ. Similarly as in the s</w:t>
      </w:r>
      <w:r>
        <w:rPr>
          <w:rFonts w:ascii="Calibri" w:hAnsi="Calibri"/>
          <w:sz w:val="22"/>
          <w:szCs w:val="22"/>
          <w:lang w:val="en-US"/>
        </w:rPr>
        <w:t xml:space="preserve">tudy of </w:t>
      </w:r>
      <w:proofErr w:type="spellStart"/>
      <w:r>
        <w:rPr>
          <w:rFonts w:ascii="Calibri" w:hAnsi="Calibri"/>
          <w:sz w:val="22"/>
          <w:szCs w:val="22"/>
          <w:lang w:val="en-US"/>
        </w:rPr>
        <w:t>Norenzayan</w:t>
      </w:r>
      <w:proofErr w:type="spellEnd"/>
      <w:r>
        <w:rPr>
          <w:rFonts w:ascii="Calibri" w:hAnsi="Calibri"/>
          <w:sz w:val="22"/>
          <w:szCs w:val="22"/>
          <w:lang w:val="en-US"/>
        </w:rPr>
        <w:t xml:space="preserve"> et al. [1]</w:t>
      </w:r>
      <w:r w:rsidRPr="000E5B1E">
        <w:rPr>
          <w:rFonts w:ascii="Calibri" w:hAnsi="Calibri"/>
          <w:sz w:val="22"/>
          <w:szCs w:val="22"/>
          <w:lang w:val="en-US"/>
        </w:rPr>
        <w:t xml:space="preserve">, visual inspection of the data showed that religiosity was </w:t>
      </w:r>
      <w:proofErr w:type="spellStart"/>
      <w:r w:rsidRPr="000E5B1E">
        <w:rPr>
          <w:rFonts w:ascii="Calibri" w:hAnsi="Calibri"/>
          <w:sz w:val="22"/>
          <w:szCs w:val="22"/>
          <w:lang w:val="en-US"/>
        </w:rPr>
        <w:t>bimodally</w:t>
      </w:r>
      <w:proofErr w:type="spellEnd"/>
      <w:r w:rsidRPr="000E5B1E">
        <w:rPr>
          <w:rFonts w:ascii="Calibri" w:hAnsi="Calibri"/>
          <w:sz w:val="22"/>
          <w:szCs w:val="22"/>
          <w:lang w:val="en-US"/>
        </w:rPr>
        <w:t xml:space="preserve"> distributed, Kolmogorov-</w:t>
      </w:r>
      <w:proofErr w:type="gramStart"/>
      <w:r w:rsidRPr="000E5B1E">
        <w:rPr>
          <w:rFonts w:ascii="Calibri" w:hAnsi="Calibri"/>
          <w:sz w:val="22"/>
          <w:szCs w:val="22"/>
          <w:lang w:val="en-US"/>
        </w:rPr>
        <w:t>Smirnov(</w:t>
      </w:r>
      <w:proofErr w:type="gramEnd"/>
      <w:r w:rsidRPr="000E5B1E">
        <w:rPr>
          <w:rFonts w:ascii="Calibri" w:hAnsi="Calibri"/>
          <w:sz w:val="22"/>
          <w:szCs w:val="22"/>
          <w:lang w:val="en-US"/>
        </w:rPr>
        <w:t xml:space="preserve">787) = .09, </w:t>
      </w:r>
      <w:r w:rsidRPr="000E5B1E">
        <w:rPr>
          <w:rFonts w:ascii="Calibri" w:hAnsi="Calibri"/>
          <w:i/>
          <w:sz w:val="22"/>
          <w:szCs w:val="22"/>
          <w:lang w:val="en-US"/>
        </w:rPr>
        <w:t xml:space="preserve">p </w:t>
      </w:r>
      <w:r w:rsidRPr="000E5B1E">
        <w:rPr>
          <w:rFonts w:ascii="Calibri" w:hAnsi="Calibri"/>
          <w:sz w:val="22"/>
          <w:szCs w:val="22"/>
          <w:lang w:val="en-US"/>
        </w:rPr>
        <w:t>&lt; .001. Therefore, religiosity was dichotomized with a median split into low believers (average score lower than 3.71, 61.6%) and high believers (average score of 3.71 or higher, 38.4%). Compared to a constant only model, the first model was statistically significant, indicating that the predictors reliably distinguished between atheists and theists, χ</w:t>
      </w:r>
      <w:r w:rsidRPr="000E5B1E">
        <w:rPr>
          <w:rFonts w:ascii="Calibri" w:hAnsi="Calibri"/>
          <w:sz w:val="22"/>
          <w:szCs w:val="22"/>
          <w:vertAlign w:val="superscript"/>
          <w:lang w:val="en-US"/>
        </w:rPr>
        <w:t>2</w:t>
      </w:r>
      <w:r w:rsidRPr="000E5B1E">
        <w:rPr>
          <w:rFonts w:ascii="Calibri" w:hAnsi="Calibri"/>
          <w:sz w:val="22"/>
          <w:szCs w:val="22"/>
          <w:lang w:val="en-US"/>
        </w:rPr>
        <w:t xml:space="preserve">(7) = 38.31, </w:t>
      </w:r>
      <w:r w:rsidRPr="000E5B1E">
        <w:rPr>
          <w:rFonts w:ascii="Calibri" w:hAnsi="Calibri"/>
          <w:i/>
          <w:sz w:val="22"/>
          <w:szCs w:val="22"/>
          <w:lang w:val="en-US"/>
        </w:rPr>
        <w:t>p</w:t>
      </w:r>
      <w:r w:rsidRPr="000E5B1E">
        <w:rPr>
          <w:rFonts w:ascii="Calibri" w:hAnsi="Calibri"/>
          <w:sz w:val="22"/>
          <w:szCs w:val="22"/>
          <w:lang w:val="en-US"/>
        </w:rPr>
        <w:t xml:space="preserve"> &lt; .001, </w:t>
      </w:r>
      <w:proofErr w:type="spellStart"/>
      <w:r w:rsidRPr="000E5B1E">
        <w:rPr>
          <w:rFonts w:ascii="Calibri" w:hAnsi="Calibri"/>
          <w:sz w:val="22"/>
          <w:szCs w:val="22"/>
          <w:lang w:val="en-US"/>
        </w:rPr>
        <w:t>Nagelkerke</w:t>
      </w:r>
      <w:proofErr w:type="spellEnd"/>
      <w:r w:rsidRPr="000E5B1E">
        <w:rPr>
          <w:rFonts w:ascii="Calibri" w:hAnsi="Calibri"/>
          <w:sz w:val="22"/>
          <w:szCs w:val="22"/>
          <w:lang w:val="en-US"/>
        </w:rPr>
        <w:t xml:space="preserve"> </w:t>
      </w:r>
      <w:r w:rsidRPr="000E5B1E">
        <w:rPr>
          <w:rFonts w:ascii="Calibri" w:hAnsi="Calibri"/>
          <w:i/>
          <w:sz w:val="22"/>
          <w:szCs w:val="22"/>
          <w:lang w:val="en-US"/>
        </w:rPr>
        <w:t>R</w:t>
      </w:r>
      <w:r w:rsidRPr="000E5B1E">
        <w:rPr>
          <w:rFonts w:ascii="Calibri" w:hAnsi="Calibri"/>
          <w:i/>
          <w:sz w:val="22"/>
          <w:szCs w:val="22"/>
          <w:vertAlign w:val="superscript"/>
          <w:lang w:val="en-US"/>
        </w:rPr>
        <w:t>2</w:t>
      </w:r>
      <w:r w:rsidRPr="000E5B1E">
        <w:rPr>
          <w:rFonts w:ascii="Calibri" w:hAnsi="Calibri"/>
          <w:sz w:val="22"/>
          <w:szCs w:val="22"/>
          <w:lang w:val="en-US"/>
        </w:rPr>
        <w:t xml:space="preserve"> = .08. Gender (Wald = 9.43, </w:t>
      </w:r>
      <w:r w:rsidRPr="000E5B1E">
        <w:rPr>
          <w:rFonts w:ascii="Calibri" w:hAnsi="Calibri"/>
          <w:i/>
          <w:sz w:val="22"/>
          <w:szCs w:val="22"/>
          <w:lang w:val="en-US"/>
        </w:rPr>
        <w:t>B</w:t>
      </w:r>
      <w:r w:rsidRPr="000E5B1E">
        <w:rPr>
          <w:rFonts w:ascii="Calibri" w:hAnsi="Calibri"/>
          <w:sz w:val="22"/>
          <w:szCs w:val="22"/>
          <w:lang w:val="en-US"/>
        </w:rPr>
        <w:t xml:space="preserve"> = 0.02, </w:t>
      </w:r>
      <w:r w:rsidRPr="000E5B1E">
        <w:rPr>
          <w:rFonts w:ascii="Calibri" w:hAnsi="Calibri"/>
          <w:i/>
          <w:sz w:val="22"/>
          <w:szCs w:val="22"/>
          <w:lang w:val="en-US"/>
        </w:rPr>
        <w:t>p</w:t>
      </w:r>
      <w:r w:rsidRPr="000E5B1E">
        <w:rPr>
          <w:rFonts w:ascii="Calibri" w:hAnsi="Calibri"/>
          <w:sz w:val="22"/>
          <w:szCs w:val="22"/>
          <w:lang w:val="en-US"/>
        </w:rPr>
        <w:t xml:space="preserve"> = .002), age (Wald = 9.69, </w:t>
      </w:r>
      <w:r w:rsidRPr="000E5B1E">
        <w:rPr>
          <w:rFonts w:ascii="Calibri" w:hAnsi="Calibri"/>
          <w:i/>
          <w:sz w:val="22"/>
          <w:szCs w:val="22"/>
          <w:lang w:val="en-US"/>
        </w:rPr>
        <w:t>B</w:t>
      </w:r>
      <w:r w:rsidRPr="000E5B1E">
        <w:rPr>
          <w:rFonts w:ascii="Calibri" w:hAnsi="Calibri"/>
          <w:sz w:val="22"/>
          <w:szCs w:val="22"/>
          <w:lang w:val="en-US"/>
        </w:rPr>
        <w:t xml:space="preserve"> = 0.02, </w:t>
      </w:r>
      <w:r w:rsidRPr="000E5B1E">
        <w:rPr>
          <w:rFonts w:ascii="Calibri" w:hAnsi="Calibri"/>
          <w:i/>
          <w:sz w:val="22"/>
          <w:szCs w:val="22"/>
          <w:lang w:val="en-US"/>
        </w:rPr>
        <w:t>p</w:t>
      </w:r>
      <w:r w:rsidRPr="000E5B1E">
        <w:rPr>
          <w:rFonts w:ascii="Calibri" w:hAnsi="Calibri"/>
          <w:sz w:val="22"/>
          <w:szCs w:val="22"/>
          <w:lang w:val="en-US"/>
        </w:rPr>
        <w:t xml:space="preserve"> = .002) and income (Wald = 5.01, </w:t>
      </w:r>
      <w:r w:rsidRPr="000E5B1E">
        <w:rPr>
          <w:rFonts w:ascii="Calibri" w:hAnsi="Calibri"/>
          <w:i/>
          <w:sz w:val="22"/>
          <w:szCs w:val="22"/>
          <w:lang w:val="en-US"/>
        </w:rPr>
        <w:t>B</w:t>
      </w:r>
      <w:r w:rsidRPr="000E5B1E">
        <w:rPr>
          <w:rFonts w:ascii="Calibri" w:hAnsi="Calibri"/>
          <w:sz w:val="22"/>
          <w:szCs w:val="22"/>
          <w:lang w:val="en-US"/>
        </w:rPr>
        <w:t xml:space="preserve"> &lt; 0.01, </w:t>
      </w:r>
      <w:r w:rsidRPr="000E5B1E">
        <w:rPr>
          <w:rFonts w:ascii="Calibri" w:hAnsi="Calibri"/>
          <w:i/>
          <w:sz w:val="22"/>
          <w:szCs w:val="22"/>
          <w:lang w:val="en-US"/>
        </w:rPr>
        <w:t>p</w:t>
      </w:r>
      <w:r w:rsidRPr="000E5B1E">
        <w:rPr>
          <w:rFonts w:ascii="Calibri" w:hAnsi="Calibri"/>
          <w:sz w:val="22"/>
          <w:szCs w:val="22"/>
          <w:lang w:val="en-US"/>
        </w:rPr>
        <w:t xml:space="preserve"> = .025) all made a significant contribution whereas AQ (Wald = 0.65, B = -0.29, </w:t>
      </w:r>
      <w:r w:rsidRPr="000E5B1E">
        <w:rPr>
          <w:rFonts w:ascii="Calibri" w:hAnsi="Calibri"/>
          <w:i/>
          <w:sz w:val="22"/>
          <w:szCs w:val="22"/>
          <w:lang w:val="en-US"/>
        </w:rPr>
        <w:t>p</w:t>
      </w:r>
      <w:r w:rsidRPr="000E5B1E">
        <w:rPr>
          <w:rFonts w:ascii="Calibri" w:hAnsi="Calibri"/>
          <w:sz w:val="22"/>
          <w:szCs w:val="22"/>
          <w:lang w:val="en-US"/>
        </w:rPr>
        <w:t xml:space="preserve"> = .422), education (Wald = 0.95, </w:t>
      </w:r>
      <w:r w:rsidRPr="000E5B1E">
        <w:rPr>
          <w:rFonts w:ascii="Calibri" w:hAnsi="Calibri"/>
          <w:i/>
          <w:sz w:val="22"/>
          <w:szCs w:val="22"/>
          <w:lang w:val="en-US"/>
        </w:rPr>
        <w:t>B</w:t>
      </w:r>
      <w:r w:rsidRPr="000E5B1E">
        <w:rPr>
          <w:rFonts w:ascii="Calibri" w:hAnsi="Calibri"/>
          <w:sz w:val="22"/>
          <w:szCs w:val="22"/>
          <w:lang w:val="en-US"/>
        </w:rPr>
        <w:t xml:space="preserve"> = 0.01, </w:t>
      </w:r>
      <w:r w:rsidRPr="000E5B1E">
        <w:rPr>
          <w:rFonts w:ascii="Calibri" w:hAnsi="Calibri"/>
          <w:i/>
          <w:sz w:val="22"/>
          <w:szCs w:val="22"/>
          <w:lang w:val="en-US"/>
        </w:rPr>
        <w:t>p</w:t>
      </w:r>
      <w:r w:rsidRPr="000E5B1E">
        <w:rPr>
          <w:rFonts w:ascii="Calibri" w:hAnsi="Calibri"/>
          <w:sz w:val="22"/>
          <w:szCs w:val="22"/>
          <w:lang w:val="en-US"/>
        </w:rPr>
        <w:t xml:space="preserve"> = .329), EQ (Wald = 0.02, </w:t>
      </w:r>
      <w:r w:rsidRPr="000E5B1E">
        <w:rPr>
          <w:rFonts w:ascii="Calibri" w:hAnsi="Calibri"/>
          <w:i/>
          <w:sz w:val="22"/>
          <w:szCs w:val="22"/>
          <w:lang w:val="en-US"/>
        </w:rPr>
        <w:t>B</w:t>
      </w:r>
      <w:r w:rsidRPr="000E5B1E">
        <w:rPr>
          <w:rFonts w:ascii="Calibri" w:hAnsi="Calibri"/>
          <w:sz w:val="22"/>
          <w:szCs w:val="22"/>
          <w:lang w:val="en-US"/>
        </w:rPr>
        <w:t xml:space="preserve"> = 0.03, </w:t>
      </w:r>
      <w:r w:rsidRPr="000E5B1E">
        <w:rPr>
          <w:rFonts w:ascii="Calibri" w:hAnsi="Calibri"/>
          <w:i/>
          <w:sz w:val="22"/>
          <w:szCs w:val="22"/>
          <w:lang w:val="en-US"/>
        </w:rPr>
        <w:t>p</w:t>
      </w:r>
      <w:r w:rsidRPr="000E5B1E">
        <w:rPr>
          <w:rFonts w:ascii="Calibri" w:hAnsi="Calibri"/>
          <w:sz w:val="22"/>
          <w:szCs w:val="22"/>
          <w:lang w:val="en-US"/>
        </w:rPr>
        <w:t xml:space="preserve"> = .881) and SQ (Wald = 1.03, </w:t>
      </w:r>
      <w:r w:rsidRPr="000E5B1E">
        <w:rPr>
          <w:rFonts w:ascii="Calibri" w:hAnsi="Calibri"/>
          <w:i/>
          <w:sz w:val="22"/>
          <w:szCs w:val="22"/>
          <w:lang w:val="en-US"/>
        </w:rPr>
        <w:t>B</w:t>
      </w:r>
      <w:r w:rsidRPr="000E5B1E">
        <w:rPr>
          <w:rFonts w:ascii="Calibri" w:hAnsi="Calibri"/>
          <w:sz w:val="22"/>
          <w:szCs w:val="22"/>
          <w:lang w:val="en-US"/>
        </w:rPr>
        <w:t xml:space="preserve"> = -0.18, </w:t>
      </w:r>
      <w:r w:rsidRPr="000E5B1E">
        <w:rPr>
          <w:rFonts w:ascii="Calibri" w:hAnsi="Calibri"/>
          <w:i/>
          <w:sz w:val="22"/>
          <w:szCs w:val="22"/>
          <w:lang w:val="en-US"/>
        </w:rPr>
        <w:t>p</w:t>
      </w:r>
      <w:r w:rsidRPr="000E5B1E">
        <w:rPr>
          <w:rFonts w:ascii="Calibri" w:hAnsi="Calibri"/>
          <w:sz w:val="22"/>
          <w:szCs w:val="22"/>
          <w:lang w:val="en-US"/>
        </w:rPr>
        <w:t xml:space="preserve"> = .311) did not. These results show that neither the type of analysis (i.e., hierarchical logistic regression instead of logistic regression) nor the specific variables included in the model can account for the lack of a relationship between AQ and religiosity. </w:t>
      </w:r>
    </w:p>
    <w:p w14:paraId="70AB8D47" w14:textId="77777777" w:rsidR="009C68D2" w:rsidRDefault="009C68D2" w:rsidP="009C68D2">
      <w:pPr>
        <w:spacing w:line="480" w:lineRule="auto"/>
        <w:rPr>
          <w:rFonts w:ascii="Calibri" w:hAnsi="Calibri"/>
          <w:b/>
          <w:sz w:val="36"/>
          <w:szCs w:val="36"/>
        </w:rPr>
      </w:pPr>
    </w:p>
    <w:p w14:paraId="0057C060" w14:textId="77777777" w:rsidR="009C68D2" w:rsidRDefault="009C68D2" w:rsidP="00AD372C">
      <w:pPr>
        <w:spacing w:line="480" w:lineRule="auto"/>
        <w:outlineLvl w:val="0"/>
        <w:rPr>
          <w:rFonts w:ascii="Calibri" w:hAnsi="Calibri"/>
          <w:b/>
          <w:sz w:val="36"/>
          <w:szCs w:val="36"/>
        </w:rPr>
      </w:pPr>
      <w:r w:rsidRPr="000E5B1E">
        <w:rPr>
          <w:rFonts w:ascii="Calibri" w:hAnsi="Calibri"/>
          <w:b/>
          <w:sz w:val="36"/>
          <w:szCs w:val="36"/>
        </w:rPr>
        <w:t>Refe</w:t>
      </w:r>
      <w:bookmarkStart w:id="0" w:name="_GoBack"/>
      <w:r w:rsidRPr="000E5B1E">
        <w:rPr>
          <w:rFonts w:ascii="Calibri" w:hAnsi="Calibri"/>
          <w:b/>
          <w:sz w:val="36"/>
          <w:szCs w:val="36"/>
        </w:rPr>
        <w:t>rences</w:t>
      </w:r>
      <w:bookmarkEnd w:id="0"/>
    </w:p>
    <w:p w14:paraId="417BE5C9" w14:textId="77777777" w:rsidR="009C68D2" w:rsidRPr="009C68D2" w:rsidRDefault="009C68D2" w:rsidP="009C68D2">
      <w:pPr>
        <w:spacing w:line="480" w:lineRule="auto"/>
        <w:rPr>
          <w:rFonts w:ascii="Calibri" w:hAnsi="Calibri"/>
          <w:b/>
          <w:sz w:val="22"/>
          <w:szCs w:val="22"/>
        </w:rPr>
      </w:pPr>
      <w:r>
        <w:rPr>
          <w:rFonts w:ascii="Calibri" w:hAnsi="Calibri"/>
          <w:sz w:val="22"/>
          <w:szCs w:val="22"/>
        </w:rPr>
        <w:lastRenderedPageBreak/>
        <w:t>[1]</w:t>
      </w:r>
      <w:r w:rsidRPr="009C68D2">
        <w:rPr>
          <w:rFonts w:ascii="Calibri" w:hAnsi="Calibri"/>
          <w:sz w:val="22"/>
          <w:szCs w:val="22"/>
        </w:rPr>
        <w:t xml:space="preserve"> </w:t>
      </w:r>
      <w:proofErr w:type="spellStart"/>
      <w:r w:rsidRPr="009C68D2">
        <w:rPr>
          <w:rFonts w:ascii="Calibri" w:hAnsi="Calibri"/>
          <w:sz w:val="22"/>
          <w:szCs w:val="22"/>
        </w:rPr>
        <w:t>Norenzayan</w:t>
      </w:r>
      <w:proofErr w:type="spellEnd"/>
      <w:r w:rsidRPr="009C68D2">
        <w:rPr>
          <w:rFonts w:ascii="Calibri" w:hAnsi="Calibri"/>
          <w:sz w:val="22"/>
          <w:szCs w:val="22"/>
        </w:rPr>
        <w:t xml:space="preserve"> A, Gervais WM, </w:t>
      </w:r>
      <w:proofErr w:type="spellStart"/>
      <w:r w:rsidRPr="009C68D2">
        <w:rPr>
          <w:rFonts w:ascii="Calibri" w:hAnsi="Calibri"/>
          <w:sz w:val="22"/>
          <w:szCs w:val="22"/>
        </w:rPr>
        <w:t>Trzesniewski</w:t>
      </w:r>
      <w:proofErr w:type="spellEnd"/>
      <w:r w:rsidRPr="009C68D2">
        <w:rPr>
          <w:rFonts w:ascii="Calibri" w:hAnsi="Calibri"/>
          <w:sz w:val="22"/>
          <w:szCs w:val="22"/>
        </w:rPr>
        <w:t xml:space="preserve"> KH. </w:t>
      </w:r>
      <w:proofErr w:type="spellStart"/>
      <w:r w:rsidRPr="009C68D2">
        <w:rPr>
          <w:rFonts w:ascii="Calibri" w:hAnsi="Calibri"/>
          <w:sz w:val="22"/>
          <w:szCs w:val="22"/>
        </w:rPr>
        <w:t>Mentalizing</w:t>
      </w:r>
      <w:proofErr w:type="spellEnd"/>
      <w:r w:rsidRPr="009C68D2">
        <w:rPr>
          <w:rFonts w:ascii="Calibri" w:hAnsi="Calibri"/>
          <w:sz w:val="22"/>
          <w:szCs w:val="22"/>
        </w:rPr>
        <w:t xml:space="preserve"> deficits constrain belief in a personal God. </w:t>
      </w:r>
      <w:proofErr w:type="spellStart"/>
      <w:r w:rsidRPr="009C68D2">
        <w:rPr>
          <w:rFonts w:ascii="Calibri" w:hAnsi="Calibri"/>
          <w:sz w:val="22"/>
          <w:szCs w:val="22"/>
        </w:rPr>
        <w:t>PloS</w:t>
      </w:r>
      <w:proofErr w:type="spellEnd"/>
      <w:r w:rsidRPr="009C68D2">
        <w:rPr>
          <w:rFonts w:ascii="Calibri" w:hAnsi="Calibri"/>
          <w:sz w:val="22"/>
          <w:szCs w:val="22"/>
        </w:rPr>
        <w:t xml:space="preserve"> one 2012;7(5</w:t>
      </w:r>
      <w:proofErr w:type="gramStart"/>
      <w:r w:rsidRPr="009C68D2">
        <w:rPr>
          <w:rFonts w:ascii="Calibri" w:hAnsi="Calibri"/>
          <w:sz w:val="22"/>
          <w:szCs w:val="22"/>
        </w:rPr>
        <w:t>):e</w:t>
      </w:r>
      <w:proofErr w:type="gramEnd"/>
      <w:r w:rsidRPr="009C68D2">
        <w:rPr>
          <w:rFonts w:ascii="Calibri" w:hAnsi="Calibri"/>
          <w:sz w:val="22"/>
          <w:szCs w:val="22"/>
        </w:rPr>
        <w:t>36880.</w:t>
      </w:r>
    </w:p>
    <w:p w14:paraId="492B31BA" w14:textId="77777777" w:rsidR="00A41539" w:rsidRPr="009C68D2" w:rsidRDefault="00AD372C">
      <w:pPr>
        <w:rPr>
          <w:lang w:val="en-US"/>
        </w:rPr>
      </w:pPr>
    </w:p>
    <w:sectPr w:rsidR="00A41539" w:rsidRPr="009C68D2" w:rsidSect="00FE6C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D2"/>
    <w:rsid w:val="006A3504"/>
    <w:rsid w:val="009C68D2"/>
    <w:rsid w:val="00AD372C"/>
    <w:rsid w:val="00C21C53"/>
    <w:rsid w:val="00FD3CE9"/>
    <w:rsid w:val="00FE6C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F277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8D2"/>
    <w:rPr>
      <w:rFonts w:ascii="Cambria" w:eastAsia="MS Mincho" w:hAnsi="Cambria" w:cs="Times New Roman"/>
    </w:rPr>
  </w:style>
  <w:style w:type="paragraph" w:styleId="NormalWeb">
    <w:name w:val="Normal (Web)"/>
    <w:basedOn w:val="Normal"/>
    <w:uiPriority w:val="99"/>
    <w:unhideWhenUsed/>
    <w:rsid w:val="009C68D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1545</Characters>
  <Application>Microsoft Macintosh Word</Application>
  <DocSecurity>0</DocSecurity>
  <Lines>12</Lines>
  <Paragraphs>3</Paragraphs>
  <ScaleCrop>false</ScaleCrop>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2017-07-27T19:18:00Z</dcterms:created>
  <dcterms:modified xsi:type="dcterms:W3CDTF">2017-07-27T19:24:00Z</dcterms:modified>
</cp:coreProperties>
</file>